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4D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泰达宏利基金管理有限公司关于</w:t>
      </w:r>
      <w:r w:rsidR="006F7E4D">
        <w:rPr>
          <w:rFonts w:ascii="宋体" w:hAnsi="宋体" w:hint="eastAsia"/>
          <w:color w:val="2B2B2B"/>
          <w:spacing w:val="-23"/>
          <w:sz w:val="30"/>
          <w:szCs w:val="30"/>
        </w:rPr>
        <w:t>旗下基金</w:t>
      </w: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调整长期停牌股票估值方法</w:t>
      </w:r>
    </w:p>
    <w:p w:rsidR="006C7984" w:rsidRPr="00FC5412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的公告</w:t>
      </w:r>
    </w:p>
    <w:p w:rsidR="00FC5412" w:rsidRPr="00FC5412" w:rsidRDefault="00FC5412" w:rsidP="00FC5412">
      <w:pPr>
        <w:rPr>
          <w:rFonts w:ascii="宋体" w:hAnsi="宋体"/>
          <w:color w:val="2B2B2B"/>
          <w:spacing w:val="-23"/>
          <w:sz w:val="30"/>
          <w:szCs w:val="30"/>
        </w:rPr>
      </w:pP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 w:rsidRPr="00F727C2">
        <w:rPr>
          <w:rStyle w:val="txtcontent11"/>
          <w:rFonts w:ascii="宋体" w:hAnsi="宋体"/>
        </w:rPr>
        <w:t>根据中国证券监督管理委员会《关于进一步规范证券投资基金估值业务的指导意见》（证监会公告[2008]38号）</w:t>
      </w:r>
      <w:r w:rsidRPr="00F727C2">
        <w:rPr>
          <w:rStyle w:val="txtcontent11"/>
          <w:rFonts w:ascii="宋体" w:hAnsi="宋体" w:hint="eastAsia"/>
        </w:rPr>
        <w:t>，为使持有长期停牌股票的基金估值更加公平、合理，</w:t>
      </w:r>
      <w:r w:rsidRPr="00FC5412">
        <w:rPr>
          <w:rStyle w:val="txtcontent11"/>
          <w:rFonts w:ascii="宋体" w:hAnsi="宋体" w:hint="eastAsia"/>
        </w:rPr>
        <w:t>更好的维护持有人利益，</w:t>
      </w:r>
      <w:r w:rsidRPr="00F727C2">
        <w:rPr>
          <w:rStyle w:val="txtcontent11"/>
          <w:rFonts w:ascii="宋体" w:hAnsi="宋体" w:hint="eastAsia"/>
        </w:rPr>
        <w:t>经与托管银行协商一致，本公司</w:t>
      </w:r>
      <w:r w:rsidRPr="00F727C2">
        <w:rPr>
          <w:rStyle w:val="txtcontent11"/>
          <w:rFonts w:ascii="宋体" w:hAnsi="宋体"/>
        </w:rPr>
        <w:t>决定自</w:t>
      </w:r>
      <w:r w:rsidR="004B6EE3" w:rsidRPr="00F727C2">
        <w:rPr>
          <w:rStyle w:val="txtcontent11"/>
          <w:rFonts w:ascii="宋体" w:hAnsi="宋体"/>
        </w:rPr>
        <w:t>201</w:t>
      </w:r>
      <w:r w:rsidR="00047A3C">
        <w:rPr>
          <w:rStyle w:val="txtcontent11"/>
          <w:rFonts w:ascii="宋体" w:hAnsi="宋体" w:hint="eastAsia"/>
        </w:rPr>
        <w:t>4</w:t>
      </w:r>
      <w:r w:rsidR="004B6EE3" w:rsidRPr="00F727C2">
        <w:rPr>
          <w:rStyle w:val="txtcontent11"/>
          <w:rFonts w:ascii="宋体" w:hAnsi="宋体"/>
        </w:rPr>
        <w:t>年</w:t>
      </w:r>
      <w:r w:rsidR="003B379B">
        <w:rPr>
          <w:rStyle w:val="txtcontent11"/>
          <w:rFonts w:ascii="宋体" w:hAnsi="宋体" w:hint="eastAsia"/>
        </w:rPr>
        <w:t>4</w:t>
      </w:r>
      <w:r w:rsidRPr="00F727C2">
        <w:rPr>
          <w:rStyle w:val="txtcontent11"/>
          <w:rFonts w:ascii="宋体" w:hAnsi="宋体"/>
        </w:rPr>
        <w:t>月</w:t>
      </w:r>
      <w:r w:rsidR="003B379B">
        <w:rPr>
          <w:rStyle w:val="txtcontent11"/>
          <w:rFonts w:ascii="宋体" w:hAnsi="宋体" w:hint="eastAsia"/>
        </w:rPr>
        <w:t>25</w:t>
      </w:r>
      <w:r w:rsidRPr="00F727C2">
        <w:rPr>
          <w:rStyle w:val="txtcontent11"/>
          <w:rFonts w:ascii="宋体" w:hAnsi="宋体"/>
        </w:rPr>
        <w:t>日起对旗下基金所持有的</w:t>
      </w:r>
      <w:r w:rsidR="003B379B">
        <w:rPr>
          <w:rStyle w:val="txtcontent11"/>
          <w:rFonts w:ascii="宋体" w:hAnsi="宋体" w:hint="eastAsia"/>
        </w:rPr>
        <w:t>鸿利光电</w:t>
      </w:r>
      <w:r w:rsidRPr="00F727C2">
        <w:rPr>
          <w:rStyle w:val="txtcontent11"/>
          <w:rFonts w:ascii="宋体" w:hAnsi="宋体"/>
        </w:rPr>
        <w:t>（股票代码：</w:t>
      </w:r>
      <w:r w:rsidR="003B379B">
        <w:rPr>
          <w:rStyle w:val="txtcontent11"/>
          <w:rFonts w:ascii="宋体" w:hAnsi="宋体" w:hint="eastAsia"/>
        </w:rPr>
        <w:t>300219</w:t>
      </w:r>
      <w:r w:rsidRPr="00F727C2">
        <w:rPr>
          <w:rStyle w:val="txtcontent11"/>
          <w:rFonts w:ascii="宋体" w:hAnsi="宋体"/>
        </w:rPr>
        <w:t>）</w:t>
      </w:r>
      <w:r w:rsidR="006F7E4D" w:rsidRPr="00F727C2">
        <w:rPr>
          <w:rStyle w:val="txtcontent11"/>
          <w:rFonts w:ascii="宋体" w:hAnsi="宋体"/>
        </w:rPr>
        <w:t>采用“指数收益法”予以估值。</w:t>
      </w:r>
      <w:r w:rsidRPr="00FC5412">
        <w:rPr>
          <w:rStyle w:val="txtcontent11"/>
          <w:rFonts w:ascii="宋体" w:hAnsi="宋体"/>
        </w:rPr>
        <w:t>在</w:t>
      </w:r>
      <w:r w:rsidR="003B379B">
        <w:rPr>
          <w:rStyle w:val="txtcontent11"/>
          <w:rFonts w:ascii="宋体" w:hAnsi="宋体" w:hint="eastAsia"/>
        </w:rPr>
        <w:t>鸿利光电</w:t>
      </w:r>
      <w:r w:rsidRPr="00FC5412">
        <w:rPr>
          <w:rStyle w:val="txtcontent11"/>
          <w:rFonts w:ascii="宋体" w:hAnsi="宋体"/>
        </w:rPr>
        <w:t>股票</w:t>
      </w:r>
      <w:proofErr w:type="gramStart"/>
      <w:r w:rsidRPr="00FC5412">
        <w:rPr>
          <w:rStyle w:val="txtcontent11"/>
          <w:rFonts w:ascii="宋体" w:hAnsi="宋体"/>
        </w:rPr>
        <w:t>复牌且其</w:t>
      </w:r>
      <w:proofErr w:type="gramEnd"/>
      <w:r w:rsidRPr="00FC5412">
        <w:rPr>
          <w:rStyle w:val="txtcontent11"/>
          <w:rFonts w:ascii="宋体" w:hAnsi="宋体"/>
        </w:rPr>
        <w:t>交易体现了活跃市场交易特征后，按市场价格进行估值，届时不再另行公告。敬请投资者予以关注。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特此公告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FC5412" w:rsidP="00FC5412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泰达宏利基金管理有限公司</w:t>
      </w:r>
    </w:p>
    <w:p w:rsidR="00FC5412" w:rsidRPr="00FC5412" w:rsidRDefault="00857A46" w:rsidP="00FC5412">
      <w:pPr>
        <w:spacing w:line="360" w:lineRule="auto"/>
        <w:ind w:firstLine="420"/>
        <w:jc w:val="right"/>
        <w:rPr>
          <w:rFonts w:ascii="宋体" w:hAnsi="宋体"/>
          <w:sz w:val="30"/>
          <w:szCs w:val="30"/>
        </w:rPr>
      </w:pPr>
      <w:r w:rsidRPr="00FC5412">
        <w:rPr>
          <w:rStyle w:val="txtcontent11"/>
          <w:rFonts w:ascii="宋体" w:hAnsi="宋体" w:hint="eastAsia"/>
        </w:rPr>
        <w:t>201</w:t>
      </w:r>
      <w:r w:rsidR="00047A3C">
        <w:rPr>
          <w:rStyle w:val="txtcontent11"/>
          <w:rFonts w:ascii="宋体" w:hAnsi="宋体" w:hint="eastAsia"/>
        </w:rPr>
        <w:t>4</w:t>
      </w:r>
      <w:r>
        <w:rPr>
          <w:rStyle w:val="txtcontent11"/>
          <w:rFonts w:ascii="宋体" w:hAnsi="宋体" w:hint="eastAsia"/>
        </w:rPr>
        <w:t>年</w:t>
      </w:r>
      <w:r w:rsidR="003B379B">
        <w:rPr>
          <w:rStyle w:val="txtcontent11"/>
          <w:rFonts w:ascii="宋体" w:hAnsi="宋体" w:hint="eastAsia"/>
        </w:rPr>
        <w:t>4</w:t>
      </w:r>
      <w:r w:rsidR="006F7E4D">
        <w:rPr>
          <w:rStyle w:val="txtcontent11"/>
          <w:rFonts w:ascii="宋体" w:hAnsi="宋体" w:hint="eastAsia"/>
        </w:rPr>
        <w:t>月</w:t>
      </w:r>
      <w:r w:rsidR="009075CE">
        <w:rPr>
          <w:rStyle w:val="txtcontent11"/>
          <w:rFonts w:ascii="宋体" w:hAnsi="宋体" w:hint="eastAsia"/>
        </w:rPr>
        <w:t>26</w:t>
      </w:r>
      <w:r w:rsidR="006F7E4D">
        <w:rPr>
          <w:rStyle w:val="txtcontent11"/>
          <w:rFonts w:ascii="宋体" w:hAnsi="宋体" w:hint="eastAsia"/>
        </w:rPr>
        <w:t>日</w:t>
      </w:r>
    </w:p>
    <w:sectPr w:rsidR="00FC5412" w:rsidRPr="00FC5412" w:rsidSect="006C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EE3" w:rsidRDefault="004B6EE3" w:rsidP="00FC5412">
      <w:r>
        <w:separator/>
      </w:r>
    </w:p>
  </w:endnote>
  <w:endnote w:type="continuationSeparator" w:id="0">
    <w:p w:rsidR="004B6EE3" w:rsidRDefault="004B6EE3" w:rsidP="00F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EE3" w:rsidRDefault="004B6EE3" w:rsidP="00FC5412">
      <w:r>
        <w:separator/>
      </w:r>
    </w:p>
  </w:footnote>
  <w:footnote w:type="continuationSeparator" w:id="0">
    <w:p w:rsidR="004B6EE3" w:rsidRDefault="004B6EE3" w:rsidP="00F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12"/>
    <w:rsid w:val="000369CB"/>
    <w:rsid w:val="00047A3C"/>
    <w:rsid w:val="00092416"/>
    <w:rsid w:val="00134655"/>
    <w:rsid w:val="001A494F"/>
    <w:rsid w:val="00262C04"/>
    <w:rsid w:val="002F6657"/>
    <w:rsid w:val="0030671A"/>
    <w:rsid w:val="00314540"/>
    <w:rsid w:val="00371854"/>
    <w:rsid w:val="003B379B"/>
    <w:rsid w:val="004B6EE3"/>
    <w:rsid w:val="004F6B15"/>
    <w:rsid w:val="00571343"/>
    <w:rsid w:val="005733F1"/>
    <w:rsid w:val="00655795"/>
    <w:rsid w:val="00657470"/>
    <w:rsid w:val="006C7984"/>
    <w:rsid w:val="006F2411"/>
    <w:rsid w:val="006F7E4D"/>
    <w:rsid w:val="007153BB"/>
    <w:rsid w:val="00736E51"/>
    <w:rsid w:val="00765F36"/>
    <w:rsid w:val="00841665"/>
    <w:rsid w:val="0084562D"/>
    <w:rsid w:val="00857A46"/>
    <w:rsid w:val="008F569A"/>
    <w:rsid w:val="009075CE"/>
    <w:rsid w:val="00977F79"/>
    <w:rsid w:val="009B73A8"/>
    <w:rsid w:val="009D7FB1"/>
    <w:rsid w:val="00A26F7C"/>
    <w:rsid w:val="00AE6BEB"/>
    <w:rsid w:val="00B91974"/>
    <w:rsid w:val="00BB58BE"/>
    <w:rsid w:val="00D06BA2"/>
    <w:rsid w:val="00D17C1C"/>
    <w:rsid w:val="00D474C8"/>
    <w:rsid w:val="00D853C9"/>
    <w:rsid w:val="00EC23F6"/>
    <w:rsid w:val="00ED5D7C"/>
    <w:rsid w:val="00F301C6"/>
    <w:rsid w:val="00F611B3"/>
    <w:rsid w:val="00F727C2"/>
    <w:rsid w:val="00F864B7"/>
    <w:rsid w:val="00FC5412"/>
    <w:rsid w:val="00FE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412"/>
    <w:rPr>
      <w:sz w:val="18"/>
      <w:szCs w:val="18"/>
    </w:rPr>
  </w:style>
  <w:style w:type="character" w:customStyle="1" w:styleId="txtcontent11">
    <w:name w:val="txtcontent11"/>
    <w:basedOn w:val="a0"/>
    <w:rsid w:val="00FC5412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6F7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864B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864B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239</Characters>
  <Application>Microsoft Office Word</Application>
  <DocSecurity>0</DocSecurity>
  <Lines>1</Lines>
  <Paragraphs>1</Paragraphs>
  <ScaleCrop>false</ScaleCrop>
  <Company>LENOVO CUSTOMER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fengwei</cp:lastModifiedBy>
  <cp:revision>19</cp:revision>
  <cp:lastPrinted>2011-09-26T08:44:00Z</cp:lastPrinted>
  <dcterms:created xsi:type="dcterms:W3CDTF">2011-12-15T09:42:00Z</dcterms:created>
  <dcterms:modified xsi:type="dcterms:W3CDTF">2014-04-25T08:59:00Z</dcterms:modified>
</cp:coreProperties>
</file>