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255" w:rsidRDefault="001A5255" w:rsidP="00387814">
      <w:pPr>
        <w:pStyle w:val="Default"/>
        <w:jc w:val="center"/>
        <w:rPr>
          <w:rFonts w:hint="eastAsia"/>
        </w:rPr>
      </w:pPr>
      <w:r w:rsidRPr="001A5255">
        <w:rPr>
          <w:rFonts w:hint="eastAsia"/>
        </w:rPr>
        <w:t>关于泰达宏利瑞利分级债券型证券投资基金</w:t>
      </w:r>
    </w:p>
    <w:p w:rsidR="00387814" w:rsidRDefault="001A5255" w:rsidP="00387814">
      <w:pPr>
        <w:pStyle w:val="Default"/>
        <w:jc w:val="center"/>
        <w:rPr>
          <w:sz w:val="28"/>
          <w:szCs w:val="28"/>
        </w:rPr>
      </w:pPr>
      <w:r w:rsidRPr="001A5255">
        <w:rPr>
          <w:rFonts w:hint="eastAsia"/>
        </w:rPr>
        <w:t>A</w:t>
      </w:r>
      <w:r w:rsidR="006E0D08">
        <w:rPr>
          <w:rFonts w:hint="eastAsia"/>
        </w:rPr>
        <w:t>份额</w:t>
      </w:r>
      <w:r w:rsidRPr="001A5255">
        <w:rPr>
          <w:rFonts w:hint="eastAsia"/>
        </w:rPr>
        <w:t>办理定期份额折算方案的公告</w:t>
      </w:r>
      <w:r w:rsidR="00387814">
        <w:rPr>
          <w:sz w:val="28"/>
          <w:szCs w:val="28"/>
        </w:rPr>
        <w:t xml:space="preserve"> </w:t>
      </w:r>
    </w:p>
    <w:p w:rsidR="008577A5" w:rsidRDefault="008577A5" w:rsidP="00387814">
      <w:pPr>
        <w:pStyle w:val="Default"/>
        <w:jc w:val="center"/>
        <w:rPr>
          <w:sz w:val="28"/>
          <w:szCs w:val="28"/>
        </w:rPr>
      </w:pPr>
    </w:p>
    <w:p w:rsidR="00387814" w:rsidRDefault="00387814" w:rsidP="00387814">
      <w:pPr>
        <w:pStyle w:val="Default"/>
        <w:ind w:firstLine="480"/>
        <w:rPr>
          <w:rFonts w:hAnsi="Calibri"/>
          <w:sz w:val="23"/>
          <w:szCs w:val="23"/>
        </w:rPr>
      </w:pPr>
      <w:r>
        <w:rPr>
          <w:rFonts w:hint="eastAsia"/>
          <w:sz w:val="23"/>
          <w:szCs w:val="23"/>
        </w:rPr>
        <w:t>根据《</w:t>
      </w:r>
      <w:r w:rsidR="00563D9B">
        <w:rPr>
          <w:rFonts w:hint="eastAsia"/>
          <w:sz w:val="23"/>
          <w:szCs w:val="23"/>
        </w:rPr>
        <w:t>泰达宏利瑞利分级债券型证券投资基金</w:t>
      </w:r>
      <w:r>
        <w:rPr>
          <w:rFonts w:hint="eastAsia"/>
          <w:sz w:val="23"/>
          <w:szCs w:val="23"/>
        </w:rPr>
        <w:t>基金合同》（以下简称</w:t>
      </w:r>
      <w:r>
        <w:rPr>
          <w:rFonts w:ascii="Calibri" w:hAnsi="Calibri" w:cs="Calibri"/>
          <w:sz w:val="23"/>
          <w:szCs w:val="23"/>
        </w:rPr>
        <w:t>“</w:t>
      </w:r>
      <w:r>
        <w:rPr>
          <w:rFonts w:hAnsi="Calibri" w:hint="eastAsia"/>
          <w:sz w:val="23"/>
          <w:szCs w:val="23"/>
        </w:rPr>
        <w:t>基金合同</w:t>
      </w:r>
      <w:r>
        <w:rPr>
          <w:rFonts w:ascii="Calibri" w:hAnsi="Calibri" w:cs="Calibri"/>
          <w:sz w:val="23"/>
          <w:szCs w:val="23"/>
        </w:rPr>
        <w:t>”</w:t>
      </w:r>
      <w:r>
        <w:rPr>
          <w:rFonts w:hAnsi="Calibri" w:hint="eastAsia"/>
          <w:sz w:val="23"/>
          <w:szCs w:val="23"/>
        </w:rPr>
        <w:t>）及《</w:t>
      </w:r>
      <w:r w:rsidR="00563D9B">
        <w:rPr>
          <w:rFonts w:hAnsi="Calibri" w:hint="eastAsia"/>
          <w:sz w:val="23"/>
          <w:szCs w:val="23"/>
        </w:rPr>
        <w:t>泰达宏利瑞利分级债券型证券投资基金</w:t>
      </w:r>
      <w:r>
        <w:rPr>
          <w:rFonts w:hAnsi="Calibri" w:hint="eastAsia"/>
          <w:sz w:val="23"/>
          <w:szCs w:val="23"/>
        </w:rPr>
        <w:t>招募说明书》的规定，</w:t>
      </w:r>
      <w:r w:rsidR="00563D9B">
        <w:rPr>
          <w:rFonts w:hAnsi="Calibri" w:hint="eastAsia"/>
          <w:sz w:val="23"/>
          <w:szCs w:val="23"/>
        </w:rPr>
        <w:t>泰达宏利瑞利分级债券型证券投资基金</w:t>
      </w:r>
      <w:r>
        <w:rPr>
          <w:rFonts w:hAnsi="Calibri" w:hint="eastAsia"/>
          <w:sz w:val="23"/>
          <w:szCs w:val="23"/>
        </w:rPr>
        <w:t>（以下简称</w:t>
      </w:r>
      <w:r>
        <w:rPr>
          <w:rFonts w:ascii="Calibri" w:hAnsi="Calibri" w:cs="Calibri"/>
          <w:sz w:val="23"/>
          <w:szCs w:val="23"/>
        </w:rPr>
        <w:t>“</w:t>
      </w:r>
      <w:r>
        <w:rPr>
          <w:rFonts w:hAnsi="Calibri" w:hint="eastAsia"/>
          <w:sz w:val="23"/>
          <w:szCs w:val="23"/>
        </w:rPr>
        <w:t>本基金</w:t>
      </w:r>
      <w:r>
        <w:rPr>
          <w:rFonts w:ascii="Calibri" w:hAnsi="Calibri" w:cs="Calibri"/>
          <w:sz w:val="23"/>
          <w:szCs w:val="23"/>
        </w:rPr>
        <w:t>”</w:t>
      </w:r>
      <w:r>
        <w:rPr>
          <w:rFonts w:hAnsi="Calibri" w:hint="eastAsia"/>
          <w:sz w:val="23"/>
          <w:szCs w:val="23"/>
        </w:rPr>
        <w:t>）自《基金合同》生效之日起</w:t>
      </w:r>
      <w:r w:rsidR="00975BDE">
        <w:rPr>
          <w:rFonts w:hAnsi="Calibri" w:hint="eastAsia"/>
          <w:sz w:val="23"/>
          <w:szCs w:val="23"/>
        </w:rPr>
        <w:t>每</w:t>
      </w:r>
      <w:r w:rsidR="00975BDE" w:rsidRPr="00975BDE">
        <w:rPr>
          <w:rFonts w:hAnsi="Calibri" w:hint="eastAsia"/>
          <w:sz w:val="23"/>
          <w:szCs w:val="23"/>
        </w:rPr>
        <w:t>半年度开放期首日和年度开放期首日</w:t>
      </w:r>
      <w:r>
        <w:rPr>
          <w:rFonts w:hAnsi="Calibri" w:hint="eastAsia"/>
          <w:sz w:val="23"/>
          <w:szCs w:val="23"/>
        </w:rPr>
        <w:t>，基金管理人将对</w:t>
      </w:r>
      <w:r w:rsidR="00563D9B">
        <w:rPr>
          <w:rFonts w:hAnsi="Calibri" w:hint="eastAsia"/>
          <w:sz w:val="23"/>
          <w:szCs w:val="23"/>
        </w:rPr>
        <w:t>泰达宏利瑞利分级债券型证券投资基金</w:t>
      </w:r>
      <w:r>
        <w:rPr>
          <w:rFonts w:hAnsi="Calibri"/>
          <w:sz w:val="23"/>
          <w:szCs w:val="23"/>
        </w:rPr>
        <w:t>A</w:t>
      </w:r>
      <w:r>
        <w:rPr>
          <w:rFonts w:hAnsi="Calibri" w:hint="eastAsia"/>
          <w:sz w:val="23"/>
          <w:szCs w:val="23"/>
        </w:rPr>
        <w:t>份额（以下简称</w:t>
      </w:r>
      <w:r>
        <w:rPr>
          <w:rFonts w:hAnsi="Calibri"/>
          <w:sz w:val="23"/>
          <w:szCs w:val="23"/>
        </w:rPr>
        <w:t>“</w:t>
      </w:r>
      <w:r w:rsidR="00701270">
        <w:rPr>
          <w:rFonts w:hAnsi="Calibri" w:hint="eastAsia"/>
          <w:sz w:val="23"/>
          <w:szCs w:val="23"/>
        </w:rPr>
        <w:t>泰达宏利瑞利债券A</w:t>
      </w:r>
      <w:r>
        <w:rPr>
          <w:rFonts w:hAnsi="Calibri"/>
          <w:sz w:val="23"/>
          <w:szCs w:val="23"/>
        </w:rPr>
        <w:t>”</w:t>
      </w:r>
      <w:r>
        <w:rPr>
          <w:rFonts w:hAnsi="Calibri" w:hint="eastAsia"/>
          <w:sz w:val="23"/>
          <w:szCs w:val="23"/>
        </w:rPr>
        <w:t>）进行基金份额折算。现将折算的具体事宜公告如下：</w:t>
      </w:r>
      <w:r>
        <w:rPr>
          <w:rFonts w:hAnsi="Calibri"/>
          <w:sz w:val="23"/>
          <w:szCs w:val="23"/>
        </w:rPr>
        <w:t xml:space="preserve"> </w:t>
      </w:r>
    </w:p>
    <w:p w:rsidR="00387814" w:rsidRDefault="00387814" w:rsidP="00387814">
      <w:pPr>
        <w:pStyle w:val="Default"/>
        <w:ind w:firstLine="480"/>
        <w:rPr>
          <w:rFonts w:hAnsi="Calibri"/>
          <w:sz w:val="23"/>
          <w:szCs w:val="23"/>
        </w:rPr>
      </w:pPr>
      <w:r>
        <w:rPr>
          <w:rFonts w:hAnsi="Calibri" w:hint="eastAsia"/>
          <w:sz w:val="23"/>
          <w:szCs w:val="23"/>
        </w:rPr>
        <w:t>一、折算基准日</w:t>
      </w:r>
      <w:r>
        <w:rPr>
          <w:rFonts w:hAnsi="Calibri"/>
          <w:sz w:val="23"/>
          <w:szCs w:val="23"/>
        </w:rPr>
        <w:t xml:space="preserve"> </w:t>
      </w:r>
    </w:p>
    <w:p w:rsidR="00975BDE" w:rsidRPr="00975BDE" w:rsidRDefault="00975BDE" w:rsidP="00387814">
      <w:pPr>
        <w:pStyle w:val="Default"/>
        <w:ind w:firstLine="480"/>
        <w:rPr>
          <w:rFonts w:hAnsi="Calibri"/>
          <w:sz w:val="23"/>
          <w:szCs w:val="23"/>
        </w:rPr>
      </w:pPr>
      <w:r w:rsidRPr="00975BDE">
        <w:rPr>
          <w:rFonts w:hAnsi="Calibri" w:hint="eastAsia"/>
          <w:sz w:val="23"/>
          <w:szCs w:val="23"/>
        </w:rPr>
        <w:t>半年度开放期首日和年度开放期首日为</w:t>
      </w:r>
      <w:r w:rsidR="006E0D08">
        <w:rPr>
          <w:rFonts w:hAnsi="Calibri" w:hint="eastAsia"/>
          <w:sz w:val="23"/>
          <w:szCs w:val="23"/>
        </w:rPr>
        <w:t>泰达宏利瑞利债券A</w:t>
      </w:r>
      <w:r w:rsidRPr="00975BDE">
        <w:rPr>
          <w:rFonts w:hAnsi="Calibri" w:hint="eastAsia"/>
          <w:sz w:val="23"/>
          <w:szCs w:val="23"/>
        </w:rPr>
        <w:t>份额的折算基准日。</w:t>
      </w:r>
    </w:p>
    <w:p w:rsidR="00387814" w:rsidRDefault="00387814" w:rsidP="00387814">
      <w:pPr>
        <w:pStyle w:val="Default"/>
        <w:ind w:firstLine="480"/>
        <w:rPr>
          <w:rFonts w:hAnsi="Calibri"/>
          <w:sz w:val="23"/>
          <w:szCs w:val="23"/>
        </w:rPr>
      </w:pPr>
      <w:r>
        <w:rPr>
          <w:rFonts w:hAnsi="Calibri" w:hint="eastAsia"/>
          <w:sz w:val="23"/>
          <w:szCs w:val="23"/>
        </w:rPr>
        <w:t>本次</w:t>
      </w:r>
      <w:r w:rsidR="00701270">
        <w:rPr>
          <w:rFonts w:hAnsi="Calibri" w:hint="eastAsia"/>
          <w:sz w:val="23"/>
          <w:szCs w:val="23"/>
        </w:rPr>
        <w:t>泰达宏利瑞利债券A</w:t>
      </w:r>
      <w:r>
        <w:rPr>
          <w:rFonts w:hAnsi="Calibri" w:hint="eastAsia"/>
          <w:sz w:val="23"/>
          <w:szCs w:val="23"/>
        </w:rPr>
        <w:t>的基金份额折算基准日</w:t>
      </w:r>
      <w:r w:rsidR="008164BF">
        <w:rPr>
          <w:rFonts w:hAnsi="Calibri" w:hint="eastAsia"/>
          <w:sz w:val="23"/>
          <w:szCs w:val="23"/>
        </w:rPr>
        <w:t>为</w:t>
      </w:r>
      <w:r>
        <w:rPr>
          <w:rFonts w:hAnsi="Calibri"/>
          <w:sz w:val="23"/>
          <w:szCs w:val="23"/>
        </w:rPr>
        <w:t>2014</w:t>
      </w:r>
      <w:r>
        <w:rPr>
          <w:rFonts w:hAnsi="Calibri" w:hint="eastAsia"/>
          <w:sz w:val="23"/>
          <w:szCs w:val="23"/>
        </w:rPr>
        <w:t>年</w:t>
      </w:r>
      <w:r w:rsidR="008164BF">
        <w:rPr>
          <w:rFonts w:hAnsi="Calibri" w:hint="eastAsia"/>
          <w:sz w:val="23"/>
          <w:szCs w:val="23"/>
        </w:rPr>
        <w:t>5</w:t>
      </w:r>
      <w:r>
        <w:rPr>
          <w:rFonts w:hAnsi="Calibri" w:hint="eastAsia"/>
          <w:sz w:val="23"/>
          <w:szCs w:val="23"/>
        </w:rPr>
        <w:t>月</w:t>
      </w:r>
      <w:r w:rsidR="008164BF">
        <w:rPr>
          <w:rFonts w:hAnsi="Calibri" w:hint="eastAsia"/>
          <w:sz w:val="23"/>
          <w:szCs w:val="23"/>
        </w:rPr>
        <w:t>14</w:t>
      </w:r>
      <w:r>
        <w:rPr>
          <w:rFonts w:hAnsi="Calibri" w:hint="eastAsia"/>
          <w:sz w:val="23"/>
          <w:szCs w:val="23"/>
        </w:rPr>
        <w:t>日。</w:t>
      </w:r>
      <w:r>
        <w:rPr>
          <w:rFonts w:hAnsi="Calibri"/>
          <w:sz w:val="23"/>
          <w:szCs w:val="23"/>
        </w:rPr>
        <w:t xml:space="preserve"> </w:t>
      </w:r>
    </w:p>
    <w:p w:rsidR="00387814" w:rsidRDefault="00387814" w:rsidP="00387814">
      <w:pPr>
        <w:pStyle w:val="Default"/>
        <w:ind w:firstLine="480"/>
        <w:rPr>
          <w:rFonts w:hAnsi="Calibri"/>
          <w:sz w:val="23"/>
          <w:szCs w:val="23"/>
        </w:rPr>
      </w:pPr>
      <w:r>
        <w:rPr>
          <w:rFonts w:hAnsi="Calibri" w:hint="eastAsia"/>
          <w:sz w:val="23"/>
          <w:szCs w:val="23"/>
        </w:rPr>
        <w:t>二、折算对象</w:t>
      </w:r>
      <w:r>
        <w:rPr>
          <w:rFonts w:hAnsi="Calibri"/>
          <w:sz w:val="23"/>
          <w:szCs w:val="23"/>
        </w:rPr>
        <w:t xml:space="preserve"> </w:t>
      </w:r>
    </w:p>
    <w:p w:rsidR="00387814" w:rsidRDefault="00387814" w:rsidP="00387814">
      <w:pPr>
        <w:pStyle w:val="Default"/>
        <w:ind w:firstLine="480"/>
        <w:rPr>
          <w:rFonts w:hAnsi="Calibri"/>
          <w:sz w:val="23"/>
          <w:szCs w:val="23"/>
        </w:rPr>
      </w:pPr>
      <w:r>
        <w:rPr>
          <w:rFonts w:hAnsi="Calibri" w:hint="eastAsia"/>
          <w:sz w:val="23"/>
          <w:szCs w:val="23"/>
        </w:rPr>
        <w:t>基金份额折算基准日登记在册的所有</w:t>
      </w:r>
      <w:r w:rsidR="00701270">
        <w:rPr>
          <w:rFonts w:hAnsi="Calibri" w:hint="eastAsia"/>
          <w:sz w:val="23"/>
          <w:szCs w:val="23"/>
        </w:rPr>
        <w:t>泰达宏利瑞利债券A</w:t>
      </w:r>
      <w:r>
        <w:rPr>
          <w:rFonts w:hAnsi="Calibri" w:hint="eastAsia"/>
          <w:sz w:val="23"/>
          <w:szCs w:val="23"/>
        </w:rPr>
        <w:t>份额。</w:t>
      </w:r>
      <w:r>
        <w:rPr>
          <w:rFonts w:hAnsi="Calibri"/>
          <w:sz w:val="23"/>
          <w:szCs w:val="23"/>
        </w:rPr>
        <w:t xml:space="preserve"> </w:t>
      </w:r>
    </w:p>
    <w:p w:rsidR="00387814" w:rsidRDefault="00387814" w:rsidP="00387814">
      <w:pPr>
        <w:pStyle w:val="Default"/>
        <w:ind w:firstLine="480"/>
        <w:rPr>
          <w:rFonts w:hAnsi="Calibri"/>
          <w:sz w:val="23"/>
          <w:szCs w:val="23"/>
        </w:rPr>
      </w:pPr>
      <w:r>
        <w:rPr>
          <w:rFonts w:hAnsi="Calibri" w:hint="eastAsia"/>
          <w:sz w:val="23"/>
          <w:szCs w:val="23"/>
        </w:rPr>
        <w:t>三、折算频率</w:t>
      </w:r>
      <w:r>
        <w:rPr>
          <w:rFonts w:hAnsi="Calibri"/>
          <w:sz w:val="23"/>
          <w:szCs w:val="23"/>
        </w:rPr>
        <w:t xml:space="preserve"> </w:t>
      </w:r>
    </w:p>
    <w:p w:rsidR="008164BF" w:rsidRDefault="008164BF" w:rsidP="00387814">
      <w:pPr>
        <w:pStyle w:val="Default"/>
        <w:ind w:firstLine="480"/>
        <w:rPr>
          <w:rFonts w:hAnsi="Calibri"/>
          <w:sz w:val="23"/>
          <w:szCs w:val="23"/>
        </w:rPr>
      </w:pPr>
      <w:r w:rsidRPr="00C01079">
        <w:rPr>
          <w:rFonts w:hAnsi="Calibri" w:hint="eastAsia"/>
          <w:sz w:val="23"/>
          <w:szCs w:val="23"/>
        </w:rPr>
        <w:t>自基金合同生效后每半年折算一次。</w:t>
      </w:r>
    </w:p>
    <w:p w:rsidR="00387814" w:rsidRDefault="00387814" w:rsidP="00387814">
      <w:pPr>
        <w:pStyle w:val="Default"/>
        <w:ind w:firstLine="480"/>
        <w:rPr>
          <w:rFonts w:hAnsi="Calibri"/>
          <w:sz w:val="23"/>
          <w:szCs w:val="23"/>
        </w:rPr>
      </w:pPr>
      <w:r>
        <w:rPr>
          <w:rFonts w:hAnsi="Calibri" w:hint="eastAsia"/>
          <w:sz w:val="23"/>
          <w:szCs w:val="23"/>
        </w:rPr>
        <w:t>四、折算方式</w:t>
      </w:r>
      <w:r>
        <w:rPr>
          <w:rFonts w:hAnsi="Calibri"/>
          <w:sz w:val="23"/>
          <w:szCs w:val="23"/>
        </w:rPr>
        <w:t xml:space="preserve"> </w:t>
      </w:r>
    </w:p>
    <w:p w:rsidR="00D31165" w:rsidRPr="00D31165" w:rsidRDefault="00D31165" w:rsidP="00D31165">
      <w:pPr>
        <w:autoSpaceDE w:val="0"/>
        <w:autoSpaceDN w:val="0"/>
        <w:adjustRightInd w:val="0"/>
        <w:ind w:firstLineChars="185" w:firstLine="425"/>
        <w:jc w:val="left"/>
        <w:rPr>
          <w:rFonts w:ascii="Arial Unicode MS" w:eastAsia="Arial Unicode MS" w:hAnsi="Calibri" w:cs="Arial Unicode MS"/>
          <w:color w:val="000000"/>
          <w:kern w:val="0"/>
          <w:sz w:val="23"/>
          <w:szCs w:val="23"/>
        </w:rPr>
      </w:pPr>
      <w:r w:rsidRPr="00D31165">
        <w:rPr>
          <w:rFonts w:ascii="Arial Unicode MS" w:eastAsia="Arial Unicode MS" w:hAnsi="Calibri" w:cs="Arial Unicode MS" w:hint="eastAsia"/>
          <w:color w:val="000000"/>
          <w:kern w:val="0"/>
          <w:sz w:val="23"/>
          <w:szCs w:val="23"/>
        </w:rPr>
        <w:t>在折算基准日日终，</w:t>
      </w:r>
      <w:r w:rsidR="008577A5" w:rsidRPr="008577A5">
        <w:rPr>
          <w:rFonts w:ascii="Arial Unicode MS" w:eastAsia="Arial Unicode MS" w:hAnsi="Calibri" w:cs="Arial Unicode MS" w:hint="eastAsia"/>
          <w:color w:val="000000"/>
          <w:kern w:val="0"/>
          <w:sz w:val="23"/>
          <w:szCs w:val="23"/>
        </w:rPr>
        <w:t>泰达宏利瑞利债券A</w:t>
      </w:r>
      <w:r w:rsidRPr="00D31165">
        <w:rPr>
          <w:rFonts w:ascii="Arial Unicode MS" w:eastAsia="Arial Unicode MS" w:hAnsi="Calibri" w:cs="Arial Unicode MS" w:hint="eastAsia"/>
          <w:color w:val="000000"/>
          <w:kern w:val="0"/>
          <w:sz w:val="23"/>
          <w:szCs w:val="23"/>
        </w:rPr>
        <w:t>的基金份额参考净值调整为</w:t>
      </w:r>
      <w:r w:rsidRPr="00D31165">
        <w:rPr>
          <w:rFonts w:ascii="Arial Unicode MS" w:eastAsia="Arial Unicode MS" w:hAnsi="Calibri" w:cs="Arial Unicode MS"/>
          <w:color w:val="000000"/>
          <w:kern w:val="0"/>
          <w:sz w:val="23"/>
          <w:szCs w:val="23"/>
        </w:rPr>
        <w:t xml:space="preserve">1.000 </w:t>
      </w:r>
      <w:r w:rsidRPr="00D31165">
        <w:rPr>
          <w:rFonts w:ascii="Arial Unicode MS" w:eastAsia="Arial Unicode MS" w:hAnsi="Calibri" w:cs="Arial Unicode MS" w:hint="eastAsia"/>
          <w:color w:val="000000"/>
          <w:kern w:val="0"/>
          <w:sz w:val="23"/>
          <w:szCs w:val="23"/>
        </w:rPr>
        <w:t>元，折算后基金份额持有人持有的</w:t>
      </w:r>
      <w:r w:rsidR="00DE30C1" w:rsidRPr="00DE30C1">
        <w:rPr>
          <w:rFonts w:ascii="Arial Unicode MS" w:eastAsia="Arial Unicode MS" w:hAnsi="Calibri" w:cs="Arial Unicode MS" w:hint="eastAsia"/>
          <w:color w:val="000000"/>
          <w:kern w:val="0"/>
          <w:sz w:val="23"/>
          <w:szCs w:val="23"/>
        </w:rPr>
        <w:t>泰达宏利瑞利债券A</w:t>
      </w:r>
      <w:r w:rsidRPr="00D31165">
        <w:rPr>
          <w:rFonts w:ascii="Arial Unicode MS" w:eastAsia="Arial Unicode MS" w:hAnsi="Calibri" w:cs="Arial Unicode MS" w:hint="eastAsia"/>
          <w:color w:val="000000"/>
          <w:kern w:val="0"/>
          <w:sz w:val="23"/>
          <w:szCs w:val="23"/>
        </w:rPr>
        <w:t>份额数将按照折算比例相应增减。</w:t>
      </w:r>
    </w:p>
    <w:p w:rsidR="00D31165" w:rsidRPr="00D31165" w:rsidRDefault="00D31165" w:rsidP="00D31165">
      <w:pPr>
        <w:autoSpaceDE w:val="0"/>
        <w:autoSpaceDN w:val="0"/>
        <w:adjustRightInd w:val="0"/>
        <w:ind w:firstLineChars="185" w:firstLine="425"/>
        <w:jc w:val="left"/>
        <w:rPr>
          <w:rFonts w:ascii="Arial Unicode MS" w:eastAsia="Arial Unicode MS" w:hAnsi="Calibri" w:cs="Arial Unicode MS"/>
          <w:color w:val="000000"/>
          <w:kern w:val="0"/>
          <w:sz w:val="23"/>
          <w:szCs w:val="23"/>
        </w:rPr>
      </w:pPr>
      <w:r w:rsidRPr="00D31165">
        <w:rPr>
          <w:rFonts w:ascii="Arial Unicode MS" w:eastAsia="Arial Unicode MS" w:hAnsi="Calibri" w:cs="Arial Unicode MS" w:hint="eastAsia"/>
          <w:color w:val="000000"/>
          <w:kern w:val="0"/>
          <w:sz w:val="23"/>
          <w:szCs w:val="23"/>
        </w:rPr>
        <w:t>瑞利</w:t>
      </w:r>
      <w:r w:rsidRPr="00D31165">
        <w:rPr>
          <w:rFonts w:ascii="Arial Unicode MS" w:eastAsia="Arial Unicode MS" w:hAnsi="Calibri" w:cs="Arial Unicode MS"/>
          <w:color w:val="000000"/>
          <w:kern w:val="0"/>
          <w:sz w:val="23"/>
          <w:szCs w:val="23"/>
        </w:rPr>
        <w:t>A</w:t>
      </w:r>
      <w:r w:rsidRPr="00D31165">
        <w:rPr>
          <w:rFonts w:ascii="Arial Unicode MS" w:eastAsia="Arial Unicode MS" w:hAnsi="Calibri" w:cs="Arial Unicode MS" w:hint="eastAsia"/>
          <w:color w:val="000000"/>
          <w:kern w:val="0"/>
          <w:sz w:val="23"/>
          <w:szCs w:val="23"/>
        </w:rPr>
        <w:t>的基金份额折算公式如下：</w:t>
      </w:r>
    </w:p>
    <w:p w:rsidR="00D31165" w:rsidRPr="00D31165" w:rsidRDefault="00D31165" w:rsidP="00D31165">
      <w:pPr>
        <w:autoSpaceDE w:val="0"/>
        <w:autoSpaceDN w:val="0"/>
        <w:adjustRightInd w:val="0"/>
        <w:ind w:firstLineChars="185" w:firstLine="425"/>
        <w:jc w:val="left"/>
        <w:rPr>
          <w:rFonts w:ascii="Arial Unicode MS" w:eastAsia="Arial Unicode MS" w:hAnsi="Calibri" w:cs="Arial Unicode MS"/>
          <w:color w:val="000000"/>
          <w:kern w:val="0"/>
          <w:sz w:val="23"/>
          <w:szCs w:val="23"/>
        </w:rPr>
      </w:pPr>
      <w:r w:rsidRPr="00D31165">
        <w:rPr>
          <w:rFonts w:ascii="Arial Unicode MS" w:eastAsia="Arial Unicode MS" w:hAnsi="Calibri" w:cs="Arial Unicode MS" w:hint="eastAsia"/>
          <w:color w:val="000000"/>
          <w:kern w:val="0"/>
          <w:sz w:val="23"/>
          <w:szCs w:val="23"/>
        </w:rPr>
        <w:t>瑞利</w:t>
      </w:r>
      <w:r w:rsidRPr="00D31165">
        <w:rPr>
          <w:rFonts w:ascii="Arial Unicode MS" w:eastAsia="Arial Unicode MS" w:hAnsi="Calibri" w:cs="Arial Unicode MS"/>
          <w:color w:val="000000"/>
          <w:kern w:val="0"/>
          <w:sz w:val="23"/>
          <w:szCs w:val="23"/>
        </w:rPr>
        <w:t>A</w:t>
      </w:r>
      <w:r w:rsidRPr="00D31165">
        <w:rPr>
          <w:rFonts w:ascii="Arial Unicode MS" w:eastAsia="Arial Unicode MS" w:hAnsi="Calibri" w:cs="Arial Unicode MS" w:hint="eastAsia"/>
          <w:color w:val="000000"/>
          <w:kern w:val="0"/>
          <w:sz w:val="23"/>
          <w:szCs w:val="23"/>
        </w:rPr>
        <w:t>的折算比例＝折算基准日折算前的瑞利</w:t>
      </w:r>
      <w:r w:rsidRPr="00D31165">
        <w:rPr>
          <w:rFonts w:ascii="Arial Unicode MS" w:eastAsia="Arial Unicode MS" w:hAnsi="Calibri" w:cs="Arial Unicode MS"/>
          <w:color w:val="000000"/>
          <w:kern w:val="0"/>
          <w:sz w:val="23"/>
          <w:szCs w:val="23"/>
        </w:rPr>
        <w:t>A</w:t>
      </w:r>
      <w:r w:rsidRPr="00D31165">
        <w:rPr>
          <w:rFonts w:ascii="Arial Unicode MS" w:eastAsia="Arial Unicode MS" w:hAnsi="Calibri" w:cs="Arial Unicode MS" w:hint="eastAsia"/>
          <w:color w:val="000000"/>
          <w:kern w:val="0"/>
          <w:sz w:val="23"/>
          <w:szCs w:val="23"/>
        </w:rPr>
        <w:t>基金份额参考净值</w:t>
      </w:r>
      <w:r w:rsidRPr="00D31165">
        <w:rPr>
          <w:rFonts w:ascii="Arial Unicode MS" w:eastAsia="Arial Unicode MS" w:hAnsi="Calibri" w:cs="Arial Unicode MS"/>
          <w:color w:val="000000"/>
          <w:kern w:val="0"/>
          <w:sz w:val="23"/>
          <w:szCs w:val="23"/>
        </w:rPr>
        <w:t>/1.000</w:t>
      </w:r>
    </w:p>
    <w:p w:rsidR="00D31165" w:rsidRPr="00D31165" w:rsidRDefault="00D31165" w:rsidP="00D31165">
      <w:pPr>
        <w:autoSpaceDE w:val="0"/>
        <w:autoSpaceDN w:val="0"/>
        <w:adjustRightInd w:val="0"/>
        <w:ind w:firstLineChars="185" w:firstLine="425"/>
        <w:jc w:val="left"/>
        <w:rPr>
          <w:rFonts w:ascii="Arial Unicode MS" w:eastAsia="Arial Unicode MS" w:hAnsi="Calibri" w:cs="Arial Unicode MS"/>
          <w:color w:val="000000"/>
          <w:kern w:val="0"/>
          <w:sz w:val="23"/>
          <w:szCs w:val="23"/>
        </w:rPr>
      </w:pPr>
      <w:r w:rsidRPr="00D31165">
        <w:rPr>
          <w:rFonts w:ascii="Arial Unicode MS" w:eastAsia="Arial Unicode MS" w:hAnsi="Calibri" w:cs="Arial Unicode MS" w:hint="eastAsia"/>
          <w:color w:val="000000"/>
          <w:kern w:val="0"/>
          <w:sz w:val="23"/>
          <w:szCs w:val="23"/>
        </w:rPr>
        <w:t>瑞利</w:t>
      </w:r>
      <w:r w:rsidRPr="00D31165">
        <w:rPr>
          <w:rFonts w:ascii="Arial Unicode MS" w:eastAsia="Arial Unicode MS" w:hAnsi="Calibri" w:cs="Arial Unicode MS"/>
          <w:color w:val="000000"/>
          <w:kern w:val="0"/>
          <w:sz w:val="23"/>
          <w:szCs w:val="23"/>
        </w:rPr>
        <w:t>A</w:t>
      </w:r>
      <w:r w:rsidRPr="00D31165">
        <w:rPr>
          <w:rFonts w:ascii="Arial Unicode MS" w:eastAsia="Arial Unicode MS" w:hAnsi="Calibri" w:cs="Arial Unicode MS" w:hint="eastAsia"/>
          <w:color w:val="000000"/>
          <w:kern w:val="0"/>
          <w:sz w:val="23"/>
          <w:szCs w:val="23"/>
        </w:rPr>
        <w:t>经折算后的份额数＝折算前瑞利</w:t>
      </w:r>
      <w:r w:rsidRPr="00D31165">
        <w:rPr>
          <w:rFonts w:ascii="Arial Unicode MS" w:eastAsia="Arial Unicode MS" w:hAnsi="Calibri" w:cs="Arial Unicode MS"/>
          <w:color w:val="000000"/>
          <w:kern w:val="0"/>
          <w:sz w:val="23"/>
          <w:szCs w:val="23"/>
        </w:rPr>
        <w:t>A</w:t>
      </w:r>
      <w:r w:rsidRPr="00D31165">
        <w:rPr>
          <w:rFonts w:ascii="Arial Unicode MS" w:eastAsia="Arial Unicode MS" w:hAnsi="Calibri" w:cs="Arial Unicode MS" w:hint="eastAsia"/>
          <w:color w:val="000000"/>
          <w:kern w:val="0"/>
          <w:sz w:val="23"/>
          <w:szCs w:val="23"/>
        </w:rPr>
        <w:t>的份额数×瑞利</w:t>
      </w:r>
      <w:r w:rsidRPr="00D31165">
        <w:rPr>
          <w:rFonts w:ascii="Arial Unicode MS" w:eastAsia="Arial Unicode MS" w:hAnsi="Calibri" w:cs="Arial Unicode MS"/>
          <w:color w:val="000000"/>
          <w:kern w:val="0"/>
          <w:sz w:val="23"/>
          <w:szCs w:val="23"/>
        </w:rPr>
        <w:t>A</w:t>
      </w:r>
      <w:r w:rsidRPr="00D31165">
        <w:rPr>
          <w:rFonts w:ascii="Arial Unicode MS" w:eastAsia="Arial Unicode MS" w:hAnsi="Calibri" w:cs="Arial Unicode MS" w:hint="eastAsia"/>
          <w:color w:val="000000"/>
          <w:kern w:val="0"/>
          <w:sz w:val="23"/>
          <w:szCs w:val="23"/>
        </w:rPr>
        <w:t>的折算比例</w:t>
      </w:r>
    </w:p>
    <w:p w:rsidR="00D31165" w:rsidRDefault="00D31165" w:rsidP="00CC0E3E">
      <w:pPr>
        <w:autoSpaceDE w:val="0"/>
        <w:autoSpaceDN w:val="0"/>
        <w:adjustRightInd w:val="0"/>
        <w:ind w:firstLineChars="184" w:firstLine="423"/>
        <w:jc w:val="left"/>
        <w:rPr>
          <w:rFonts w:ascii="Arial Unicode MS" w:eastAsia="Arial Unicode MS" w:hAnsi="Calibri" w:cs="Arial Unicode MS" w:hint="eastAsia"/>
          <w:color w:val="000000"/>
          <w:kern w:val="0"/>
          <w:sz w:val="23"/>
          <w:szCs w:val="23"/>
        </w:rPr>
      </w:pPr>
      <w:r w:rsidRPr="00D31165">
        <w:rPr>
          <w:rFonts w:ascii="Arial Unicode MS" w:eastAsia="Arial Unicode MS" w:hAnsi="Calibri" w:cs="Arial Unicode MS" w:hint="eastAsia"/>
          <w:color w:val="000000"/>
          <w:kern w:val="0"/>
          <w:sz w:val="23"/>
          <w:szCs w:val="23"/>
        </w:rPr>
        <w:lastRenderedPageBreak/>
        <w:t>瑞利</w:t>
      </w:r>
      <w:r w:rsidRPr="00D31165">
        <w:rPr>
          <w:rFonts w:ascii="Arial Unicode MS" w:eastAsia="Arial Unicode MS" w:hAnsi="Calibri" w:cs="Arial Unicode MS"/>
          <w:color w:val="000000"/>
          <w:kern w:val="0"/>
          <w:sz w:val="23"/>
          <w:szCs w:val="23"/>
        </w:rPr>
        <w:t>A</w:t>
      </w:r>
      <w:r w:rsidRPr="00D31165">
        <w:rPr>
          <w:rFonts w:ascii="Arial Unicode MS" w:eastAsia="Arial Unicode MS" w:hAnsi="Calibri" w:cs="Arial Unicode MS" w:hint="eastAsia"/>
          <w:color w:val="000000"/>
          <w:kern w:val="0"/>
          <w:sz w:val="23"/>
          <w:szCs w:val="23"/>
        </w:rPr>
        <w:t>经折算后的份额数按照四舍五入的方法保留到小数点后</w:t>
      </w:r>
      <w:r w:rsidRPr="00D31165">
        <w:rPr>
          <w:rFonts w:ascii="Arial Unicode MS" w:eastAsia="Arial Unicode MS" w:hAnsi="Calibri" w:cs="Arial Unicode MS"/>
          <w:color w:val="000000"/>
          <w:kern w:val="0"/>
          <w:sz w:val="23"/>
          <w:szCs w:val="23"/>
        </w:rPr>
        <w:t xml:space="preserve">2 </w:t>
      </w:r>
      <w:r w:rsidRPr="00D31165">
        <w:rPr>
          <w:rFonts w:ascii="Arial Unicode MS" w:eastAsia="Arial Unicode MS" w:hAnsi="Calibri" w:cs="Arial Unicode MS" w:hint="eastAsia"/>
          <w:color w:val="000000"/>
          <w:kern w:val="0"/>
          <w:sz w:val="23"/>
          <w:szCs w:val="23"/>
        </w:rPr>
        <w:t>位，由此误差产生的损失由基金财产承担，产生的收益归基金财产所有。</w:t>
      </w:r>
    </w:p>
    <w:p w:rsidR="00CC0E3E" w:rsidRDefault="00CC0E3E" w:rsidP="00CC0E3E">
      <w:pPr>
        <w:pStyle w:val="Default"/>
        <w:ind w:firstLineChars="184" w:firstLine="423"/>
        <w:rPr>
          <w:sz w:val="23"/>
          <w:szCs w:val="23"/>
        </w:rPr>
      </w:pPr>
      <w:r w:rsidRPr="00D31165">
        <w:rPr>
          <w:rFonts w:hAnsi="Calibri" w:hint="eastAsia"/>
          <w:sz w:val="23"/>
          <w:szCs w:val="23"/>
        </w:rPr>
        <w:t>瑞利</w:t>
      </w:r>
      <w:r w:rsidRPr="00D31165">
        <w:rPr>
          <w:rFonts w:hAnsi="Calibri"/>
          <w:sz w:val="23"/>
          <w:szCs w:val="23"/>
        </w:rPr>
        <w:t>A</w:t>
      </w:r>
      <w:r>
        <w:rPr>
          <w:rFonts w:hint="eastAsia"/>
          <w:sz w:val="23"/>
          <w:szCs w:val="23"/>
        </w:rPr>
        <w:t>在开放日折算比例将保留到小数点后</w:t>
      </w:r>
      <w:r>
        <w:rPr>
          <w:sz w:val="23"/>
          <w:szCs w:val="23"/>
        </w:rPr>
        <w:t>9</w:t>
      </w:r>
      <w:r>
        <w:rPr>
          <w:rFonts w:hint="eastAsia"/>
          <w:sz w:val="23"/>
          <w:szCs w:val="23"/>
        </w:rPr>
        <w:t>位。</w:t>
      </w:r>
      <w:r>
        <w:rPr>
          <w:sz w:val="23"/>
          <w:szCs w:val="23"/>
        </w:rPr>
        <w:t xml:space="preserve"> </w:t>
      </w:r>
    </w:p>
    <w:p w:rsidR="00CC0E3E" w:rsidRPr="00D31165" w:rsidRDefault="00CC0E3E" w:rsidP="00CC0E3E">
      <w:pPr>
        <w:autoSpaceDE w:val="0"/>
        <w:autoSpaceDN w:val="0"/>
        <w:adjustRightInd w:val="0"/>
        <w:ind w:firstLineChars="184" w:firstLine="423"/>
        <w:jc w:val="left"/>
        <w:rPr>
          <w:rFonts w:ascii="Arial Unicode MS" w:eastAsia="Arial Unicode MS" w:hAnsi="Calibri" w:cs="Arial Unicode MS"/>
          <w:color w:val="000000"/>
          <w:kern w:val="0"/>
          <w:sz w:val="23"/>
          <w:szCs w:val="23"/>
        </w:rPr>
      </w:pPr>
      <w:r w:rsidRPr="00CC0E3E">
        <w:rPr>
          <w:rFonts w:ascii="Arial Unicode MS" w:eastAsia="Arial Unicode MS" w:hAnsi="Calibri" w:cs="Arial Unicode MS" w:hint="eastAsia"/>
          <w:color w:val="000000"/>
          <w:kern w:val="0"/>
          <w:sz w:val="23"/>
          <w:szCs w:val="23"/>
        </w:rPr>
        <w:t>除保留位数因素影响外，基金份额折算对</w:t>
      </w:r>
      <w:r w:rsidRPr="00D31165">
        <w:rPr>
          <w:rFonts w:ascii="Arial Unicode MS" w:eastAsia="Arial Unicode MS" w:hAnsi="Calibri" w:cs="Arial Unicode MS" w:hint="eastAsia"/>
          <w:color w:val="000000"/>
          <w:kern w:val="0"/>
          <w:sz w:val="23"/>
          <w:szCs w:val="23"/>
        </w:rPr>
        <w:t>瑞利</w:t>
      </w:r>
      <w:r w:rsidRPr="00D31165">
        <w:rPr>
          <w:rFonts w:ascii="Arial Unicode MS" w:eastAsia="Arial Unicode MS" w:hAnsi="Calibri" w:cs="Arial Unicode MS"/>
          <w:color w:val="000000"/>
          <w:kern w:val="0"/>
          <w:sz w:val="23"/>
          <w:szCs w:val="23"/>
        </w:rPr>
        <w:t>A</w:t>
      </w:r>
      <w:r w:rsidRPr="00CC0E3E">
        <w:rPr>
          <w:rFonts w:ascii="Arial Unicode MS" w:eastAsia="Arial Unicode MS" w:hAnsi="Calibri" w:cs="Arial Unicode MS" w:hint="eastAsia"/>
          <w:color w:val="000000"/>
          <w:kern w:val="0"/>
          <w:sz w:val="23"/>
          <w:szCs w:val="23"/>
        </w:rPr>
        <w:t>持有人的权益无实质性影响。</w:t>
      </w:r>
    </w:p>
    <w:p w:rsidR="00656CF0" w:rsidRDefault="00D31165" w:rsidP="00CC0E3E">
      <w:pPr>
        <w:autoSpaceDE w:val="0"/>
        <w:autoSpaceDN w:val="0"/>
        <w:adjustRightInd w:val="0"/>
        <w:ind w:firstLineChars="184" w:firstLine="423"/>
        <w:jc w:val="left"/>
        <w:rPr>
          <w:rFonts w:ascii="Arial Unicode MS" w:eastAsia="Arial Unicode MS" w:hAnsi="Calibri" w:cs="Arial Unicode MS" w:hint="eastAsia"/>
          <w:kern w:val="0"/>
          <w:sz w:val="23"/>
          <w:szCs w:val="23"/>
        </w:rPr>
      </w:pPr>
      <w:r w:rsidRPr="00D31165">
        <w:rPr>
          <w:rFonts w:ascii="Arial Unicode MS" w:eastAsia="Arial Unicode MS" w:hAnsi="Calibri" w:cs="Arial Unicode MS" w:hint="eastAsia"/>
          <w:color w:val="000000"/>
          <w:kern w:val="0"/>
          <w:sz w:val="23"/>
          <w:szCs w:val="23"/>
        </w:rPr>
        <w:t>在实施基金份额折算时，折算基准日折算前的瑞利</w:t>
      </w:r>
      <w:r w:rsidRPr="00D31165">
        <w:rPr>
          <w:rFonts w:ascii="Arial Unicode MS" w:eastAsia="Arial Unicode MS" w:hAnsi="Calibri" w:cs="Arial Unicode MS"/>
          <w:color w:val="000000"/>
          <w:kern w:val="0"/>
          <w:sz w:val="23"/>
          <w:szCs w:val="23"/>
        </w:rPr>
        <w:t>A</w:t>
      </w:r>
      <w:r w:rsidRPr="00D31165">
        <w:rPr>
          <w:rFonts w:ascii="Arial Unicode MS" w:eastAsia="Arial Unicode MS" w:hAnsi="Calibri" w:cs="Arial Unicode MS" w:hint="eastAsia"/>
          <w:color w:val="000000"/>
          <w:kern w:val="0"/>
          <w:sz w:val="23"/>
          <w:szCs w:val="23"/>
        </w:rPr>
        <w:t>基金份额参考净值和</w:t>
      </w:r>
      <w:r w:rsidRPr="00D31165">
        <w:rPr>
          <w:rFonts w:ascii="Arial Unicode MS" w:eastAsia="Arial Unicode MS" w:hAnsi="Calibri" w:cs="Arial Unicode MS" w:hint="eastAsia"/>
          <w:kern w:val="0"/>
          <w:sz w:val="23"/>
          <w:szCs w:val="23"/>
        </w:rPr>
        <w:t>瑞利</w:t>
      </w:r>
      <w:r w:rsidRPr="00D31165">
        <w:rPr>
          <w:rFonts w:ascii="Arial Unicode MS" w:eastAsia="Arial Unicode MS" w:hAnsi="Calibri" w:cs="Arial Unicode MS"/>
          <w:kern w:val="0"/>
          <w:sz w:val="23"/>
          <w:szCs w:val="23"/>
        </w:rPr>
        <w:t>A</w:t>
      </w:r>
      <w:r w:rsidRPr="00D31165">
        <w:rPr>
          <w:rFonts w:ascii="Arial Unicode MS" w:eastAsia="Arial Unicode MS" w:hAnsi="Calibri" w:cs="Arial Unicode MS" w:hint="eastAsia"/>
          <w:kern w:val="0"/>
          <w:sz w:val="23"/>
          <w:szCs w:val="23"/>
        </w:rPr>
        <w:t>的折算比例的具体计算见基金管理人届时发布的相关公告。</w:t>
      </w:r>
    </w:p>
    <w:p w:rsidR="002543CA" w:rsidRDefault="002543CA" w:rsidP="002543CA">
      <w:pPr>
        <w:pStyle w:val="Default"/>
        <w:ind w:firstLine="480"/>
        <w:jc w:val="both"/>
        <w:rPr>
          <w:sz w:val="23"/>
          <w:szCs w:val="23"/>
        </w:rPr>
      </w:pPr>
      <w:r>
        <w:rPr>
          <w:rFonts w:hint="eastAsia"/>
          <w:sz w:val="23"/>
          <w:szCs w:val="23"/>
        </w:rPr>
        <w:t>五、基金份额折算期间的基金业务办理</w:t>
      </w:r>
      <w:r>
        <w:rPr>
          <w:sz w:val="23"/>
          <w:szCs w:val="23"/>
        </w:rPr>
        <w:t xml:space="preserve"> </w:t>
      </w:r>
    </w:p>
    <w:p w:rsidR="002543CA" w:rsidRDefault="002543CA" w:rsidP="00200398">
      <w:pPr>
        <w:pStyle w:val="Default"/>
        <w:ind w:firstLine="480"/>
        <w:jc w:val="both"/>
        <w:rPr>
          <w:sz w:val="23"/>
          <w:szCs w:val="23"/>
        </w:rPr>
      </w:pPr>
      <w:r>
        <w:rPr>
          <w:sz w:val="23"/>
          <w:szCs w:val="23"/>
        </w:rPr>
        <w:t>1</w:t>
      </w:r>
      <w:r>
        <w:rPr>
          <w:rFonts w:hint="eastAsia"/>
          <w:sz w:val="23"/>
          <w:szCs w:val="23"/>
        </w:rPr>
        <w:t>、</w:t>
      </w:r>
      <w:r>
        <w:rPr>
          <w:sz w:val="23"/>
          <w:szCs w:val="23"/>
        </w:rPr>
        <w:t>2014</w:t>
      </w:r>
      <w:r>
        <w:rPr>
          <w:rFonts w:hint="eastAsia"/>
          <w:sz w:val="23"/>
          <w:szCs w:val="23"/>
        </w:rPr>
        <w:t>年5月14日</w:t>
      </w:r>
      <w:r>
        <w:rPr>
          <w:sz w:val="23"/>
          <w:szCs w:val="23"/>
        </w:rPr>
        <w:t xml:space="preserve">: </w:t>
      </w:r>
      <w:r>
        <w:rPr>
          <w:rFonts w:hint="eastAsia"/>
          <w:sz w:val="23"/>
          <w:szCs w:val="23"/>
        </w:rPr>
        <w:t>该日为泰达宏利瑞利债券A基金份额折算基准日，泰达宏利瑞利债券A开放办理申购、赎回业务，基金管理人对泰达宏利瑞利债券A进行份额折算</w:t>
      </w:r>
      <w:r>
        <w:rPr>
          <w:sz w:val="23"/>
          <w:szCs w:val="23"/>
        </w:rPr>
        <w:t xml:space="preserve">; </w:t>
      </w:r>
      <w:r>
        <w:rPr>
          <w:rFonts w:hint="eastAsia"/>
          <w:sz w:val="23"/>
          <w:szCs w:val="23"/>
        </w:rPr>
        <w:t>此次</w:t>
      </w:r>
      <w:r>
        <w:rPr>
          <w:sz w:val="23"/>
          <w:szCs w:val="23"/>
        </w:rPr>
        <w:t>2014</w:t>
      </w:r>
      <w:r>
        <w:rPr>
          <w:rFonts w:hint="eastAsia"/>
          <w:sz w:val="23"/>
          <w:szCs w:val="23"/>
        </w:rPr>
        <w:t>年</w:t>
      </w:r>
      <w:r w:rsidR="00732141">
        <w:rPr>
          <w:rFonts w:hint="eastAsia"/>
          <w:sz w:val="23"/>
          <w:szCs w:val="23"/>
        </w:rPr>
        <w:t>5</w:t>
      </w:r>
      <w:r>
        <w:rPr>
          <w:rFonts w:hint="eastAsia"/>
          <w:sz w:val="23"/>
          <w:szCs w:val="23"/>
        </w:rPr>
        <w:t>月</w:t>
      </w:r>
      <w:r w:rsidR="00732141">
        <w:rPr>
          <w:rFonts w:hint="eastAsia"/>
          <w:sz w:val="23"/>
          <w:szCs w:val="23"/>
        </w:rPr>
        <w:t>14</w:t>
      </w:r>
      <w:r>
        <w:rPr>
          <w:rFonts w:hint="eastAsia"/>
          <w:sz w:val="23"/>
          <w:szCs w:val="23"/>
        </w:rPr>
        <w:t>日仅为泰达宏利瑞利债券A的开放日，本基金</w:t>
      </w:r>
      <w:r>
        <w:rPr>
          <w:sz w:val="23"/>
          <w:szCs w:val="23"/>
        </w:rPr>
        <w:t>B</w:t>
      </w:r>
      <w:r>
        <w:rPr>
          <w:rFonts w:hint="eastAsia"/>
          <w:sz w:val="23"/>
          <w:szCs w:val="23"/>
        </w:rPr>
        <w:t>份额（以下简称</w:t>
      </w:r>
      <w:r>
        <w:rPr>
          <w:sz w:val="23"/>
          <w:szCs w:val="23"/>
        </w:rPr>
        <w:t>“</w:t>
      </w:r>
      <w:r w:rsidR="00732141">
        <w:rPr>
          <w:rFonts w:hint="eastAsia"/>
          <w:sz w:val="23"/>
          <w:szCs w:val="23"/>
        </w:rPr>
        <w:t>泰达宏利瑞利债券</w:t>
      </w:r>
      <w:r>
        <w:rPr>
          <w:sz w:val="23"/>
          <w:szCs w:val="23"/>
        </w:rPr>
        <w:t>B</w:t>
      </w:r>
      <w:r>
        <w:rPr>
          <w:sz w:val="23"/>
          <w:szCs w:val="23"/>
        </w:rPr>
        <w:t>”</w:t>
      </w:r>
      <w:r>
        <w:rPr>
          <w:rFonts w:hint="eastAsia"/>
          <w:sz w:val="23"/>
          <w:szCs w:val="23"/>
        </w:rPr>
        <w:t>）目前封闭运作，不进行申赎与折算直至</w:t>
      </w:r>
      <w:r w:rsidR="00200398">
        <w:rPr>
          <w:rFonts w:hint="eastAsia"/>
          <w:sz w:val="23"/>
          <w:szCs w:val="23"/>
        </w:rPr>
        <w:t>泰达宏利瑞利债券</w:t>
      </w:r>
      <w:r>
        <w:rPr>
          <w:sz w:val="23"/>
          <w:szCs w:val="23"/>
        </w:rPr>
        <w:t>B</w:t>
      </w:r>
      <w:r>
        <w:rPr>
          <w:rFonts w:hint="eastAsia"/>
          <w:sz w:val="23"/>
          <w:szCs w:val="23"/>
        </w:rPr>
        <w:t>的首个开放日及首个折算基准日。有关本基金开放日的详细信息敬请参见本基金《基金合同》、《招募说明书》及开放申赎等公告文件的相关内容说明。</w:t>
      </w:r>
      <w:r>
        <w:rPr>
          <w:sz w:val="23"/>
          <w:szCs w:val="23"/>
        </w:rPr>
        <w:t xml:space="preserve"> </w:t>
      </w:r>
    </w:p>
    <w:p w:rsidR="002543CA" w:rsidRDefault="002543CA" w:rsidP="002543CA">
      <w:pPr>
        <w:pStyle w:val="Default"/>
        <w:ind w:firstLine="480"/>
        <w:jc w:val="both"/>
        <w:rPr>
          <w:sz w:val="23"/>
          <w:szCs w:val="23"/>
        </w:rPr>
      </w:pPr>
      <w:r>
        <w:rPr>
          <w:sz w:val="23"/>
          <w:szCs w:val="23"/>
        </w:rPr>
        <w:t>2</w:t>
      </w:r>
      <w:r>
        <w:rPr>
          <w:rFonts w:hint="eastAsia"/>
          <w:sz w:val="23"/>
          <w:szCs w:val="23"/>
        </w:rPr>
        <w:t>、</w:t>
      </w:r>
      <w:r w:rsidR="00CA6C11" w:rsidRPr="000539D6">
        <w:rPr>
          <w:sz w:val="23"/>
          <w:szCs w:val="23"/>
        </w:rPr>
        <w:t>2014年5月15日</w:t>
      </w:r>
      <w:r>
        <w:rPr>
          <w:rFonts w:hint="eastAsia"/>
          <w:sz w:val="23"/>
          <w:szCs w:val="23"/>
        </w:rPr>
        <w:t>：泰达宏利瑞利债券A暂停办理</w:t>
      </w:r>
      <w:r w:rsidR="00681460">
        <w:rPr>
          <w:rFonts w:hint="eastAsia"/>
          <w:sz w:val="23"/>
          <w:szCs w:val="23"/>
        </w:rPr>
        <w:t>赎回业务，仅</w:t>
      </w:r>
      <w:r w:rsidR="00CA6C11">
        <w:rPr>
          <w:rFonts w:hint="eastAsia"/>
          <w:sz w:val="23"/>
          <w:szCs w:val="23"/>
        </w:rPr>
        <w:t>开放</w:t>
      </w:r>
      <w:r w:rsidR="00681460">
        <w:rPr>
          <w:rFonts w:hint="eastAsia"/>
          <w:sz w:val="23"/>
          <w:szCs w:val="23"/>
        </w:rPr>
        <w:t>办理</w:t>
      </w:r>
      <w:r w:rsidR="00CA6C11">
        <w:rPr>
          <w:rFonts w:hint="eastAsia"/>
          <w:sz w:val="23"/>
          <w:szCs w:val="23"/>
        </w:rPr>
        <w:t>申购</w:t>
      </w:r>
      <w:r>
        <w:rPr>
          <w:rFonts w:hint="eastAsia"/>
          <w:sz w:val="23"/>
          <w:szCs w:val="23"/>
        </w:rPr>
        <w:t>业务。</w:t>
      </w:r>
      <w:r>
        <w:rPr>
          <w:sz w:val="23"/>
          <w:szCs w:val="23"/>
        </w:rPr>
        <w:t xml:space="preserve"> </w:t>
      </w:r>
    </w:p>
    <w:p w:rsidR="002543CA" w:rsidRPr="000539D6" w:rsidRDefault="002543CA" w:rsidP="002543CA">
      <w:pPr>
        <w:autoSpaceDE w:val="0"/>
        <w:autoSpaceDN w:val="0"/>
        <w:adjustRightInd w:val="0"/>
        <w:ind w:firstLineChars="184" w:firstLine="423"/>
        <w:jc w:val="left"/>
        <w:rPr>
          <w:rFonts w:ascii="Arial Unicode MS" w:eastAsia="Arial Unicode MS" w:cs="Arial Unicode MS"/>
          <w:color w:val="000000"/>
          <w:kern w:val="0"/>
          <w:sz w:val="23"/>
          <w:szCs w:val="23"/>
        </w:rPr>
      </w:pPr>
      <w:r w:rsidRPr="000539D6">
        <w:rPr>
          <w:rFonts w:ascii="Arial Unicode MS" w:eastAsia="Arial Unicode MS" w:cs="Arial Unicode MS"/>
          <w:color w:val="000000"/>
          <w:kern w:val="0"/>
          <w:sz w:val="23"/>
          <w:szCs w:val="23"/>
        </w:rPr>
        <w:t>3</w:t>
      </w:r>
      <w:r w:rsidRPr="000539D6">
        <w:rPr>
          <w:rFonts w:ascii="Arial Unicode MS" w:eastAsia="Arial Unicode MS" w:cs="Arial Unicode MS" w:hint="eastAsia"/>
          <w:color w:val="000000"/>
          <w:kern w:val="0"/>
          <w:sz w:val="23"/>
          <w:szCs w:val="23"/>
        </w:rPr>
        <w:t>、</w:t>
      </w:r>
      <w:r w:rsidR="000539D6" w:rsidRPr="000539D6">
        <w:rPr>
          <w:rFonts w:ascii="Arial Unicode MS" w:eastAsia="Arial Unicode MS" w:cs="Arial Unicode MS"/>
          <w:color w:val="000000"/>
          <w:kern w:val="0"/>
          <w:sz w:val="23"/>
          <w:szCs w:val="23"/>
        </w:rPr>
        <w:t>2014年5月1</w:t>
      </w:r>
      <w:r w:rsidR="000539D6" w:rsidRPr="000539D6">
        <w:rPr>
          <w:rFonts w:ascii="Arial Unicode MS" w:eastAsia="Arial Unicode MS" w:cs="Arial Unicode MS" w:hint="eastAsia"/>
          <w:color w:val="000000"/>
          <w:kern w:val="0"/>
          <w:sz w:val="23"/>
          <w:szCs w:val="23"/>
        </w:rPr>
        <w:t>6</w:t>
      </w:r>
      <w:r w:rsidR="000539D6" w:rsidRPr="000539D6">
        <w:rPr>
          <w:rFonts w:ascii="Arial Unicode MS" w:eastAsia="Arial Unicode MS" w:cs="Arial Unicode MS"/>
          <w:color w:val="000000"/>
          <w:kern w:val="0"/>
          <w:sz w:val="23"/>
          <w:szCs w:val="23"/>
        </w:rPr>
        <w:t>日</w:t>
      </w:r>
      <w:r w:rsidRPr="000539D6">
        <w:rPr>
          <w:rFonts w:ascii="Arial Unicode MS" w:eastAsia="Arial Unicode MS" w:cs="Arial Unicode MS" w:hint="eastAsia"/>
          <w:color w:val="000000"/>
          <w:kern w:val="0"/>
          <w:sz w:val="23"/>
          <w:szCs w:val="23"/>
        </w:rPr>
        <w:t>：</w:t>
      </w:r>
      <w:r w:rsidR="000539D6" w:rsidRPr="000539D6">
        <w:rPr>
          <w:rFonts w:ascii="Arial Unicode MS" w:eastAsia="Arial Unicode MS" w:cs="Arial Unicode MS" w:hint="eastAsia"/>
          <w:color w:val="000000"/>
          <w:kern w:val="0"/>
          <w:sz w:val="23"/>
          <w:szCs w:val="23"/>
        </w:rPr>
        <w:t>泰达宏利瑞利债券A暂停办理赎回业务，仅开放办理申购业务。</w:t>
      </w:r>
      <w:r w:rsidRPr="000539D6">
        <w:rPr>
          <w:rFonts w:ascii="Arial Unicode MS" w:eastAsia="Arial Unicode MS" w:cs="Arial Unicode MS" w:hint="eastAsia"/>
          <w:color w:val="000000"/>
          <w:kern w:val="0"/>
          <w:sz w:val="23"/>
          <w:szCs w:val="23"/>
        </w:rPr>
        <w:t>基金管理人将对此次份额折算确认结果进行公告，自该日起投资者可于工作日至各销售网点查询申购与赎回的确认情况。</w:t>
      </w:r>
    </w:p>
    <w:p w:rsidR="00387814" w:rsidRDefault="00387814" w:rsidP="00656CF0">
      <w:pPr>
        <w:autoSpaceDE w:val="0"/>
        <w:autoSpaceDN w:val="0"/>
        <w:adjustRightInd w:val="0"/>
        <w:ind w:firstLineChars="185" w:firstLine="425"/>
        <w:jc w:val="left"/>
        <w:rPr>
          <w:rFonts w:hAnsi="Calibri"/>
          <w:sz w:val="23"/>
          <w:szCs w:val="23"/>
        </w:rPr>
      </w:pPr>
      <w:r w:rsidRPr="00656CF0">
        <w:rPr>
          <w:rFonts w:ascii="Arial Unicode MS" w:eastAsia="Arial Unicode MS" w:hAnsi="Calibri" w:cs="Arial Unicode MS" w:hint="eastAsia"/>
          <w:kern w:val="0"/>
          <w:sz w:val="23"/>
          <w:szCs w:val="23"/>
        </w:rPr>
        <w:t>风险提示：</w:t>
      </w:r>
      <w:r>
        <w:rPr>
          <w:rFonts w:hAnsi="Calibri"/>
          <w:sz w:val="23"/>
          <w:szCs w:val="23"/>
        </w:rPr>
        <w:t xml:space="preserve"> </w:t>
      </w:r>
    </w:p>
    <w:p w:rsidR="00387814" w:rsidRDefault="00387814" w:rsidP="00387814">
      <w:pPr>
        <w:pStyle w:val="Default"/>
        <w:ind w:firstLine="480"/>
        <w:rPr>
          <w:rFonts w:hAnsi="Calibri"/>
          <w:sz w:val="23"/>
          <w:szCs w:val="23"/>
        </w:rPr>
      </w:pPr>
      <w:r>
        <w:rPr>
          <w:rFonts w:hAnsi="Calibri"/>
          <w:sz w:val="23"/>
          <w:szCs w:val="23"/>
        </w:rPr>
        <w:t>1</w:t>
      </w:r>
      <w:r>
        <w:rPr>
          <w:rFonts w:hAnsi="Calibri" w:hint="eastAsia"/>
          <w:sz w:val="23"/>
          <w:szCs w:val="23"/>
        </w:rPr>
        <w:t>、若近期市场出现异常波动，导致本折算方案不适用，本公司将另行公告。</w:t>
      </w:r>
      <w:r>
        <w:rPr>
          <w:rFonts w:hAnsi="Calibri"/>
          <w:sz w:val="23"/>
          <w:szCs w:val="23"/>
        </w:rPr>
        <w:t xml:space="preserve"> </w:t>
      </w:r>
    </w:p>
    <w:p w:rsidR="00387814" w:rsidRDefault="00387814" w:rsidP="00656CF0">
      <w:pPr>
        <w:pStyle w:val="Default"/>
        <w:ind w:firstLine="480"/>
        <w:rPr>
          <w:rFonts w:hAnsi="Calibri"/>
          <w:sz w:val="23"/>
          <w:szCs w:val="23"/>
        </w:rPr>
      </w:pPr>
      <w:r>
        <w:rPr>
          <w:rFonts w:hAnsi="Calibri"/>
          <w:sz w:val="23"/>
          <w:szCs w:val="23"/>
        </w:rPr>
        <w:t>2</w:t>
      </w:r>
      <w:r>
        <w:rPr>
          <w:rFonts w:hAnsi="Calibri" w:hint="eastAsia"/>
          <w:sz w:val="23"/>
          <w:szCs w:val="23"/>
        </w:rPr>
        <w:t>、基金管理人承诺以诚实信用、勤勉尽责的原则管理和运用基金资产，但不保证基金一定盈利，也不保证最低收益。投资者投资于本基金时应认真阅读本基金</w:t>
      </w:r>
      <w:r>
        <w:rPr>
          <w:rFonts w:hAnsi="Calibri" w:hint="eastAsia"/>
          <w:sz w:val="23"/>
          <w:szCs w:val="23"/>
        </w:rPr>
        <w:lastRenderedPageBreak/>
        <w:t>的《基金合同》和《招募说明书》等相关法律文件。敬请投资者留意投资风险。</w:t>
      </w:r>
      <w:r>
        <w:rPr>
          <w:rFonts w:hAnsi="Calibri"/>
          <w:sz w:val="23"/>
          <w:szCs w:val="23"/>
        </w:rPr>
        <w:t xml:space="preserve"> </w:t>
      </w:r>
    </w:p>
    <w:p w:rsidR="00387814" w:rsidRDefault="00387814" w:rsidP="00387814">
      <w:pPr>
        <w:pStyle w:val="Default"/>
        <w:ind w:firstLine="480"/>
        <w:jc w:val="both"/>
        <w:rPr>
          <w:rFonts w:hAnsi="Calibri"/>
          <w:sz w:val="23"/>
          <w:szCs w:val="23"/>
        </w:rPr>
      </w:pPr>
      <w:r>
        <w:rPr>
          <w:rFonts w:hAnsi="Calibri" w:hint="eastAsia"/>
          <w:sz w:val="23"/>
          <w:szCs w:val="23"/>
        </w:rPr>
        <w:t>投资者若希望了解基金份额折算业务详情，可致电</w:t>
      </w:r>
      <w:r w:rsidR="00E91480">
        <w:rPr>
          <w:rFonts w:ascii="宋体" w:hAnsi="宋体"/>
          <w:szCs w:val="21"/>
        </w:rPr>
        <w:t>本公</w:t>
      </w:r>
      <w:r w:rsidR="00E91480" w:rsidRPr="00D12AB0">
        <w:rPr>
          <w:rFonts w:hAnsi="Calibri"/>
          <w:sz w:val="23"/>
          <w:szCs w:val="23"/>
        </w:rPr>
        <w:t>司的客户服务电话400-698-8888或010-66555662</w:t>
      </w:r>
      <w:r>
        <w:rPr>
          <w:rFonts w:hAnsi="Calibri"/>
          <w:sz w:val="23"/>
          <w:szCs w:val="23"/>
        </w:rPr>
        <w:t>,</w:t>
      </w:r>
      <w:r>
        <w:rPr>
          <w:rFonts w:hAnsi="Calibri" w:hint="eastAsia"/>
          <w:sz w:val="23"/>
          <w:szCs w:val="23"/>
        </w:rPr>
        <w:t>或登录本公司网站</w:t>
      </w:r>
      <w:r>
        <w:rPr>
          <w:rFonts w:hAnsi="Calibri"/>
          <w:sz w:val="23"/>
          <w:szCs w:val="23"/>
        </w:rPr>
        <w:t>www.</w:t>
      </w:r>
      <w:r w:rsidR="00BD56F7">
        <w:rPr>
          <w:rFonts w:hAnsi="Calibri" w:hint="eastAsia"/>
          <w:sz w:val="23"/>
          <w:szCs w:val="23"/>
        </w:rPr>
        <w:t>mfcteda</w:t>
      </w:r>
      <w:r>
        <w:rPr>
          <w:rFonts w:hAnsi="Calibri"/>
          <w:sz w:val="23"/>
          <w:szCs w:val="23"/>
        </w:rPr>
        <w:t>.com</w:t>
      </w:r>
      <w:r>
        <w:rPr>
          <w:rFonts w:hAnsi="Calibri" w:hint="eastAsia"/>
          <w:sz w:val="23"/>
          <w:szCs w:val="23"/>
        </w:rPr>
        <w:t>进行查询。</w:t>
      </w:r>
      <w:r>
        <w:rPr>
          <w:rFonts w:hAnsi="Calibri"/>
          <w:sz w:val="23"/>
          <w:szCs w:val="23"/>
        </w:rPr>
        <w:t xml:space="preserve"> </w:t>
      </w:r>
    </w:p>
    <w:p w:rsidR="00387814" w:rsidRDefault="00387814" w:rsidP="00387814">
      <w:pPr>
        <w:pStyle w:val="Default"/>
        <w:ind w:firstLine="480"/>
        <w:rPr>
          <w:rFonts w:hAnsi="Calibri"/>
          <w:sz w:val="23"/>
          <w:szCs w:val="23"/>
        </w:rPr>
      </w:pPr>
      <w:r>
        <w:rPr>
          <w:rFonts w:hAnsi="Calibri" w:hint="eastAsia"/>
          <w:sz w:val="23"/>
          <w:szCs w:val="23"/>
        </w:rPr>
        <w:t>特此公告。</w:t>
      </w:r>
      <w:r>
        <w:rPr>
          <w:rFonts w:hAnsi="Calibri"/>
          <w:sz w:val="23"/>
          <w:szCs w:val="23"/>
        </w:rPr>
        <w:t xml:space="preserve"> </w:t>
      </w:r>
    </w:p>
    <w:p w:rsidR="00387814" w:rsidRDefault="00D12AB0" w:rsidP="00387814">
      <w:pPr>
        <w:pStyle w:val="Default"/>
        <w:jc w:val="right"/>
        <w:rPr>
          <w:rFonts w:hAnsi="Calibri"/>
          <w:sz w:val="23"/>
          <w:szCs w:val="23"/>
        </w:rPr>
      </w:pPr>
      <w:r>
        <w:rPr>
          <w:rFonts w:hAnsi="Calibri" w:hint="eastAsia"/>
          <w:sz w:val="23"/>
          <w:szCs w:val="23"/>
        </w:rPr>
        <w:t>泰达宏利</w:t>
      </w:r>
      <w:r w:rsidR="00387814">
        <w:rPr>
          <w:rFonts w:hAnsi="Calibri" w:hint="eastAsia"/>
          <w:sz w:val="23"/>
          <w:szCs w:val="23"/>
        </w:rPr>
        <w:t>基金管理有限公司</w:t>
      </w:r>
      <w:r w:rsidR="00387814">
        <w:rPr>
          <w:rFonts w:hAnsi="Calibri"/>
          <w:sz w:val="23"/>
          <w:szCs w:val="23"/>
        </w:rPr>
        <w:t xml:space="preserve"> </w:t>
      </w:r>
    </w:p>
    <w:p w:rsidR="00F0532B" w:rsidRPr="00753AEA" w:rsidRDefault="00387814" w:rsidP="00753AEA">
      <w:pPr>
        <w:ind w:rightChars="175" w:right="368"/>
        <w:jc w:val="right"/>
        <w:rPr>
          <w:rFonts w:ascii="Arial Unicode MS" w:eastAsia="Arial Unicode MS" w:hAnsi="Calibri" w:cs="Arial Unicode MS"/>
          <w:color w:val="000000"/>
          <w:kern w:val="0"/>
          <w:sz w:val="23"/>
          <w:szCs w:val="23"/>
        </w:rPr>
      </w:pPr>
      <w:r w:rsidRPr="00753AEA">
        <w:rPr>
          <w:rFonts w:ascii="Arial Unicode MS" w:eastAsia="Arial Unicode MS" w:hAnsi="Calibri" w:cs="Arial Unicode MS"/>
          <w:color w:val="000000"/>
          <w:kern w:val="0"/>
          <w:sz w:val="23"/>
          <w:szCs w:val="23"/>
        </w:rPr>
        <w:t>2014</w:t>
      </w:r>
      <w:r w:rsidRPr="00753AEA">
        <w:rPr>
          <w:rFonts w:ascii="Arial Unicode MS" w:eastAsia="Arial Unicode MS" w:hAnsi="Calibri" w:cs="Arial Unicode MS" w:hint="eastAsia"/>
          <w:color w:val="000000"/>
          <w:kern w:val="0"/>
          <w:sz w:val="23"/>
          <w:szCs w:val="23"/>
        </w:rPr>
        <w:t>年</w:t>
      </w:r>
      <w:r w:rsidR="00BD56F7" w:rsidRPr="00753AEA">
        <w:rPr>
          <w:rFonts w:ascii="Arial Unicode MS" w:eastAsia="Arial Unicode MS" w:hAnsi="Calibri" w:cs="Arial Unicode MS" w:hint="eastAsia"/>
          <w:color w:val="000000"/>
          <w:kern w:val="0"/>
          <w:sz w:val="23"/>
          <w:szCs w:val="23"/>
        </w:rPr>
        <w:t>5</w:t>
      </w:r>
      <w:r w:rsidRPr="00753AEA">
        <w:rPr>
          <w:rFonts w:ascii="Arial Unicode MS" w:eastAsia="Arial Unicode MS" w:hAnsi="Calibri" w:cs="Arial Unicode MS" w:hint="eastAsia"/>
          <w:color w:val="000000"/>
          <w:kern w:val="0"/>
          <w:sz w:val="23"/>
          <w:szCs w:val="23"/>
        </w:rPr>
        <w:t>月</w:t>
      </w:r>
      <w:r w:rsidR="00FF67EF">
        <w:rPr>
          <w:rFonts w:ascii="Arial Unicode MS" w:eastAsia="Arial Unicode MS" w:hAnsi="Calibri" w:cs="Arial Unicode MS" w:hint="eastAsia"/>
          <w:color w:val="000000"/>
          <w:kern w:val="0"/>
          <w:sz w:val="23"/>
          <w:szCs w:val="23"/>
        </w:rPr>
        <w:t>12</w:t>
      </w:r>
      <w:r w:rsidRPr="00753AEA">
        <w:rPr>
          <w:rFonts w:ascii="Arial Unicode MS" w:eastAsia="Arial Unicode MS" w:hAnsi="Calibri" w:cs="Arial Unicode MS" w:hint="eastAsia"/>
          <w:color w:val="000000"/>
          <w:kern w:val="0"/>
          <w:sz w:val="23"/>
          <w:szCs w:val="23"/>
        </w:rPr>
        <w:t>日</w:t>
      </w:r>
    </w:p>
    <w:sectPr w:rsidR="00F0532B" w:rsidRPr="00753AEA" w:rsidSect="00727E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470" w:rsidRDefault="00260470" w:rsidP="00387814">
      <w:r>
        <w:separator/>
      </w:r>
    </w:p>
  </w:endnote>
  <w:endnote w:type="continuationSeparator" w:id="0">
    <w:p w:rsidR="00260470" w:rsidRDefault="00260470" w:rsidP="003878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Unicode MS">
    <w:altName w:val="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470" w:rsidRDefault="00260470" w:rsidP="00387814">
      <w:r>
        <w:separator/>
      </w:r>
    </w:p>
  </w:footnote>
  <w:footnote w:type="continuationSeparator" w:id="0">
    <w:p w:rsidR="00260470" w:rsidRDefault="00260470" w:rsidP="003878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87814"/>
    <w:rsid w:val="000539D6"/>
    <w:rsid w:val="00090D0E"/>
    <w:rsid w:val="00162992"/>
    <w:rsid w:val="00185A25"/>
    <w:rsid w:val="001A5255"/>
    <w:rsid w:val="00200398"/>
    <w:rsid w:val="002543CA"/>
    <w:rsid w:val="00260470"/>
    <w:rsid w:val="00387814"/>
    <w:rsid w:val="004E3F51"/>
    <w:rsid w:val="00563D9B"/>
    <w:rsid w:val="005F55BD"/>
    <w:rsid w:val="00656CF0"/>
    <w:rsid w:val="00675856"/>
    <w:rsid w:val="00681460"/>
    <w:rsid w:val="006B0BAC"/>
    <w:rsid w:val="006E0D08"/>
    <w:rsid w:val="00701270"/>
    <w:rsid w:val="00727EEA"/>
    <w:rsid w:val="00732141"/>
    <w:rsid w:val="00753AEA"/>
    <w:rsid w:val="007A165C"/>
    <w:rsid w:val="008164BF"/>
    <w:rsid w:val="00855A29"/>
    <w:rsid w:val="008577A5"/>
    <w:rsid w:val="00975BDE"/>
    <w:rsid w:val="00B24785"/>
    <w:rsid w:val="00BD56F7"/>
    <w:rsid w:val="00C01079"/>
    <w:rsid w:val="00C61598"/>
    <w:rsid w:val="00CA6C11"/>
    <w:rsid w:val="00CC0E3E"/>
    <w:rsid w:val="00D12A52"/>
    <w:rsid w:val="00D12AB0"/>
    <w:rsid w:val="00D31165"/>
    <w:rsid w:val="00DE30C1"/>
    <w:rsid w:val="00E91480"/>
    <w:rsid w:val="00FF67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E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878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87814"/>
    <w:rPr>
      <w:sz w:val="18"/>
      <w:szCs w:val="18"/>
    </w:rPr>
  </w:style>
  <w:style w:type="paragraph" w:styleId="a4">
    <w:name w:val="footer"/>
    <w:basedOn w:val="a"/>
    <w:link w:val="Char0"/>
    <w:uiPriority w:val="99"/>
    <w:semiHidden/>
    <w:unhideWhenUsed/>
    <w:rsid w:val="0038781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87814"/>
    <w:rPr>
      <w:sz w:val="18"/>
      <w:szCs w:val="18"/>
    </w:rPr>
  </w:style>
  <w:style w:type="paragraph" w:customStyle="1" w:styleId="Default">
    <w:name w:val="Default"/>
    <w:rsid w:val="00387814"/>
    <w:pPr>
      <w:widowControl w:val="0"/>
      <w:autoSpaceDE w:val="0"/>
      <w:autoSpaceDN w:val="0"/>
      <w:adjustRightInd w:val="0"/>
    </w:pPr>
    <w:rPr>
      <w:rFonts w:ascii="Arial Unicode MS" w:eastAsia="Arial Unicode MS" w:cs="Arial Unicode MS"/>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205</Words>
  <Characters>1174</Characters>
  <Application>Microsoft Office Word</Application>
  <DocSecurity>0</DocSecurity>
  <Lines>9</Lines>
  <Paragraphs>2</Paragraphs>
  <ScaleCrop>false</ScaleCrop>
  <Company>mfcteda</Company>
  <LinksUpToDate>false</LinksUpToDate>
  <CharactersWithSpaces>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shinan</dc:creator>
  <cp:keywords/>
  <dc:description/>
  <cp:lastModifiedBy>shinan</cp:lastModifiedBy>
  <cp:revision>4</cp:revision>
  <dcterms:created xsi:type="dcterms:W3CDTF">2014-05-08T07:30:00Z</dcterms:created>
  <dcterms:modified xsi:type="dcterms:W3CDTF">2014-05-08T08:12:00Z</dcterms:modified>
</cp:coreProperties>
</file>