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B0" w:rsidRPr="00ED35DC" w:rsidRDefault="00ED35DC" w:rsidP="00194A6A">
      <w:pPr>
        <w:pStyle w:val="Default"/>
        <w:jc w:val="center"/>
        <w:rPr>
          <w:rFonts w:ascii="华文宋体" w:eastAsia="华文宋体" w:hAnsi="华文宋体"/>
          <w:b/>
          <w:sz w:val="28"/>
          <w:szCs w:val="28"/>
        </w:rPr>
      </w:pPr>
      <w:r w:rsidRPr="00ED35DC">
        <w:rPr>
          <w:rFonts w:ascii="华文宋体" w:eastAsia="华文宋体" w:hAnsi="华文宋体" w:hint="eastAsia"/>
          <w:b/>
          <w:sz w:val="28"/>
          <w:szCs w:val="28"/>
        </w:rPr>
        <w:t>泰达宏利基金管理有限公司</w:t>
      </w:r>
      <w:r w:rsidR="00D05495" w:rsidRPr="00CB2ED9">
        <w:rPr>
          <w:rFonts w:ascii="华文宋体" w:eastAsia="华文宋体" w:hAnsi="华文宋体" w:hint="eastAsia"/>
          <w:b/>
          <w:sz w:val="28"/>
          <w:szCs w:val="28"/>
        </w:rPr>
        <w:t>关于</w:t>
      </w:r>
      <w:r w:rsidR="00246CB0" w:rsidRPr="00CB2ED9">
        <w:rPr>
          <w:rFonts w:ascii="华文宋体" w:eastAsia="华文宋体" w:hAnsi="华文宋体" w:hint="eastAsia"/>
          <w:b/>
          <w:sz w:val="28"/>
          <w:szCs w:val="28"/>
        </w:rPr>
        <w:t>泰达宏利瑞利分级债券型证券投资基金</w:t>
      </w:r>
      <w:r w:rsidR="00246CB0" w:rsidRPr="00CB2ED9">
        <w:rPr>
          <w:rFonts w:ascii="华文宋体" w:eastAsia="华文宋体" w:hAnsi="华文宋体"/>
          <w:b/>
          <w:sz w:val="28"/>
          <w:szCs w:val="28"/>
        </w:rPr>
        <w:t>A</w:t>
      </w:r>
      <w:r w:rsidR="00246CB0" w:rsidRPr="00CB2ED9">
        <w:rPr>
          <w:rFonts w:ascii="华文宋体" w:eastAsia="华文宋体" w:hAnsi="华文宋体" w:hint="eastAsia"/>
          <w:b/>
          <w:sz w:val="28"/>
          <w:szCs w:val="28"/>
        </w:rPr>
        <w:t>份额</w:t>
      </w:r>
      <w:r w:rsidR="00E00BF0" w:rsidRPr="00CB2ED9">
        <w:rPr>
          <w:rFonts w:ascii="华文宋体" w:eastAsia="华文宋体" w:hAnsi="华文宋体" w:hint="eastAsia"/>
          <w:b/>
          <w:sz w:val="28"/>
          <w:szCs w:val="28"/>
        </w:rPr>
        <w:t>首个开放日后</w:t>
      </w:r>
      <w:r w:rsidR="00246CB0" w:rsidRPr="00CB2ED9">
        <w:rPr>
          <w:rFonts w:ascii="华文宋体" w:eastAsia="华文宋体" w:hAnsi="华文宋体" w:hint="eastAsia"/>
          <w:b/>
          <w:sz w:val="28"/>
          <w:szCs w:val="28"/>
        </w:rPr>
        <w:t>年约定收益率的公告</w:t>
      </w:r>
    </w:p>
    <w:p w:rsidR="00A314C1" w:rsidRPr="00194A6A" w:rsidRDefault="00246CB0" w:rsidP="00A314C1">
      <w:pPr>
        <w:pStyle w:val="Default"/>
        <w:rPr>
          <w:rFonts w:ascii="华文宋体" w:eastAsia="华文宋体" w:hAnsi="华文宋体" w:cs="宋体"/>
        </w:rPr>
      </w:pPr>
      <w:r w:rsidRPr="00194A6A">
        <w:rPr>
          <w:rFonts w:ascii="华文宋体" w:eastAsia="华文宋体" w:hAnsi="华文宋体" w:hint="eastAsia"/>
        </w:rPr>
        <w:t>根据《</w:t>
      </w:r>
      <w:r w:rsidR="00385EB2" w:rsidRPr="00194A6A">
        <w:rPr>
          <w:rFonts w:ascii="华文宋体" w:eastAsia="华文宋体" w:hAnsi="华文宋体" w:hint="eastAsia"/>
        </w:rPr>
        <w:t>泰达宏利瑞利分级债券型证券投资基金基金合同</w:t>
      </w:r>
      <w:r w:rsidRPr="00194A6A">
        <w:rPr>
          <w:rFonts w:ascii="华文宋体" w:eastAsia="华文宋体" w:hAnsi="华文宋体" w:hint="eastAsia"/>
        </w:rPr>
        <w:t>》</w:t>
      </w:r>
      <w:r w:rsidR="00A314C1" w:rsidRPr="00194A6A">
        <w:rPr>
          <w:rFonts w:ascii="华文宋体" w:eastAsia="华文宋体" w:hAnsi="华文宋体" w:hint="eastAsia"/>
        </w:rPr>
        <w:t>中关于泰达宏利瑞利分级债券型证券投资基金</w:t>
      </w:r>
      <w:r w:rsidR="00A314C1" w:rsidRPr="00194A6A">
        <w:rPr>
          <w:rFonts w:ascii="华文宋体" w:eastAsia="华文宋体" w:hAnsi="华文宋体"/>
        </w:rPr>
        <w:t>A</w:t>
      </w:r>
      <w:r w:rsidR="00A314C1" w:rsidRPr="00194A6A">
        <w:rPr>
          <w:rFonts w:ascii="华文宋体" w:eastAsia="华文宋体" w:hAnsi="华文宋体" w:hint="eastAsia"/>
        </w:rPr>
        <w:t>份额（以下简称</w:t>
      </w:r>
      <w:r w:rsidR="00A314C1" w:rsidRPr="00194A6A">
        <w:rPr>
          <w:rFonts w:ascii="华文宋体" w:eastAsia="华文宋体" w:hAnsi="华文宋体"/>
        </w:rPr>
        <w:t>“</w:t>
      </w:r>
      <w:r w:rsidR="00A314C1" w:rsidRPr="00194A6A">
        <w:rPr>
          <w:rFonts w:ascii="华文宋体" w:eastAsia="华文宋体" w:hAnsi="华文宋体" w:hint="eastAsia"/>
        </w:rPr>
        <w:t>瑞利</w:t>
      </w:r>
      <w:r w:rsidR="00A314C1" w:rsidRPr="00194A6A">
        <w:rPr>
          <w:rFonts w:ascii="华文宋体" w:eastAsia="华文宋体" w:hAnsi="华文宋体"/>
        </w:rPr>
        <w:t>A”</w:t>
      </w:r>
      <w:r w:rsidR="00A314C1" w:rsidRPr="00194A6A">
        <w:rPr>
          <w:rFonts w:ascii="华文宋体" w:eastAsia="华文宋体" w:hAnsi="华文宋体" w:hint="eastAsia"/>
        </w:rPr>
        <w:t>）年约定收益率的相关规定，基金管理人将在每个开放日（本次开放日为</w:t>
      </w:r>
      <w:r w:rsidR="00A314C1" w:rsidRPr="00194A6A">
        <w:rPr>
          <w:rFonts w:ascii="华文宋体" w:eastAsia="华文宋体" w:hAnsi="华文宋体"/>
        </w:rPr>
        <w:t>201</w:t>
      </w:r>
      <w:r w:rsidR="00A314C1" w:rsidRPr="00194A6A">
        <w:rPr>
          <w:rFonts w:ascii="华文宋体" w:eastAsia="华文宋体" w:hAnsi="华文宋体" w:hint="eastAsia"/>
        </w:rPr>
        <w:t>4年5月14日）前的第二个工作日，即</w:t>
      </w:r>
      <w:r w:rsidR="00A314C1" w:rsidRPr="00194A6A">
        <w:rPr>
          <w:rFonts w:ascii="华文宋体" w:eastAsia="华文宋体" w:hAnsi="华文宋体"/>
        </w:rPr>
        <w:t>201</w:t>
      </w:r>
      <w:r w:rsidR="00A314C1" w:rsidRPr="00194A6A">
        <w:rPr>
          <w:rFonts w:ascii="华文宋体" w:eastAsia="华文宋体" w:hAnsi="华文宋体" w:hint="eastAsia"/>
        </w:rPr>
        <w:t>4年5月12日重新设定该开放日次日起所适用的瑞利</w:t>
      </w:r>
      <w:r w:rsidR="00A314C1" w:rsidRPr="00194A6A">
        <w:rPr>
          <w:rFonts w:ascii="华文宋体" w:eastAsia="华文宋体" w:hAnsi="华文宋体"/>
        </w:rPr>
        <w:t>A</w:t>
      </w:r>
      <w:r w:rsidR="00A314C1" w:rsidRPr="00194A6A">
        <w:rPr>
          <w:rFonts w:ascii="华文宋体" w:eastAsia="华文宋体" w:hAnsi="华文宋体" w:hint="eastAsia"/>
        </w:rPr>
        <w:t>的年约定收益率，并在开放日公告。计算公式如下：</w:t>
      </w:r>
      <w:r w:rsidR="00A314C1" w:rsidRPr="00194A6A">
        <w:rPr>
          <w:rFonts w:ascii="华文宋体" w:eastAsia="华文宋体" w:hAnsi="华文宋体"/>
        </w:rPr>
        <w:t xml:space="preserve"> </w:t>
      </w:r>
    </w:p>
    <w:p w:rsidR="00A314C1" w:rsidRPr="00194A6A" w:rsidRDefault="00A314C1" w:rsidP="00A314C1">
      <w:pPr>
        <w:autoSpaceDE w:val="0"/>
        <w:autoSpaceDN w:val="0"/>
        <w:adjustRightInd w:val="0"/>
        <w:ind w:firstLine="420"/>
        <w:rPr>
          <w:rFonts w:ascii="华文宋体" w:eastAsia="华文宋体" w:hAnsi="华文宋体" w:cs="Arial Unicode MS"/>
          <w:color w:val="000000"/>
          <w:kern w:val="0"/>
          <w:position w:val="0"/>
          <w:sz w:val="24"/>
        </w:rPr>
      </w:pPr>
      <w:r w:rsidRPr="00194A6A">
        <w:rPr>
          <w:rFonts w:ascii="华文宋体" w:eastAsia="华文宋体" w:hAnsi="华文宋体" w:cs="Arial Unicode MS" w:hint="eastAsia"/>
          <w:color w:val="000000"/>
          <w:kern w:val="0"/>
          <w:position w:val="0"/>
          <w:sz w:val="24"/>
        </w:rPr>
        <w:t>瑞利</w:t>
      </w:r>
      <w:r w:rsidRPr="00194A6A">
        <w:rPr>
          <w:rFonts w:ascii="华文宋体" w:eastAsia="华文宋体" w:hAnsi="华文宋体" w:cs="Arial Unicode MS"/>
          <w:color w:val="000000"/>
          <w:kern w:val="0"/>
          <w:position w:val="0"/>
          <w:sz w:val="24"/>
        </w:rPr>
        <w:t>A</w:t>
      </w:r>
      <w:r w:rsidRPr="00194A6A">
        <w:rPr>
          <w:rFonts w:ascii="华文宋体" w:eastAsia="华文宋体" w:hAnsi="华文宋体" w:cs="Arial Unicode MS" w:hint="eastAsia"/>
          <w:color w:val="000000"/>
          <w:kern w:val="0"/>
          <w:position w:val="0"/>
          <w:sz w:val="24"/>
        </w:rPr>
        <w:t>的年约定收益率（单利）</w:t>
      </w:r>
      <w:r w:rsidRPr="00194A6A">
        <w:rPr>
          <w:rFonts w:ascii="华文宋体" w:eastAsia="华文宋体" w:hAnsi="华文宋体" w:cs="Arial Unicode MS"/>
          <w:color w:val="000000"/>
          <w:kern w:val="0"/>
          <w:position w:val="0"/>
          <w:sz w:val="24"/>
        </w:rPr>
        <w:t xml:space="preserve">= </w:t>
      </w:r>
      <w:r w:rsidRPr="00194A6A">
        <w:rPr>
          <w:rFonts w:ascii="华文宋体" w:eastAsia="华文宋体" w:hAnsi="华文宋体" w:cs="Arial Unicode MS" w:hint="eastAsia"/>
          <w:color w:val="000000"/>
          <w:kern w:val="0"/>
          <w:position w:val="0"/>
          <w:sz w:val="24"/>
        </w:rPr>
        <w:t>一年期银行定期存款利率（税后）</w:t>
      </w:r>
      <w:r w:rsidRPr="00194A6A">
        <w:rPr>
          <w:rFonts w:ascii="华文宋体" w:eastAsia="华文宋体" w:hAnsi="华文宋体" w:cs="Arial Unicode MS"/>
          <w:color w:val="000000"/>
          <w:kern w:val="0"/>
          <w:position w:val="0"/>
          <w:sz w:val="24"/>
        </w:rPr>
        <w:t>+</w:t>
      </w:r>
      <w:r w:rsidRPr="00194A6A">
        <w:rPr>
          <w:rFonts w:ascii="华文宋体" w:eastAsia="华文宋体" w:hAnsi="华文宋体" w:cs="Arial Unicode MS" w:hint="eastAsia"/>
          <w:color w:val="000000"/>
          <w:kern w:val="0"/>
          <w:position w:val="0"/>
          <w:sz w:val="24"/>
        </w:rPr>
        <w:t>利差</w:t>
      </w:r>
      <w:r w:rsidRPr="00194A6A">
        <w:rPr>
          <w:rFonts w:ascii="华文宋体" w:eastAsia="华文宋体" w:hAnsi="华文宋体" w:cs="Arial Unicode MS"/>
          <w:color w:val="000000"/>
          <w:kern w:val="0"/>
          <w:position w:val="0"/>
          <w:sz w:val="24"/>
        </w:rPr>
        <w:t xml:space="preserve"> </w:t>
      </w:r>
    </w:p>
    <w:p w:rsidR="00A314C1" w:rsidRPr="00194A6A" w:rsidRDefault="00A314C1" w:rsidP="00A314C1">
      <w:pPr>
        <w:autoSpaceDE w:val="0"/>
        <w:autoSpaceDN w:val="0"/>
        <w:adjustRightInd w:val="0"/>
        <w:ind w:firstLine="420"/>
        <w:rPr>
          <w:rFonts w:ascii="华文宋体" w:eastAsia="华文宋体" w:hAnsi="华文宋体" w:cs="Arial Unicode MS"/>
          <w:color w:val="000000"/>
          <w:kern w:val="0"/>
          <w:position w:val="0"/>
          <w:sz w:val="24"/>
        </w:rPr>
      </w:pPr>
      <w:r w:rsidRPr="00194A6A">
        <w:rPr>
          <w:rFonts w:ascii="华文宋体" w:eastAsia="华文宋体" w:hAnsi="华文宋体" w:cs="Arial Unicode MS" w:hint="eastAsia"/>
          <w:color w:val="000000"/>
          <w:kern w:val="0"/>
          <w:position w:val="0"/>
          <w:sz w:val="24"/>
        </w:rPr>
        <w:t>瑞利</w:t>
      </w:r>
      <w:r w:rsidRPr="00194A6A">
        <w:rPr>
          <w:rFonts w:ascii="华文宋体" w:eastAsia="华文宋体" w:hAnsi="华文宋体" w:cs="Arial Unicode MS"/>
          <w:color w:val="000000"/>
          <w:kern w:val="0"/>
          <w:position w:val="0"/>
          <w:sz w:val="24"/>
        </w:rPr>
        <w:t>A</w:t>
      </w:r>
      <w:r w:rsidRPr="00194A6A">
        <w:rPr>
          <w:rFonts w:ascii="华文宋体" w:eastAsia="华文宋体" w:hAnsi="华文宋体" w:cs="Arial Unicode MS" w:hint="eastAsia"/>
          <w:color w:val="000000"/>
          <w:kern w:val="0"/>
          <w:position w:val="0"/>
          <w:sz w:val="24"/>
        </w:rPr>
        <w:t>的年约定收益率计算按照四舍五入的方法保留到小数点后</w:t>
      </w:r>
      <w:r w:rsidRPr="00194A6A">
        <w:rPr>
          <w:rFonts w:ascii="华文宋体" w:eastAsia="华文宋体" w:hAnsi="华文宋体" w:cs="Arial Unicode MS"/>
          <w:color w:val="000000"/>
          <w:kern w:val="0"/>
          <w:position w:val="0"/>
          <w:sz w:val="24"/>
        </w:rPr>
        <w:t>2</w:t>
      </w:r>
      <w:r w:rsidRPr="00194A6A">
        <w:rPr>
          <w:rFonts w:ascii="华文宋体" w:eastAsia="华文宋体" w:hAnsi="华文宋体" w:cs="Arial Unicode MS" w:hint="eastAsia"/>
          <w:color w:val="000000"/>
          <w:kern w:val="0"/>
          <w:position w:val="0"/>
          <w:sz w:val="24"/>
        </w:rPr>
        <w:t>位。</w:t>
      </w:r>
      <w:r w:rsidRPr="00194A6A">
        <w:rPr>
          <w:rFonts w:ascii="华文宋体" w:eastAsia="华文宋体" w:hAnsi="华文宋体" w:cs="Arial Unicode MS"/>
          <w:color w:val="000000"/>
          <w:kern w:val="0"/>
          <w:position w:val="0"/>
          <w:sz w:val="24"/>
        </w:rPr>
        <w:t xml:space="preserve"> </w:t>
      </w:r>
    </w:p>
    <w:p w:rsidR="00A314C1" w:rsidRPr="00194A6A" w:rsidRDefault="006876A6" w:rsidP="006876A6">
      <w:pPr>
        <w:pStyle w:val="Default"/>
        <w:rPr>
          <w:rFonts w:ascii="华文宋体" w:eastAsia="华文宋体" w:hAnsi="华文宋体" w:cs="宋体"/>
        </w:rPr>
      </w:pPr>
      <w:r w:rsidRPr="00194A6A">
        <w:rPr>
          <w:rFonts w:ascii="华文宋体" w:eastAsia="华文宋体" w:hAnsi="华文宋体" w:hint="eastAsia"/>
        </w:rPr>
        <w:t>其中一年期银行定期存款利率（税后）是指中国人民银行公布并执行的金融机构人民币一年期整存整取基准年利率（当时适用税率）。在《基金合同》生效日前的第二个工作日、半年度开放期</w:t>
      </w:r>
      <w:proofErr w:type="gramStart"/>
      <w:r w:rsidRPr="00194A6A">
        <w:rPr>
          <w:rFonts w:ascii="华文宋体" w:eastAsia="华文宋体" w:hAnsi="华文宋体" w:hint="eastAsia"/>
        </w:rPr>
        <w:t>首日前</w:t>
      </w:r>
      <w:proofErr w:type="gramEnd"/>
      <w:r w:rsidRPr="00194A6A">
        <w:rPr>
          <w:rFonts w:ascii="华文宋体" w:eastAsia="华文宋体" w:hAnsi="华文宋体" w:hint="eastAsia"/>
        </w:rPr>
        <w:t>的第二个工作日、年度开放期</w:t>
      </w:r>
      <w:proofErr w:type="gramStart"/>
      <w:r w:rsidRPr="00194A6A">
        <w:rPr>
          <w:rFonts w:ascii="华文宋体" w:eastAsia="华文宋体" w:hAnsi="华文宋体" w:hint="eastAsia"/>
        </w:rPr>
        <w:t>首日前</w:t>
      </w:r>
      <w:proofErr w:type="gramEnd"/>
      <w:r w:rsidRPr="00194A6A">
        <w:rPr>
          <w:rFonts w:ascii="华文宋体" w:eastAsia="华文宋体" w:hAnsi="华文宋体" w:hint="eastAsia"/>
        </w:rPr>
        <w:t>的第二个工作日，基金管理人将根据该日中国人民银行公布并执行的金融机构人民币一年期整存整取基准年利率更新公式中适用的一年期银行定期存款利率（税后）</w:t>
      </w:r>
      <w:r w:rsidR="00A314C1" w:rsidRPr="00194A6A">
        <w:rPr>
          <w:rFonts w:ascii="华文宋体" w:eastAsia="华文宋体" w:hAnsi="华文宋体" w:hint="eastAsia"/>
        </w:rPr>
        <w:t>；</w:t>
      </w:r>
      <w:r w:rsidR="00E30A8C" w:rsidRPr="00194A6A">
        <w:rPr>
          <w:rFonts w:ascii="华文宋体" w:eastAsia="华文宋体" w:hAnsi="华文宋体" w:hint="eastAsia"/>
        </w:rPr>
        <w:t>其中利差由基金管理人根据国内市场利率变化约定</w:t>
      </w:r>
      <w:r w:rsidR="00A314C1" w:rsidRPr="00194A6A">
        <w:rPr>
          <w:rFonts w:ascii="华文宋体" w:eastAsia="华文宋体" w:hAnsi="华文宋体" w:hint="eastAsia"/>
        </w:rPr>
        <w:t>，</w:t>
      </w:r>
      <w:r w:rsidR="00327DAA" w:rsidRPr="00194A6A">
        <w:rPr>
          <w:rFonts w:ascii="华文宋体" w:eastAsia="华文宋体" w:hAnsi="华文宋体" w:hint="eastAsia"/>
        </w:rPr>
        <w:t>在每个运作周</w:t>
      </w:r>
      <w:proofErr w:type="gramStart"/>
      <w:r w:rsidR="00327DAA" w:rsidRPr="00194A6A">
        <w:rPr>
          <w:rFonts w:ascii="华文宋体" w:eastAsia="华文宋体" w:hAnsi="华文宋体" w:hint="eastAsia"/>
        </w:rPr>
        <w:t>年首日前公告该运作</w:t>
      </w:r>
      <w:proofErr w:type="gramEnd"/>
      <w:r w:rsidR="00327DAA" w:rsidRPr="00194A6A">
        <w:rPr>
          <w:rFonts w:ascii="华文宋体" w:eastAsia="华文宋体" w:hAnsi="华文宋体" w:hint="eastAsia"/>
        </w:rPr>
        <w:t>周年瑞利</w:t>
      </w:r>
      <w:r w:rsidR="00327DAA" w:rsidRPr="00194A6A">
        <w:rPr>
          <w:rFonts w:ascii="华文宋体" w:eastAsia="华文宋体" w:hAnsi="华文宋体"/>
        </w:rPr>
        <w:t xml:space="preserve">A </w:t>
      </w:r>
      <w:r w:rsidR="00327DAA" w:rsidRPr="00194A6A">
        <w:rPr>
          <w:rFonts w:ascii="华文宋体" w:eastAsia="华文宋体" w:hAnsi="华文宋体" w:hint="eastAsia"/>
        </w:rPr>
        <w:t>适用的利差值。利差的取值范围从</w:t>
      </w:r>
      <w:r w:rsidR="00327DAA" w:rsidRPr="00194A6A">
        <w:rPr>
          <w:rFonts w:ascii="华文宋体" w:eastAsia="华文宋体" w:hAnsi="华文宋体"/>
        </w:rPr>
        <w:t>0.5%</w:t>
      </w:r>
      <w:r w:rsidR="00327DAA" w:rsidRPr="00194A6A">
        <w:rPr>
          <w:rFonts w:ascii="华文宋体" w:eastAsia="华文宋体" w:hAnsi="华文宋体" w:hint="eastAsia"/>
        </w:rPr>
        <w:t>（含）到</w:t>
      </w:r>
      <w:r w:rsidR="00327DAA" w:rsidRPr="00194A6A">
        <w:rPr>
          <w:rFonts w:ascii="华文宋体" w:eastAsia="华文宋体" w:hAnsi="华文宋体"/>
        </w:rPr>
        <w:t>3%</w:t>
      </w:r>
      <w:r w:rsidR="00327DAA" w:rsidRPr="00194A6A">
        <w:rPr>
          <w:rFonts w:ascii="华文宋体" w:eastAsia="华文宋体" w:hAnsi="华文宋体" w:hint="eastAsia"/>
        </w:rPr>
        <w:t>（含）。</w:t>
      </w:r>
      <w:r w:rsidR="00A314C1" w:rsidRPr="00194A6A">
        <w:rPr>
          <w:rFonts w:ascii="华文宋体" w:eastAsia="华文宋体" w:hAnsi="华文宋体" w:hint="eastAsia"/>
        </w:rPr>
        <w:t>根据本</w:t>
      </w:r>
      <w:proofErr w:type="gramStart"/>
      <w:r w:rsidR="00A314C1" w:rsidRPr="00194A6A">
        <w:rPr>
          <w:rFonts w:ascii="华文宋体" w:eastAsia="华文宋体" w:hAnsi="华文宋体" w:hint="eastAsia"/>
        </w:rPr>
        <w:t>基金基金</w:t>
      </w:r>
      <w:proofErr w:type="gramEnd"/>
      <w:r w:rsidR="00A314C1" w:rsidRPr="00194A6A">
        <w:rPr>
          <w:rFonts w:ascii="华文宋体" w:eastAsia="华文宋体" w:hAnsi="华文宋体" w:hint="eastAsia"/>
        </w:rPr>
        <w:t>合同，同时结合国内利率市场情况，本基金</w:t>
      </w:r>
      <w:r w:rsidRPr="00194A6A">
        <w:rPr>
          <w:rFonts w:ascii="华文宋体" w:eastAsia="华文宋体" w:hAnsi="华文宋体" w:hint="eastAsia"/>
        </w:rPr>
        <w:t>第一个运作周年</w:t>
      </w:r>
      <w:r w:rsidR="004E48CF" w:rsidRPr="00194A6A">
        <w:rPr>
          <w:rFonts w:ascii="华文宋体" w:eastAsia="华文宋体" w:hAnsi="华文宋体" w:hint="eastAsia"/>
        </w:rPr>
        <w:t>的</w:t>
      </w:r>
      <w:r w:rsidR="00A314C1" w:rsidRPr="00194A6A">
        <w:rPr>
          <w:rFonts w:ascii="华文宋体" w:eastAsia="华文宋体" w:hAnsi="华文宋体" w:hint="eastAsia"/>
        </w:rPr>
        <w:t>利差值确定为</w:t>
      </w:r>
      <w:r w:rsidR="00A314C1" w:rsidRPr="00194A6A">
        <w:rPr>
          <w:rFonts w:ascii="华文宋体" w:eastAsia="华文宋体" w:hAnsi="华文宋体"/>
        </w:rPr>
        <w:t>1.</w:t>
      </w:r>
      <w:r w:rsidR="00CA2C91" w:rsidRPr="00194A6A">
        <w:rPr>
          <w:rFonts w:ascii="华文宋体" w:eastAsia="华文宋体" w:hAnsi="华文宋体" w:hint="eastAsia"/>
        </w:rPr>
        <w:t>7</w:t>
      </w:r>
      <w:r w:rsidR="00A314C1" w:rsidRPr="00194A6A">
        <w:rPr>
          <w:rFonts w:ascii="华文宋体" w:eastAsia="华文宋体" w:hAnsi="华文宋体"/>
        </w:rPr>
        <w:t>%</w:t>
      </w:r>
      <w:r w:rsidR="00A314C1" w:rsidRPr="00194A6A">
        <w:rPr>
          <w:rFonts w:ascii="华文宋体" w:eastAsia="华文宋体" w:hAnsi="华文宋体" w:hint="eastAsia"/>
        </w:rPr>
        <w:t>。</w:t>
      </w:r>
      <w:r w:rsidR="00A314C1" w:rsidRPr="00194A6A">
        <w:rPr>
          <w:rFonts w:ascii="华文宋体" w:eastAsia="华文宋体" w:hAnsi="华文宋体"/>
        </w:rPr>
        <w:t xml:space="preserve"> </w:t>
      </w:r>
    </w:p>
    <w:p w:rsidR="00246CB0" w:rsidRDefault="00A314C1" w:rsidP="00A314C1">
      <w:pPr>
        <w:pStyle w:val="Default"/>
        <w:rPr>
          <w:rFonts w:ascii="华文宋体" w:eastAsia="华文宋体" w:hAnsi="华文宋体" w:hint="eastAsia"/>
        </w:rPr>
      </w:pPr>
      <w:r w:rsidRPr="00194A6A">
        <w:rPr>
          <w:rFonts w:ascii="华文宋体" w:eastAsia="华文宋体" w:hAnsi="华文宋体" w:hint="eastAsia"/>
        </w:rPr>
        <w:t>鉴于</w:t>
      </w:r>
      <w:r w:rsidRPr="00194A6A">
        <w:rPr>
          <w:rFonts w:ascii="华文宋体" w:eastAsia="华文宋体" w:hAnsi="华文宋体"/>
        </w:rPr>
        <w:t>201</w:t>
      </w:r>
      <w:r w:rsidRPr="00194A6A">
        <w:rPr>
          <w:rFonts w:ascii="华文宋体" w:eastAsia="华文宋体" w:hAnsi="华文宋体" w:hint="eastAsia"/>
        </w:rPr>
        <w:t>4年5月12日中国人民银行公布的金融机构人民币一年期整存整取基准年利率为</w:t>
      </w:r>
      <w:r w:rsidRPr="00194A6A">
        <w:rPr>
          <w:rFonts w:ascii="华文宋体" w:eastAsia="华文宋体" w:hAnsi="华文宋体"/>
        </w:rPr>
        <w:t>3.00%</w:t>
      </w:r>
      <w:r w:rsidRPr="00194A6A">
        <w:rPr>
          <w:rFonts w:ascii="华文宋体" w:eastAsia="华文宋体" w:hAnsi="华文宋体" w:hint="eastAsia"/>
        </w:rPr>
        <w:t>，因此瑞利</w:t>
      </w:r>
      <w:r w:rsidRPr="00194A6A">
        <w:rPr>
          <w:rFonts w:ascii="华文宋体" w:eastAsia="华文宋体" w:hAnsi="华文宋体"/>
        </w:rPr>
        <w:t>A</w:t>
      </w:r>
      <w:r w:rsidRPr="00194A6A">
        <w:rPr>
          <w:rFonts w:ascii="华文宋体" w:eastAsia="华文宋体" w:hAnsi="华文宋体" w:hint="eastAsia"/>
        </w:rPr>
        <w:t>在首个开放日后的年约定收益率为</w:t>
      </w:r>
      <w:r w:rsidRPr="00194A6A">
        <w:rPr>
          <w:rFonts w:ascii="华文宋体" w:eastAsia="华文宋体" w:hAnsi="华文宋体"/>
        </w:rPr>
        <w:t>4.</w:t>
      </w:r>
      <w:r w:rsidR="00CA2C91" w:rsidRPr="00194A6A">
        <w:rPr>
          <w:rFonts w:ascii="华文宋体" w:eastAsia="华文宋体" w:hAnsi="华文宋体" w:hint="eastAsia"/>
        </w:rPr>
        <w:t>7</w:t>
      </w:r>
      <w:r w:rsidRPr="00194A6A">
        <w:rPr>
          <w:rFonts w:ascii="华文宋体" w:eastAsia="华文宋体" w:hAnsi="华文宋体"/>
        </w:rPr>
        <w:t>0%(=3.00%+1.</w:t>
      </w:r>
      <w:r w:rsidR="00CA2C91" w:rsidRPr="00194A6A">
        <w:rPr>
          <w:rFonts w:ascii="华文宋体" w:eastAsia="华文宋体" w:hAnsi="华文宋体" w:hint="eastAsia"/>
        </w:rPr>
        <w:t>7</w:t>
      </w:r>
      <w:r w:rsidRPr="00194A6A">
        <w:rPr>
          <w:rFonts w:ascii="华文宋体" w:eastAsia="华文宋体" w:hAnsi="华文宋体"/>
        </w:rPr>
        <w:t>%)</w:t>
      </w:r>
      <w:r w:rsidRPr="00194A6A">
        <w:rPr>
          <w:rFonts w:ascii="华文宋体" w:eastAsia="华文宋体" w:hAnsi="华文宋体" w:hint="eastAsia"/>
        </w:rPr>
        <w:t>。</w:t>
      </w:r>
    </w:p>
    <w:p w:rsidR="00ED35DC" w:rsidRPr="00194A6A" w:rsidRDefault="00ED35DC" w:rsidP="00A314C1">
      <w:pPr>
        <w:pStyle w:val="Default"/>
        <w:rPr>
          <w:rFonts w:ascii="华文宋体" w:eastAsia="华文宋体" w:hAnsi="华文宋体"/>
        </w:rPr>
      </w:pPr>
      <w:r>
        <w:rPr>
          <w:rFonts w:ascii="华文宋体" w:eastAsia="华文宋体" w:hAnsi="华文宋体" w:hint="eastAsia"/>
        </w:rPr>
        <w:t>本次</w:t>
      </w:r>
      <w:r w:rsidRPr="00ED35DC">
        <w:rPr>
          <w:rFonts w:ascii="华文宋体" w:eastAsia="华文宋体" w:hAnsi="华文宋体" w:hint="eastAsia"/>
        </w:rPr>
        <w:t>开放日后的约定收益率与</w:t>
      </w:r>
      <w:proofErr w:type="gramStart"/>
      <w:r w:rsidRPr="00ED35DC">
        <w:rPr>
          <w:rFonts w:ascii="华文宋体" w:eastAsia="华文宋体" w:hAnsi="华文宋体" w:hint="eastAsia"/>
        </w:rPr>
        <w:t>本运作</w:t>
      </w:r>
      <w:proofErr w:type="gramEnd"/>
      <w:r w:rsidRPr="00ED35DC">
        <w:rPr>
          <w:rFonts w:ascii="华文宋体" w:eastAsia="华文宋体" w:hAnsi="华文宋体" w:hint="eastAsia"/>
        </w:rPr>
        <w:t>周年前半年约定收益率相同。</w:t>
      </w:r>
    </w:p>
    <w:p w:rsidR="00ED35DC" w:rsidRDefault="00246CB0" w:rsidP="00246CB0">
      <w:pPr>
        <w:pStyle w:val="Default"/>
        <w:rPr>
          <w:rFonts w:ascii="华文宋体" w:eastAsia="华文宋体" w:hAnsi="华文宋体" w:hint="eastAsia"/>
        </w:rPr>
      </w:pPr>
      <w:r w:rsidRPr="00194A6A">
        <w:rPr>
          <w:rFonts w:ascii="华文宋体" w:eastAsia="华文宋体" w:hAnsi="华文宋体"/>
        </w:rPr>
        <w:t xml:space="preserve"> </w:t>
      </w:r>
    </w:p>
    <w:p w:rsidR="00246CB0" w:rsidRPr="00194A6A" w:rsidRDefault="00246CB0" w:rsidP="00246CB0">
      <w:pPr>
        <w:pStyle w:val="Default"/>
        <w:rPr>
          <w:rFonts w:ascii="华文宋体" w:eastAsia="华文宋体" w:hAnsi="华文宋体"/>
        </w:rPr>
      </w:pPr>
      <w:r w:rsidRPr="00194A6A">
        <w:rPr>
          <w:rFonts w:ascii="华文宋体" w:eastAsia="华文宋体" w:hAnsi="华文宋体" w:hint="eastAsia"/>
        </w:rPr>
        <w:lastRenderedPageBreak/>
        <w:t>风险提示：</w:t>
      </w:r>
      <w:r w:rsidRPr="00194A6A">
        <w:rPr>
          <w:rFonts w:ascii="华文宋体" w:eastAsia="华文宋体" w:hAnsi="华文宋体"/>
        </w:rPr>
        <w:t xml:space="preserve"> </w:t>
      </w:r>
    </w:p>
    <w:p w:rsidR="00246CB0" w:rsidRPr="00194A6A" w:rsidRDefault="00327DAA" w:rsidP="00327DAA">
      <w:pPr>
        <w:pStyle w:val="Default"/>
        <w:rPr>
          <w:rFonts w:ascii="华文宋体" w:eastAsia="华文宋体" w:hAnsi="华文宋体"/>
        </w:rPr>
      </w:pPr>
      <w:r w:rsidRPr="00194A6A">
        <w:rPr>
          <w:rFonts w:ascii="华文宋体" w:eastAsia="华文宋体" w:hAnsi="华文宋体" w:hint="eastAsia"/>
        </w:rPr>
        <w:t>基金管理人并不承诺或保证瑞利</w:t>
      </w:r>
      <w:r w:rsidRPr="00194A6A">
        <w:rPr>
          <w:rFonts w:ascii="华文宋体" w:eastAsia="华文宋体" w:hAnsi="华文宋体"/>
        </w:rPr>
        <w:t xml:space="preserve">A </w:t>
      </w:r>
      <w:r w:rsidRPr="00194A6A">
        <w:rPr>
          <w:rFonts w:ascii="华文宋体" w:eastAsia="华文宋体" w:hAnsi="华文宋体" w:hint="eastAsia"/>
        </w:rPr>
        <w:t>的约定收益，在基金资产出现极端损失的情况下，瑞利</w:t>
      </w:r>
      <w:r w:rsidRPr="00194A6A">
        <w:rPr>
          <w:rFonts w:ascii="华文宋体" w:eastAsia="华文宋体" w:hAnsi="华文宋体"/>
        </w:rPr>
        <w:t xml:space="preserve">A </w:t>
      </w:r>
      <w:r w:rsidRPr="00194A6A">
        <w:rPr>
          <w:rFonts w:ascii="华文宋体" w:eastAsia="华文宋体" w:hAnsi="华文宋体" w:hint="eastAsia"/>
        </w:rPr>
        <w:t>的基金份额持有人可能会面临无法取得约定收益甚至损失本金的风险。</w:t>
      </w:r>
      <w:r w:rsidR="00246CB0" w:rsidRPr="00194A6A">
        <w:rPr>
          <w:rFonts w:ascii="华文宋体" w:eastAsia="华文宋体" w:hAnsi="华文宋体" w:hint="eastAsia"/>
        </w:rPr>
        <w:t>投资者投资于本基金时应认真阅读本基金的《基金合同》和《招募说明书》等相关法律文件。</w:t>
      </w:r>
      <w:r w:rsidR="00246CB0" w:rsidRPr="00194A6A">
        <w:rPr>
          <w:rFonts w:ascii="华文宋体" w:eastAsia="华文宋体" w:hAnsi="华文宋体"/>
        </w:rPr>
        <w:t xml:space="preserve"> </w:t>
      </w:r>
    </w:p>
    <w:p w:rsidR="00327DAA" w:rsidRPr="00194A6A" w:rsidRDefault="00327DAA" w:rsidP="00246CB0">
      <w:pPr>
        <w:pStyle w:val="Default"/>
        <w:rPr>
          <w:rFonts w:ascii="华文宋体" w:eastAsia="华文宋体" w:hAnsi="华文宋体"/>
        </w:rPr>
      </w:pPr>
    </w:p>
    <w:p w:rsidR="00246CB0" w:rsidRPr="00194A6A" w:rsidRDefault="00194A6A" w:rsidP="00246CB0">
      <w:pPr>
        <w:pStyle w:val="Default"/>
        <w:rPr>
          <w:rFonts w:ascii="华文宋体" w:eastAsia="华文宋体" w:hAnsi="华文宋体"/>
        </w:rPr>
      </w:pPr>
      <w:r w:rsidRPr="00194A6A">
        <w:rPr>
          <w:rFonts w:ascii="华文宋体" w:eastAsia="华文宋体" w:hAnsi="华文宋体" w:hint="eastAsia"/>
        </w:rPr>
        <w:t>投资者可以通过以下途径</w:t>
      </w:r>
      <w:r w:rsidR="00246CB0" w:rsidRPr="00194A6A">
        <w:rPr>
          <w:rFonts w:ascii="华文宋体" w:eastAsia="华文宋体" w:hAnsi="华文宋体" w:hint="eastAsia"/>
        </w:rPr>
        <w:t>咨询有关详情：</w:t>
      </w:r>
      <w:r w:rsidR="00246CB0" w:rsidRPr="00194A6A">
        <w:rPr>
          <w:rFonts w:ascii="华文宋体" w:eastAsia="华文宋体" w:hAnsi="华文宋体"/>
        </w:rPr>
        <w:t xml:space="preserve"> </w:t>
      </w:r>
    </w:p>
    <w:p w:rsidR="00E00BF0" w:rsidRPr="00194A6A" w:rsidRDefault="00E00BF0" w:rsidP="00246CB0">
      <w:pPr>
        <w:pStyle w:val="a5"/>
        <w:numPr>
          <w:ilvl w:val="0"/>
          <w:numId w:val="2"/>
        </w:numPr>
        <w:ind w:firstLineChars="0"/>
        <w:rPr>
          <w:rFonts w:ascii="华文宋体" w:eastAsia="华文宋体" w:hAnsi="华文宋体" w:cs="Arial Unicode MS"/>
          <w:color w:val="000000"/>
          <w:kern w:val="0"/>
          <w:position w:val="0"/>
          <w:sz w:val="24"/>
        </w:rPr>
      </w:pPr>
      <w:r w:rsidRPr="00194A6A">
        <w:rPr>
          <w:rFonts w:ascii="华文宋体" w:eastAsia="华文宋体" w:hAnsi="华文宋体" w:cs="Arial Unicode MS" w:hint="eastAsia"/>
          <w:color w:val="000000"/>
          <w:kern w:val="0"/>
          <w:position w:val="0"/>
          <w:sz w:val="24"/>
        </w:rPr>
        <w:t>泰达宏利基金</w:t>
      </w:r>
      <w:r w:rsidR="00246CB0" w:rsidRPr="00194A6A">
        <w:rPr>
          <w:rFonts w:ascii="华文宋体" w:eastAsia="华文宋体" w:hAnsi="华文宋体" w:cs="Arial Unicode MS" w:hint="eastAsia"/>
          <w:color w:val="000000"/>
          <w:kern w:val="0"/>
          <w:position w:val="0"/>
          <w:sz w:val="24"/>
        </w:rPr>
        <w:t>管理有限公司客户服务热线：</w:t>
      </w:r>
      <w:r w:rsidRPr="00194A6A">
        <w:rPr>
          <w:rFonts w:ascii="华文宋体" w:eastAsia="华文宋体" w:hAnsi="华文宋体" w:cs="Arial Unicode MS"/>
          <w:color w:val="000000"/>
          <w:kern w:val="0"/>
          <w:position w:val="0"/>
          <w:sz w:val="24"/>
        </w:rPr>
        <w:t>400-698-8888</w:t>
      </w:r>
      <w:r w:rsidRPr="00194A6A">
        <w:rPr>
          <w:rFonts w:ascii="华文宋体" w:eastAsia="华文宋体" w:hAnsi="华文宋体" w:cs="Arial Unicode MS" w:hint="eastAsia"/>
          <w:color w:val="000000"/>
          <w:kern w:val="0"/>
          <w:position w:val="0"/>
          <w:sz w:val="24"/>
        </w:rPr>
        <w:t>或</w:t>
      </w:r>
      <w:r w:rsidRPr="00194A6A">
        <w:rPr>
          <w:rFonts w:ascii="华文宋体" w:eastAsia="华文宋体" w:hAnsi="华文宋体" w:cs="Arial Unicode MS"/>
          <w:color w:val="000000"/>
          <w:kern w:val="0"/>
          <w:position w:val="0"/>
          <w:sz w:val="24"/>
        </w:rPr>
        <w:t>010-66555662</w:t>
      </w:r>
    </w:p>
    <w:p w:rsidR="00E00BF0" w:rsidRPr="00194A6A" w:rsidRDefault="00E00BF0" w:rsidP="00246CB0">
      <w:pPr>
        <w:pStyle w:val="a5"/>
        <w:numPr>
          <w:ilvl w:val="0"/>
          <w:numId w:val="2"/>
        </w:numPr>
        <w:ind w:firstLineChars="0"/>
        <w:rPr>
          <w:rFonts w:ascii="华文宋体" w:eastAsia="华文宋体" w:hAnsi="华文宋体" w:cs="Arial Unicode MS"/>
          <w:color w:val="000000"/>
          <w:kern w:val="0"/>
          <w:position w:val="0"/>
          <w:sz w:val="24"/>
        </w:rPr>
      </w:pPr>
      <w:r w:rsidRPr="00194A6A">
        <w:rPr>
          <w:rFonts w:ascii="华文宋体" w:eastAsia="华文宋体" w:hAnsi="华文宋体" w:cs="Arial Unicode MS" w:hint="eastAsia"/>
          <w:color w:val="000000"/>
          <w:kern w:val="0"/>
          <w:position w:val="0"/>
          <w:sz w:val="24"/>
        </w:rPr>
        <w:t>泰达宏利基金</w:t>
      </w:r>
      <w:r w:rsidR="00246CB0" w:rsidRPr="00194A6A">
        <w:rPr>
          <w:rFonts w:ascii="华文宋体" w:eastAsia="华文宋体" w:hAnsi="华文宋体" w:cs="Arial Unicode MS" w:hint="eastAsia"/>
          <w:color w:val="000000"/>
          <w:kern w:val="0"/>
          <w:position w:val="0"/>
          <w:sz w:val="24"/>
        </w:rPr>
        <w:t>管理有限公司网站：</w:t>
      </w:r>
      <w:hyperlink r:id="rId8" w:history="1">
        <w:r w:rsidRPr="00194A6A">
          <w:rPr>
            <w:rFonts w:ascii="华文宋体" w:eastAsia="华文宋体" w:hAnsi="华文宋体" w:cs="Arial Unicode MS"/>
            <w:color w:val="000000"/>
            <w:kern w:val="0"/>
            <w:position w:val="0"/>
            <w:sz w:val="24"/>
          </w:rPr>
          <w:t>www.mfcteda.com</w:t>
        </w:r>
      </w:hyperlink>
    </w:p>
    <w:p w:rsidR="00246CB0" w:rsidRPr="00194A6A" w:rsidRDefault="00246CB0" w:rsidP="00E00BF0">
      <w:pPr>
        <w:pStyle w:val="a5"/>
        <w:ind w:left="360" w:firstLineChars="0" w:firstLine="0"/>
        <w:rPr>
          <w:rFonts w:ascii="华文宋体" w:eastAsia="华文宋体" w:hAnsi="华文宋体" w:cs="Arial Unicode MS"/>
          <w:color w:val="000000"/>
          <w:kern w:val="0"/>
          <w:position w:val="0"/>
          <w:sz w:val="24"/>
        </w:rPr>
      </w:pPr>
      <w:r w:rsidRPr="00194A6A">
        <w:rPr>
          <w:rFonts w:ascii="华文宋体" w:eastAsia="华文宋体" w:hAnsi="华文宋体" w:cs="Arial Unicode MS" w:hint="eastAsia"/>
          <w:color w:val="000000"/>
          <w:kern w:val="0"/>
          <w:position w:val="0"/>
          <w:sz w:val="24"/>
        </w:rPr>
        <w:t>特此公告</w:t>
      </w:r>
      <w:r w:rsidRPr="00194A6A">
        <w:rPr>
          <w:rFonts w:ascii="华文宋体" w:eastAsia="华文宋体" w:hAnsi="华文宋体" w:cs="Arial Unicode MS"/>
          <w:color w:val="000000"/>
          <w:kern w:val="0"/>
          <w:position w:val="0"/>
          <w:sz w:val="24"/>
        </w:rPr>
        <w:t xml:space="preserve"> </w:t>
      </w:r>
    </w:p>
    <w:p w:rsidR="00246CB0" w:rsidRPr="00194A6A" w:rsidRDefault="00E00BF0" w:rsidP="00194A6A">
      <w:pPr>
        <w:pStyle w:val="Default"/>
        <w:ind w:left="360" w:firstLineChars="2100" w:firstLine="5040"/>
        <w:rPr>
          <w:rFonts w:ascii="华文宋体" w:eastAsia="华文宋体" w:hAnsi="华文宋体"/>
        </w:rPr>
      </w:pPr>
      <w:r w:rsidRPr="00194A6A">
        <w:rPr>
          <w:rFonts w:ascii="华文宋体" w:eastAsia="华文宋体" w:hAnsi="华文宋体" w:hint="eastAsia"/>
        </w:rPr>
        <w:t>泰达宏利基金</w:t>
      </w:r>
      <w:r w:rsidR="00246CB0" w:rsidRPr="00194A6A">
        <w:rPr>
          <w:rFonts w:ascii="华文宋体" w:eastAsia="华文宋体" w:hAnsi="华文宋体" w:hint="eastAsia"/>
        </w:rPr>
        <w:t>管理有限公司</w:t>
      </w:r>
      <w:r w:rsidR="00246CB0" w:rsidRPr="00194A6A">
        <w:rPr>
          <w:rFonts w:ascii="华文宋体" w:eastAsia="华文宋体" w:hAnsi="华文宋体"/>
        </w:rPr>
        <w:t xml:space="preserve"> </w:t>
      </w:r>
    </w:p>
    <w:p w:rsidR="00246CB0" w:rsidRPr="00194A6A" w:rsidRDefault="00246CB0" w:rsidP="00194A6A">
      <w:pPr>
        <w:ind w:firstLineChars="2600" w:firstLine="6240"/>
        <w:rPr>
          <w:rFonts w:ascii="华文宋体" w:eastAsia="华文宋体" w:hAnsi="华文宋体" w:cs="Arial Unicode MS"/>
          <w:color w:val="000000"/>
          <w:kern w:val="0"/>
          <w:position w:val="0"/>
          <w:sz w:val="24"/>
        </w:rPr>
      </w:pPr>
      <w:r w:rsidRPr="00194A6A">
        <w:rPr>
          <w:rFonts w:ascii="华文宋体" w:eastAsia="华文宋体" w:hAnsi="华文宋体" w:cs="Arial Unicode MS"/>
          <w:color w:val="000000"/>
          <w:kern w:val="0"/>
          <w:position w:val="0"/>
          <w:sz w:val="24"/>
        </w:rPr>
        <w:t xml:space="preserve">2014 </w:t>
      </w:r>
      <w:r w:rsidRPr="00194A6A">
        <w:rPr>
          <w:rFonts w:ascii="华文宋体" w:eastAsia="华文宋体" w:hAnsi="华文宋体" w:cs="Arial Unicode MS" w:hint="eastAsia"/>
          <w:color w:val="000000"/>
          <w:kern w:val="0"/>
          <w:position w:val="0"/>
          <w:sz w:val="24"/>
        </w:rPr>
        <w:t>年</w:t>
      </w:r>
      <w:r w:rsidR="00E00BF0" w:rsidRPr="00194A6A">
        <w:rPr>
          <w:rFonts w:ascii="华文宋体" w:eastAsia="华文宋体" w:hAnsi="华文宋体" w:cs="Arial Unicode MS" w:hint="eastAsia"/>
          <w:color w:val="000000"/>
          <w:kern w:val="0"/>
          <w:position w:val="0"/>
          <w:sz w:val="24"/>
        </w:rPr>
        <w:t>5</w:t>
      </w:r>
      <w:r w:rsidRPr="00194A6A">
        <w:rPr>
          <w:rFonts w:ascii="华文宋体" w:eastAsia="华文宋体" w:hAnsi="华文宋体" w:cs="Arial Unicode MS"/>
          <w:color w:val="000000"/>
          <w:kern w:val="0"/>
          <w:position w:val="0"/>
          <w:sz w:val="24"/>
        </w:rPr>
        <w:t xml:space="preserve"> </w:t>
      </w:r>
      <w:r w:rsidRPr="00194A6A">
        <w:rPr>
          <w:rFonts w:ascii="华文宋体" w:eastAsia="华文宋体" w:hAnsi="华文宋体" w:cs="Arial Unicode MS" w:hint="eastAsia"/>
          <w:color w:val="000000"/>
          <w:kern w:val="0"/>
          <w:position w:val="0"/>
          <w:sz w:val="24"/>
        </w:rPr>
        <w:t>月</w:t>
      </w:r>
      <w:r w:rsidRPr="00194A6A">
        <w:rPr>
          <w:rFonts w:ascii="华文宋体" w:eastAsia="华文宋体" w:hAnsi="华文宋体" w:cs="Arial Unicode MS"/>
          <w:color w:val="000000"/>
          <w:kern w:val="0"/>
          <w:position w:val="0"/>
          <w:sz w:val="24"/>
        </w:rPr>
        <w:t xml:space="preserve">14 </w:t>
      </w:r>
      <w:r w:rsidRPr="00194A6A">
        <w:rPr>
          <w:rFonts w:ascii="华文宋体" w:eastAsia="华文宋体" w:hAnsi="华文宋体" w:cs="Arial Unicode MS" w:hint="eastAsia"/>
          <w:color w:val="000000"/>
          <w:kern w:val="0"/>
          <w:position w:val="0"/>
          <w:sz w:val="24"/>
        </w:rPr>
        <w:t>日</w:t>
      </w:r>
    </w:p>
    <w:p w:rsidR="00246CB0" w:rsidRPr="00194A6A" w:rsidRDefault="00246CB0" w:rsidP="00246CB0">
      <w:pPr>
        <w:pStyle w:val="a5"/>
        <w:ind w:left="360" w:firstLineChars="0" w:firstLine="0"/>
        <w:rPr>
          <w:rFonts w:ascii="华文宋体" w:eastAsia="华文宋体" w:hAnsi="华文宋体" w:cs="Arial Unicode MS"/>
          <w:color w:val="000000"/>
          <w:kern w:val="0"/>
          <w:position w:val="0"/>
          <w:sz w:val="24"/>
        </w:rPr>
      </w:pPr>
    </w:p>
    <w:sectPr w:rsidR="00246CB0" w:rsidRPr="00194A6A" w:rsidSect="000207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1FB" w:rsidRDefault="008721FB" w:rsidP="006876A6">
      <w:r>
        <w:separator/>
      </w:r>
    </w:p>
  </w:endnote>
  <w:endnote w:type="continuationSeparator" w:id="0">
    <w:p w:rsidR="008721FB" w:rsidRDefault="008721FB" w:rsidP="00687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1FB" w:rsidRDefault="008721FB" w:rsidP="006876A6">
      <w:r>
        <w:separator/>
      </w:r>
    </w:p>
  </w:footnote>
  <w:footnote w:type="continuationSeparator" w:id="0">
    <w:p w:rsidR="008721FB" w:rsidRDefault="008721FB" w:rsidP="006876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B50C3"/>
    <w:multiLevelType w:val="hybridMultilevel"/>
    <w:tmpl w:val="14D6BA44"/>
    <w:lvl w:ilvl="0" w:tplc="DA580762">
      <w:start w:val="1"/>
      <w:numFmt w:val="chineseCountingThousand"/>
      <w:pStyle w:val="8"/>
      <w:lvlText w:val="(%1)"/>
      <w:lvlJc w:val="left"/>
      <w:pPr>
        <w:ind w:left="1471" w:hanging="420"/>
      </w:pPr>
    </w:lvl>
    <w:lvl w:ilvl="1" w:tplc="04090019" w:tentative="1">
      <w:start w:val="1"/>
      <w:numFmt w:val="lowerLetter"/>
      <w:lvlText w:val="%2)"/>
      <w:lvlJc w:val="left"/>
      <w:pPr>
        <w:ind w:left="1891" w:hanging="420"/>
      </w:pPr>
    </w:lvl>
    <w:lvl w:ilvl="2" w:tplc="0409001B" w:tentative="1">
      <w:start w:val="1"/>
      <w:numFmt w:val="lowerRoman"/>
      <w:lvlText w:val="%3."/>
      <w:lvlJc w:val="right"/>
      <w:pPr>
        <w:ind w:left="2311" w:hanging="420"/>
      </w:pPr>
    </w:lvl>
    <w:lvl w:ilvl="3" w:tplc="0409000F" w:tentative="1">
      <w:start w:val="1"/>
      <w:numFmt w:val="decimal"/>
      <w:lvlText w:val="%4."/>
      <w:lvlJc w:val="left"/>
      <w:pPr>
        <w:ind w:left="2731" w:hanging="420"/>
      </w:pPr>
    </w:lvl>
    <w:lvl w:ilvl="4" w:tplc="04090019" w:tentative="1">
      <w:start w:val="1"/>
      <w:numFmt w:val="lowerLetter"/>
      <w:lvlText w:val="%5)"/>
      <w:lvlJc w:val="left"/>
      <w:pPr>
        <w:ind w:left="3151" w:hanging="420"/>
      </w:pPr>
    </w:lvl>
    <w:lvl w:ilvl="5" w:tplc="0409001B" w:tentative="1">
      <w:start w:val="1"/>
      <w:numFmt w:val="lowerRoman"/>
      <w:lvlText w:val="%6."/>
      <w:lvlJc w:val="right"/>
      <w:pPr>
        <w:ind w:left="3571" w:hanging="420"/>
      </w:pPr>
    </w:lvl>
    <w:lvl w:ilvl="6" w:tplc="0409000F" w:tentative="1">
      <w:start w:val="1"/>
      <w:numFmt w:val="decimal"/>
      <w:lvlText w:val="%7."/>
      <w:lvlJc w:val="left"/>
      <w:pPr>
        <w:ind w:left="3991" w:hanging="420"/>
      </w:pPr>
    </w:lvl>
    <w:lvl w:ilvl="7" w:tplc="04090019" w:tentative="1">
      <w:start w:val="1"/>
      <w:numFmt w:val="lowerLetter"/>
      <w:lvlText w:val="%8)"/>
      <w:lvlJc w:val="left"/>
      <w:pPr>
        <w:ind w:left="4411" w:hanging="420"/>
      </w:pPr>
    </w:lvl>
    <w:lvl w:ilvl="8" w:tplc="0409001B" w:tentative="1">
      <w:start w:val="1"/>
      <w:numFmt w:val="lowerRoman"/>
      <w:lvlText w:val="%9."/>
      <w:lvlJc w:val="right"/>
      <w:pPr>
        <w:ind w:left="4831" w:hanging="420"/>
      </w:pPr>
    </w:lvl>
  </w:abstractNum>
  <w:abstractNum w:abstractNumId="1">
    <w:nsid w:val="65013540"/>
    <w:multiLevelType w:val="hybridMultilevel"/>
    <w:tmpl w:val="27E84608"/>
    <w:lvl w:ilvl="0" w:tplc="DF30E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CB0"/>
    <w:rsid w:val="000207D0"/>
    <w:rsid w:val="000709D7"/>
    <w:rsid w:val="00100207"/>
    <w:rsid w:val="00194A6A"/>
    <w:rsid w:val="00245EC7"/>
    <w:rsid w:val="00246CB0"/>
    <w:rsid w:val="002A49AE"/>
    <w:rsid w:val="00327DAA"/>
    <w:rsid w:val="003822DC"/>
    <w:rsid w:val="00385EB2"/>
    <w:rsid w:val="00437EEC"/>
    <w:rsid w:val="004D1941"/>
    <w:rsid w:val="004E48CF"/>
    <w:rsid w:val="00504349"/>
    <w:rsid w:val="00525AD5"/>
    <w:rsid w:val="00527C26"/>
    <w:rsid w:val="005C3AA0"/>
    <w:rsid w:val="005E4246"/>
    <w:rsid w:val="006876A6"/>
    <w:rsid w:val="007E7D7F"/>
    <w:rsid w:val="00862F9C"/>
    <w:rsid w:val="008721FB"/>
    <w:rsid w:val="00895809"/>
    <w:rsid w:val="00A314C1"/>
    <w:rsid w:val="00B774EA"/>
    <w:rsid w:val="00CA2C91"/>
    <w:rsid w:val="00CB2ED9"/>
    <w:rsid w:val="00CC28FF"/>
    <w:rsid w:val="00D05495"/>
    <w:rsid w:val="00E00BF0"/>
    <w:rsid w:val="00E30A8C"/>
    <w:rsid w:val="00E5193D"/>
    <w:rsid w:val="00ED35DC"/>
    <w:rsid w:val="00F2336C"/>
    <w:rsid w:val="00F7470B"/>
    <w:rsid w:val="00FE3E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70B"/>
    <w:pPr>
      <w:widowControl w:val="0"/>
      <w:jc w:val="both"/>
    </w:pPr>
    <w:rPr>
      <w:kern w:val="2"/>
      <w:position w:val="-6"/>
      <w:sz w:val="21"/>
      <w:szCs w:val="24"/>
    </w:rPr>
  </w:style>
  <w:style w:type="paragraph" w:styleId="1">
    <w:name w:val="heading 1"/>
    <w:basedOn w:val="a"/>
    <w:next w:val="a"/>
    <w:link w:val="1Char"/>
    <w:uiPriority w:val="99"/>
    <w:qFormat/>
    <w:rsid w:val="00F7470B"/>
    <w:pPr>
      <w:keepNext/>
      <w:keepLines/>
      <w:spacing w:before="340" w:after="330" w:line="576" w:lineRule="auto"/>
      <w:outlineLvl w:val="0"/>
    </w:pPr>
    <w:rPr>
      <w:rFonts w:cs="Times New Roman"/>
      <w:b/>
      <w:kern w:val="44"/>
      <w:position w:val="0"/>
      <w:sz w:val="44"/>
      <w:szCs w:val="20"/>
    </w:rPr>
  </w:style>
  <w:style w:type="paragraph" w:styleId="2">
    <w:name w:val="heading 2"/>
    <w:basedOn w:val="a"/>
    <w:next w:val="a"/>
    <w:link w:val="2Char"/>
    <w:uiPriority w:val="99"/>
    <w:qFormat/>
    <w:rsid w:val="00F7470B"/>
    <w:pPr>
      <w:keepNext/>
      <w:keepLines/>
      <w:spacing w:before="260" w:after="260" w:line="413" w:lineRule="auto"/>
      <w:outlineLvl w:val="1"/>
    </w:pPr>
    <w:rPr>
      <w:rFonts w:ascii="Arial" w:eastAsia="黑体" w:hAnsi="Arial" w:cs="Times New Roman"/>
      <w:b/>
      <w:position w:val="0"/>
      <w:sz w:val="32"/>
      <w:szCs w:val="20"/>
    </w:rPr>
  </w:style>
  <w:style w:type="paragraph" w:styleId="3">
    <w:name w:val="heading 3"/>
    <w:basedOn w:val="a"/>
    <w:next w:val="a"/>
    <w:link w:val="3Char"/>
    <w:uiPriority w:val="99"/>
    <w:qFormat/>
    <w:rsid w:val="00F7470B"/>
    <w:pPr>
      <w:keepNext/>
      <w:keepLines/>
      <w:spacing w:before="260" w:after="260" w:line="413" w:lineRule="auto"/>
      <w:outlineLvl w:val="2"/>
    </w:pPr>
    <w:rPr>
      <w:rFonts w:cs="Times New Roman"/>
      <w:b/>
      <w:position w:val="0"/>
      <w:sz w:val="32"/>
      <w:szCs w:val="20"/>
    </w:rPr>
  </w:style>
  <w:style w:type="paragraph" w:styleId="4">
    <w:name w:val="heading 4"/>
    <w:basedOn w:val="a"/>
    <w:next w:val="a"/>
    <w:link w:val="4Char"/>
    <w:uiPriority w:val="99"/>
    <w:qFormat/>
    <w:rsid w:val="00F7470B"/>
    <w:pPr>
      <w:keepNext/>
      <w:keepLines/>
      <w:spacing w:before="280" w:after="290" w:line="372" w:lineRule="auto"/>
      <w:outlineLvl w:val="3"/>
    </w:pPr>
    <w:rPr>
      <w:rFonts w:ascii="Arial" w:eastAsia="黑体" w:hAnsi="Arial" w:cs="Times New Roman"/>
      <w:b/>
      <w:position w:val="0"/>
      <w:sz w:val="28"/>
      <w:szCs w:val="20"/>
    </w:rPr>
  </w:style>
  <w:style w:type="paragraph" w:styleId="5">
    <w:name w:val="heading 5"/>
    <w:basedOn w:val="a"/>
    <w:next w:val="a"/>
    <w:link w:val="5Char"/>
    <w:uiPriority w:val="99"/>
    <w:qFormat/>
    <w:rsid w:val="00F7470B"/>
    <w:pPr>
      <w:keepNext/>
      <w:keepLines/>
      <w:spacing w:before="280" w:after="290" w:line="372" w:lineRule="auto"/>
      <w:outlineLvl w:val="4"/>
    </w:pPr>
    <w:rPr>
      <w:rFonts w:cs="Times New Roman"/>
      <w:b/>
      <w:position w:val="0"/>
      <w:sz w:val="28"/>
      <w:szCs w:val="20"/>
    </w:rPr>
  </w:style>
  <w:style w:type="paragraph" w:styleId="6">
    <w:name w:val="heading 6"/>
    <w:basedOn w:val="a"/>
    <w:next w:val="a"/>
    <w:link w:val="6Char"/>
    <w:uiPriority w:val="99"/>
    <w:qFormat/>
    <w:rsid w:val="00F7470B"/>
    <w:pPr>
      <w:keepNext/>
      <w:keepLines/>
      <w:spacing w:before="240" w:after="64" w:line="317" w:lineRule="auto"/>
      <w:ind w:left="851" w:firstLineChars="200" w:firstLine="200"/>
      <w:outlineLvl w:val="5"/>
    </w:pPr>
    <w:rPr>
      <w:rFonts w:ascii="Arial" w:eastAsia="黑体" w:hAnsi="Arial" w:cs="Times New Roman"/>
      <w:b/>
      <w:position w:val="0"/>
      <w:sz w:val="24"/>
      <w:szCs w:val="20"/>
    </w:rPr>
  </w:style>
  <w:style w:type="paragraph" w:styleId="7">
    <w:name w:val="heading 7"/>
    <w:basedOn w:val="a"/>
    <w:next w:val="a"/>
    <w:link w:val="7Char"/>
    <w:uiPriority w:val="99"/>
    <w:qFormat/>
    <w:rsid w:val="00F7470B"/>
    <w:pPr>
      <w:keepNext/>
      <w:keepLines/>
      <w:spacing w:before="240" w:after="64" w:line="317" w:lineRule="auto"/>
      <w:ind w:left="851" w:firstLineChars="200" w:firstLine="200"/>
      <w:outlineLvl w:val="6"/>
    </w:pPr>
    <w:rPr>
      <w:rFonts w:cs="Times New Roman"/>
      <w:b/>
      <w:position w:val="0"/>
      <w:sz w:val="24"/>
      <w:szCs w:val="20"/>
    </w:rPr>
  </w:style>
  <w:style w:type="paragraph" w:styleId="8">
    <w:name w:val="heading 8"/>
    <w:basedOn w:val="a"/>
    <w:next w:val="a"/>
    <w:link w:val="8Char"/>
    <w:uiPriority w:val="99"/>
    <w:qFormat/>
    <w:rsid w:val="00F7470B"/>
    <w:pPr>
      <w:keepNext/>
      <w:keepLines/>
      <w:numPr>
        <w:numId w:val="1"/>
      </w:numPr>
      <w:spacing w:before="240" w:after="64"/>
      <w:jc w:val="left"/>
      <w:outlineLvl w:val="7"/>
    </w:pPr>
    <w:rPr>
      <w:rFonts w:ascii="Arial" w:eastAsia="黑体" w:hAnsi="Arial"/>
      <w:sz w:val="24"/>
    </w:rPr>
  </w:style>
  <w:style w:type="paragraph" w:styleId="9">
    <w:name w:val="heading 9"/>
    <w:basedOn w:val="a"/>
    <w:next w:val="a"/>
    <w:link w:val="9Char"/>
    <w:uiPriority w:val="99"/>
    <w:qFormat/>
    <w:rsid w:val="00F7470B"/>
    <w:pPr>
      <w:keepNext/>
      <w:keepLines/>
      <w:spacing w:before="240" w:after="64"/>
      <w:jc w:val="left"/>
      <w:outlineLvl w:val="8"/>
    </w:pPr>
    <w:rPr>
      <w:rFonts w:ascii="Arial" w:hAnsi="Arial"/>
      <w:b/>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F7470B"/>
    <w:rPr>
      <w:rFonts w:cs="Times New Roman"/>
      <w:b/>
      <w:kern w:val="44"/>
      <w:sz w:val="44"/>
    </w:rPr>
  </w:style>
  <w:style w:type="character" w:customStyle="1" w:styleId="2Char">
    <w:name w:val="标题 2 Char"/>
    <w:basedOn w:val="a0"/>
    <w:link w:val="2"/>
    <w:uiPriority w:val="99"/>
    <w:rsid w:val="00F7470B"/>
    <w:rPr>
      <w:rFonts w:ascii="Arial" w:eastAsia="黑体" w:hAnsi="Arial" w:cs="Times New Roman"/>
      <w:b/>
      <w:kern w:val="2"/>
      <w:sz w:val="32"/>
      <w:lang w:val="en-US" w:eastAsia="zh-CN"/>
    </w:rPr>
  </w:style>
  <w:style w:type="character" w:customStyle="1" w:styleId="3Char">
    <w:name w:val="标题 3 Char"/>
    <w:basedOn w:val="a0"/>
    <w:link w:val="3"/>
    <w:uiPriority w:val="99"/>
    <w:rsid w:val="00F7470B"/>
    <w:rPr>
      <w:rFonts w:cs="Times New Roman"/>
      <w:b/>
      <w:kern w:val="2"/>
      <w:sz w:val="32"/>
    </w:rPr>
  </w:style>
  <w:style w:type="character" w:customStyle="1" w:styleId="4Char">
    <w:name w:val="标题 4 Char"/>
    <w:basedOn w:val="a0"/>
    <w:link w:val="4"/>
    <w:uiPriority w:val="99"/>
    <w:rsid w:val="00F7470B"/>
    <w:rPr>
      <w:rFonts w:ascii="Arial" w:eastAsia="黑体" w:hAnsi="Arial" w:cs="Times New Roman"/>
      <w:b/>
      <w:kern w:val="2"/>
      <w:sz w:val="28"/>
    </w:rPr>
  </w:style>
  <w:style w:type="character" w:customStyle="1" w:styleId="5Char">
    <w:name w:val="标题 5 Char"/>
    <w:basedOn w:val="a0"/>
    <w:link w:val="5"/>
    <w:uiPriority w:val="99"/>
    <w:rsid w:val="00F7470B"/>
    <w:rPr>
      <w:rFonts w:cs="Times New Roman"/>
      <w:b/>
      <w:kern w:val="2"/>
      <w:sz w:val="28"/>
    </w:rPr>
  </w:style>
  <w:style w:type="character" w:customStyle="1" w:styleId="6Char">
    <w:name w:val="标题 6 Char"/>
    <w:basedOn w:val="a0"/>
    <w:link w:val="6"/>
    <w:uiPriority w:val="99"/>
    <w:rsid w:val="00F7470B"/>
    <w:rPr>
      <w:rFonts w:ascii="Arial" w:eastAsia="黑体" w:hAnsi="Arial" w:cs="Times New Roman"/>
      <w:b/>
      <w:kern w:val="2"/>
      <w:sz w:val="24"/>
    </w:rPr>
  </w:style>
  <w:style w:type="character" w:customStyle="1" w:styleId="7Char">
    <w:name w:val="标题 7 Char"/>
    <w:basedOn w:val="a0"/>
    <w:link w:val="7"/>
    <w:uiPriority w:val="99"/>
    <w:rsid w:val="00F7470B"/>
    <w:rPr>
      <w:rFonts w:cs="Times New Roman"/>
      <w:b/>
      <w:kern w:val="2"/>
      <w:sz w:val="24"/>
    </w:rPr>
  </w:style>
  <w:style w:type="character" w:customStyle="1" w:styleId="8Char">
    <w:name w:val="标题 8 Char"/>
    <w:basedOn w:val="a0"/>
    <w:link w:val="8"/>
    <w:uiPriority w:val="99"/>
    <w:rsid w:val="00F7470B"/>
    <w:rPr>
      <w:rFonts w:ascii="Arial" w:eastAsia="黑体" w:hAnsi="Arial"/>
      <w:kern w:val="2"/>
      <w:position w:val="-6"/>
      <w:sz w:val="24"/>
      <w:szCs w:val="24"/>
    </w:rPr>
  </w:style>
  <w:style w:type="character" w:customStyle="1" w:styleId="9Char">
    <w:name w:val="标题 9 Char"/>
    <w:basedOn w:val="a0"/>
    <w:link w:val="9"/>
    <w:uiPriority w:val="99"/>
    <w:rsid w:val="00F7470B"/>
    <w:rPr>
      <w:rFonts w:ascii="Arial" w:eastAsia="宋体" w:hAnsi="Arial"/>
      <w:b/>
      <w:kern w:val="2"/>
      <w:position w:val="-6"/>
      <w:sz w:val="30"/>
      <w:szCs w:val="24"/>
    </w:rPr>
  </w:style>
  <w:style w:type="character" w:styleId="a3">
    <w:name w:val="Strong"/>
    <w:basedOn w:val="a0"/>
    <w:uiPriority w:val="99"/>
    <w:qFormat/>
    <w:rsid w:val="00F7470B"/>
    <w:rPr>
      <w:rFonts w:cs="Times New Roman"/>
      <w:b/>
    </w:rPr>
  </w:style>
  <w:style w:type="paragraph" w:styleId="a4">
    <w:name w:val="Title"/>
    <w:basedOn w:val="a"/>
    <w:next w:val="a"/>
    <w:link w:val="Char"/>
    <w:uiPriority w:val="10"/>
    <w:qFormat/>
    <w:rsid w:val="00F7470B"/>
    <w:pPr>
      <w:spacing w:before="240" w:after="60"/>
      <w:jc w:val="center"/>
      <w:outlineLvl w:val="0"/>
    </w:pPr>
    <w:rPr>
      <w:rFonts w:ascii="Cambria" w:hAnsi="Cambria" w:cs="Times New Roman"/>
      <w:b/>
      <w:bCs/>
      <w:sz w:val="32"/>
      <w:szCs w:val="32"/>
    </w:rPr>
  </w:style>
  <w:style w:type="character" w:customStyle="1" w:styleId="Char">
    <w:name w:val="标题 Char"/>
    <w:basedOn w:val="a0"/>
    <w:link w:val="a4"/>
    <w:uiPriority w:val="10"/>
    <w:rsid w:val="00F7470B"/>
    <w:rPr>
      <w:rFonts w:ascii="Cambria" w:hAnsi="Cambria" w:cs="Times New Roman"/>
      <w:b/>
      <w:bCs/>
      <w:kern w:val="2"/>
      <w:position w:val="-6"/>
      <w:sz w:val="32"/>
      <w:szCs w:val="32"/>
    </w:rPr>
  </w:style>
  <w:style w:type="paragraph" w:customStyle="1" w:styleId="Default">
    <w:name w:val="Default"/>
    <w:rsid w:val="00246CB0"/>
    <w:pPr>
      <w:widowControl w:val="0"/>
      <w:autoSpaceDE w:val="0"/>
      <w:autoSpaceDN w:val="0"/>
      <w:adjustRightInd w:val="0"/>
    </w:pPr>
    <w:rPr>
      <w:rFonts w:ascii="Arial Unicode MS" w:eastAsia="Arial Unicode MS" w:cs="Arial Unicode MS"/>
      <w:color w:val="000000"/>
      <w:sz w:val="24"/>
      <w:szCs w:val="24"/>
    </w:rPr>
  </w:style>
  <w:style w:type="paragraph" w:styleId="a5">
    <w:name w:val="List Paragraph"/>
    <w:basedOn w:val="a"/>
    <w:uiPriority w:val="34"/>
    <w:qFormat/>
    <w:rsid w:val="00246CB0"/>
    <w:pPr>
      <w:ind w:firstLineChars="200" w:firstLine="420"/>
    </w:pPr>
  </w:style>
  <w:style w:type="character" w:styleId="a6">
    <w:name w:val="Hyperlink"/>
    <w:basedOn w:val="a0"/>
    <w:uiPriority w:val="99"/>
    <w:unhideWhenUsed/>
    <w:rsid w:val="00E00BF0"/>
    <w:rPr>
      <w:color w:val="0000FF" w:themeColor="hyperlink"/>
      <w:u w:val="single"/>
    </w:rPr>
  </w:style>
  <w:style w:type="paragraph" w:styleId="a7">
    <w:name w:val="header"/>
    <w:basedOn w:val="a"/>
    <w:link w:val="Char0"/>
    <w:uiPriority w:val="99"/>
    <w:semiHidden/>
    <w:unhideWhenUsed/>
    <w:rsid w:val="006876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6876A6"/>
    <w:rPr>
      <w:kern w:val="2"/>
      <w:position w:val="-6"/>
      <w:sz w:val="18"/>
      <w:szCs w:val="18"/>
    </w:rPr>
  </w:style>
  <w:style w:type="paragraph" w:styleId="a8">
    <w:name w:val="footer"/>
    <w:basedOn w:val="a"/>
    <w:link w:val="Char1"/>
    <w:uiPriority w:val="99"/>
    <w:semiHidden/>
    <w:unhideWhenUsed/>
    <w:rsid w:val="006876A6"/>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6876A6"/>
    <w:rPr>
      <w:kern w:val="2"/>
      <w:position w:val="-6"/>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cted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5A470-0E1D-4BE2-8D19-5F59D82B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liwenping</dc:creator>
  <cp:keywords/>
  <dc:description/>
  <cp:lastModifiedBy>liwenping</cp:lastModifiedBy>
  <cp:revision>12</cp:revision>
  <dcterms:created xsi:type="dcterms:W3CDTF">2014-05-08T05:41:00Z</dcterms:created>
  <dcterms:modified xsi:type="dcterms:W3CDTF">2014-05-09T08:30:00Z</dcterms:modified>
</cp:coreProperties>
</file>