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54" w:rsidRPr="003A6A97" w:rsidRDefault="00876C54" w:rsidP="00894CBF">
      <w:pPr>
        <w:pStyle w:val="a4"/>
        <w:adjustRightInd w:val="0"/>
        <w:snapToGrid w:val="0"/>
        <w:spacing w:before="0" w:beforeAutospacing="0" w:after="0" w:afterAutospacing="0"/>
        <w:jc w:val="center"/>
        <w:rPr>
          <w:b/>
          <w:sz w:val="28"/>
          <w:szCs w:val="28"/>
        </w:rPr>
      </w:pPr>
      <w:r w:rsidRPr="003A6A97">
        <w:rPr>
          <w:rFonts w:hint="eastAsia"/>
          <w:b/>
          <w:sz w:val="28"/>
          <w:szCs w:val="28"/>
        </w:rPr>
        <w:t>信诚</w:t>
      </w:r>
      <w:r w:rsidRPr="003A6A97">
        <w:rPr>
          <w:b/>
          <w:sz w:val="28"/>
          <w:szCs w:val="28"/>
        </w:rPr>
        <w:t>基金管理有限公司关于旗下</w:t>
      </w:r>
      <w:r w:rsidRPr="003A6A97">
        <w:rPr>
          <w:rFonts w:hint="eastAsia"/>
          <w:b/>
          <w:sz w:val="28"/>
          <w:szCs w:val="28"/>
        </w:rPr>
        <w:t>部分</w:t>
      </w:r>
      <w:r w:rsidRPr="003A6A97">
        <w:rPr>
          <w:b/>
          <w:sz w:val="28"/>
          <w:szCs w:val="28"/>
        </w:rPr>
        <w:t>基金参加</w:t>
      </w:r>
    </w:p>
    <w:p w:rsidR="00876C54" w:rsidRPr="003A6A97" w:rsidRDefault="00B054E0" w:rsidP="00894CBF">
      <w:pPr>
        <w:pStyle w:val="a4"/>
        <w:adjustRightInd w:val="0"/>
        <w:snapToGrid w:val="0"/>
        <w:spacing w:before="0" w:beforeAutospacing="0" w:after="0" w:afterAutospacing="0"/>
        <w:jc w:val="center"/>
        <w:rPr>
          <w:b/>
          <w:sz w:val="28"/>
          <w:szCs w:val="28"/>
        </w:rPr>
      </w:pPr>
      <w:r w:rsidRPr="003A6A97">
        <w:rPr>
          <w:rFonts w:hint="eastAsia"/>
          <w:b/>
          <w:sz w:val="28"/>
          <w:szCs w:val="28"/>
        </w:rPr>
        <w:t>华夏银行</w:t>
      </w:r>
      <w:r w:rsidR="00876C54" w:rsidRPr="003A6A97">
        <w:rPr>
          <w:rFonts w:hint="eastAsia"/>
          <w:b/>
          <w:sz w:val="28"/>
          <w:szCs w:val="28"/>
        </w:rPr>
        <w:t>手机</w:t>
      </w:r>
      <w:r w:rsidRPr="003A6A97">
        <w:rPr>
          <w:rFonts w:hint="eastAsia"/>
          <w:b/>
          <w:sz w:val="28"/>
          <w:szCs w:val="28"/>
        </w:rPr>
        <w:t>银行</w:t>
      </w:r>
      <w:r w:rsidR="00876C54" w:rsidRPr="003A6A97">
        <w:rPr>
          <w:rFonts w:hint="eastAsia"/>
          <w:b/>
          <w:sz w:val="28"/>
          <w:szCs w:val="28"/>
        </w:rPr>
        <w:t>基金申购费率优惠活动</w:t>
      </w:r>
      <w:r w:rsidR="00876C54" w:rsidRPr="003A6A97">
        <w:rPr>
          <w:b/>
          <w:sz w:val="28"/>
          <w:szCs w:val="28"/>
        </w:rPr>
        <w:t>的</w:t>
      </w:r>
      <w:r w:rsidR="00876C54" w:rsidRPr="003A6A97">
        <w:rPr>
          <w:rFonts w:hint="eastAsia"/>
          <w:b/>
          <w:sz w:val="28"/>
          <w:szCs w:val="28"/>
        </w:rPr>
        <w:t>公告</w:t>
      </w:r>
    </w:p>
    <w:p w:rsidR="00876C54" w:rsidRPr="003A6A97" w:rsidRDefault="00876C54" w:rsidP="005A4A1B">
      <w:pPr>
        <w:rPr>
          <w:rFonts w:ascii="Calibri" w:hAnsi="Calibri"/>
          <w:b/>
          <w:sz w:val="24"/>
        </w:rPr>
      </w:pP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sz w:val="21"/>
          <w:szCs w:val="21"/>
        </w:rPr>
        <w:t>为了更好地满足广大投资者的理财需求，经</w:t>
      </w:r>
      <w:r w:rsidRPr="003A6A97">
        <w:rPr>
          <w:rFonts w:hint="eastAsia"/>
          <w:sz w:val="21"/>
          <w:szCs w:val="21"/>
        </w:rPr>
        <w:t>信诚</w:t>
      </w:r>
      <w:r w:rsidRPr="003A6A97">
        <w:rPr>
          <w:sz w:val="21"/>
          <w:szCs w:val="21"/>
        </w:rPr>
        <w:t>基金管理有限公司（以下简称“本公司”）与</w:t>
      </w:r>
      <w:r w:rsidR="00B054E0" w:rsidRPr="003A6A97">
        <w:rPr>
          <w:rFonts w:hint="eastAsia"/>
          <w:sz w:val="21"/>
          <w:szCs w:val="21"/>
        </w:rPr>
        <w:t>华夏银行</w:t>
      </w:r>
      <w:r w:rsidRPr="003A6A97">
        <w:rPr>
          <w:sz w:val="21"/>
          <w:szCs w:val="21"/>
        </w:rPr>
        <w:t>股份有限公司（以下简称“</w:t>
      </w:r>
      <w:r w:rsidR="00B054E0" w:rsidRPr="003A6A97">
        <w:rPr>
          <w:rFonts w:hint="eastAsia"/>
          <w:sz w:val="21"/>
          <w:szCs w:val="21"/>
        </w:rPr>
        <w:t>华夏银行</w:t>
      </w:r>
      <w:r w:rsidRPr="003A6A97">
        <w:rPr>
          <w:sz w:val="21"/>
          <w:szCs w:val="21"/>
        </w:rPr>
        <w:t>” ）协商一致决定</w:t>
      </w:r>
      <w:r w:rsidRPr="003A6A97">
        <w:rPr>
          <w:rFonts w:hint="eastAsia"/>
          <w:sz w:val="21"/>
          <w:szCs w:val="21"/>
        </w:rPr>
        <w:t>自2014</w:t>
      </w:r>
      <w:r w:rsidRPr="003A6A97">
        <w:rPr>
          <w:sz w:val="21"/>
          <w:szCs w:val="21"/>
        </w:rPr>
        <w:t>年</w:t>
      </w:r>
      <w:r w:rsidR="00B054E0" w:rsidRPr="003A6A97">
        <w:rPr>
          <w:rFonts w:hint="eastAsia"/>
          <w:sz w:val="21"/>
          <w:szCs w:val="21"/>
        </w:rPr>
        <w:t>7月1日</w:t>
      </w:r>
      <w:r w:rsidRPr="003A6A97">
        <w:rPr>
          <w:sz w:val="21"/>
          <w:szCs w:val="21"/>
        </w:rPr>
        <w:t>起</w:t>
      </w:r>
      <w:r w:rsidRPr="003A6A97">
        <w:rPr>
          <w:rFonts w:hint="eastAsia"/>
          <w:sz w:val="21"/>
          <w:szCs w:val="21"/>
        </w:rPr>
        <w:t>，本公司旗下部分基金</w:t>
      </w:r>
      <w:r w:rsidRPr="003A6A97">
        <w:rPr>
          <w:sz w:val="21"/>
          <w:szCs w:val="21"/>
        </w:rPr>
        <w:t>参加</w:t>
      </w:r>
      <w:r w:rsidR="00435BBB" w:rsidRPr="003A6A97">
        <w:rPr>
          <w:rFonts w:hint="eastAsia"/>
          <w:sz w:val="21"/>
          <w:szCs w:val="21"/>
        </w:rPr>
        <w:t>华夏银行</w:t>
      </w:r>
      <w:r w:rsidRPr="003A6A97">
        <w:rPr>
          <w:sz w:val="21"/>
          <w:szCs w:val="21"/>
        </w:rPr>
        <w:t>发起</w:t>
      </w:r>
      <w:r w:rsidRPr="003A6A97">
        <w:rPr>
          <w:rFonts w:hint="eastAsia"/>
          <w:sz w:val="21"/>
          <w:szCs w:val="21"/>
        </w:rPr>
        <w:t>的</w:t>
      </w:r>
      <w:r w:rsidR="00435BBB" w:rsidRPr="003A6A97">
        <w:rPr>
          <w:rFonts w:hint="eastAsia"/>
          <w:sz w:val="21"/>
          <w:szCs w:val="21"/>
        </w:rPr>
        <w:t>指定基金产品手机银行渠道实行与网银交易渠道同等费率的优惠活动</w:t>
      </w:r>
      <w:r w:rsidRPr="003A6A97">
        <w:rPr>
          <w:sz w:val="21"/>
          <w:szCs w:val="21"/>
        </w:rPr>
        <w:t>。现将有关事宜公告如下：</w:t>
      </w:r>
    </w:p>
    <w:p w:rsidR="00435BBB" w:rsidRPr="003A6A97" w:rsidRDefault="00435BBB"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sz w:val="21"/>
          <w:szCs w:val="21"/>
        </w:rPr>
        <w:t>一、</w:t>
      </w:r>
      <w:r w:rsidRPr="003A6A97">
        <w:rPr>
          <w:rFonts w:hint="eastAsia"/>
          <w:sz w:val="21"/>
          <w:szCs w:val="21"/>
        </w:rPr>
        <w:t>优惠活动期间</w:t>
      </w:r>
    </w:p>
    <w:p w:rsidR="00876C54" w:rsidRPr="003A6A97" w:rsidRDefault="00435BBB"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本次优惠活动自2014年7月1日起，活动截止时间以</w:t>
      </w:r>
      <w:r w:rsidR="00BA61BE" w:rsidRPr="003A6A97">
        <w:rPr>
          <w:rFonts w:hint="eastAsia"/>
          <w:sz w:val="21"/>
          <w:szCs w:val="21"/>
        </w:rPr>
        <w:t>华夏银行</w:t>
      </w:r>
      <w:r w:rsidRPr="003A6A97">
        <w:rPr>
          <w:rFonts w:hint="eastAsia"/>
          <w:sz w:val="21"/>
          <w:szCs w:val="21"/>
        </w:rPr>
        <w:t>正式公告为准。</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二、</w:t>
      </w:r>
      <w:r w:rsidR="00F6180C" w:rsidRPr="003A6A97">
        <w:rPr>
          <w:rFonts w:hint="eastAsia"/>
          <w:sz w:val="21"/>
          <w:szCs w:val="21"/>
        </w:rPr>
        <w:t>手机银行</w:t>
      </w:r>
      <w:r w:rsidR="0014525A" w:rsidRPr="003A6A97">
        <w:rPr>
          <w:rFonts w:hint="eastAsia"/>
          <w:sz w:val="21"/>
          <w:szCs w:val="21"/>
        </w:rPr>
        <w:t>申购费率4折优惠活动</w:t>
      </w:r>
    </w:p>
    <w:p w:rsidR="00526AB1" w:rsidRPr="003A6A97" w:rsidRDefault="00526AB1"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1、优惠活动内容：</w:t>
      </w:r>
    </w:p>
    <w:p w:rsidR="00DE52EE" w:rsidRPr="003A6A97" w:rsidRDefault="00DE52EE"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投资者在上述优惠活动期间通过华夏银行手机银行申购参与本次优惠活动的基金，其申购费率实行4折优惠，但优惠后申购费率不低于0.6%。优惠折扣后申购费率等于或低于0.6%的，按0.6%执行；若申购费率低于0.6％或适用于固定费用的，则执行其规定的申购费率或固定费用，不再享有费率折扣。各基金申购费率以各基金《基金合同》、《招募说明书》及相关最新公告公布的费率为准。</w:t>
      </w:r>
    </w:p>
    <w:p w:rsidR="00DE52EE" w:rsidRPr="003A6A97" w:rsidRDefault="00DE52EE"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本优惠仅针对在正常申购期的开放式基金(前端收费模式)的申购手续费费率,不包括各基金的后端收费模式以及处于基金募集期的开放式基金认购费率,也不包括基金定投业务及基金转换业务等其他业务的基金手续费费率。</w:t>
      </w:r>
    </w:p>
    <w:p w:rsidR="00526AB1" w:rsidRPr="003A6A97" w:rsidRDefault="00526AB1"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2、优惠活动适用的基金产品：</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信诚四季红混合型证券投资基金（</w:t>
      </w:r>
      <w:r w:rsidRPr="003A6A97">
        <w:rPr>
          <w:sz w:val="21"/>
          <w:szCs w:val="21"/>
        </w:rPr>
        <w:t>基金代码：</w:t>
      </w:r>
      <w:r w:rsidRPr="003A6A97">
        <w:rPr>
          <w:rFonts w:hint="eastAsia"/>
          <w:sz w:val="21"/>
          <w:szCs w:val="21"/>
        </w:rPr>
        <w:t>550001）</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信诚精萃成长股票型证券投资基金</w:t>
      </w:r>
      <w:r w:rsidRPr="003A6A97">
        <w:rPr>
          <w:sz w:val="21"/>
          <w:szCs w:val="21"/>
        </w:rPr>
        <w:t>(基金代码：</w:t>
      </w:r>
      <w:r w:rsidRPr="003A6A97">
        <w:rPr>
          <w:rFonts w:hint="eastAsia"/>
          <w:sz w:val="21"/>
          <w:szCs w:val="21"/>
        </w:rPr>
        <w:t>550002</w:t>
      </w:r>
      <w:r w:rsidRPr="003A6A97">
        <w:rPr>
          <w:sz w:val="21"/>
          <w:szCs w:val="21"/>
        </w:rPr>
        <w:t>)</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信诚盛世蓝筹股票型证券投资基金（基金代码：550003）</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信诚三得益债券型证券投资基金A类（基金代码： 550004）</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信诚经典优债债券型证券投资基金A类（基金代码： 550006）</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信诚优胜精选股票型证券投资基金（基金代码： 550008）</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信诚中小盘股票型证券投资基金（基金代码： 550009）</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信诚深度价值股票型证券投资基金（LOF）（基金代码：165508）</w:t>
      </w:r>
    </w:p>
    <w:p w:rsidR="00526AB1" w:rsidRPr="003A6A97" w:rsidRDefault="00526AB1" w:rsidP="00526AB1">
      <w:pPr>
        <w:pStyle w:val="a4"/>
        <w:numPr>
          <w:ilvl w:val="0"/>
          <w:numId w:val="1"/>
        </w:numPr>
        <w:adjustRightInd w:val="0"/>
        <w:snapToGrid w:val="0"/>
        <w:spacing w:before="0" w:beforeAutospacing="0" w:after="0" w:afterAutospacing="0" w:line="336" w:lineRule="auto"/>
        <w:ind w:hanging="474"/>
        <w:rPr>
          <w:sz w:val="21"/>
          <w:szCs w:val="21"/>
        </w:rPr>
      </w:pPr>
      <w:r w:rsidRPr="003A6A97">
        <w:rPr>
          <w:rFonts w:hint="eastAsia"/>
          <w:sz w:val="21"/>
          <w:szCs w:val="21"/>
        </w:rPr>
        <w:t>信诚金砖四国积极配置证券投资基金（LOF）（基金代码：165510）</w:t>
      </w:r>
    </w:p>
    <w:p w:rsidR="00526AB1" w:rsidRPr="003A6A97" w:rsidRDefault="00526AB1" w:rsidP="00526AB1">
      <w:pPr>
        <w:pStyle w:val="a4"/>
        <w:numPr>
          <w:ilvl w:val="0"/>
          <w:numId w:val="1"/>
        </w:numPr>
        <w:tabs>
          <w:tab w:val="left" w:pos="993"/>
        </w:tabs>
        <w:adjustRightInd w:val="0"/>
        <w:snapToGrid w:val="0"/>
        <w:spacing w:before="0" w:beforeAutospacing="0" w:after="0" w:afterAutospacing="0" w:line="336" w:lineRule="auto"/>
        <w:ind w:hanging="474"/>
        <w:rPr>
          <w:sz w:val="21"/>
          <w:szCs w:val="21"/>
        </w:rPr>
      </w:pPr>
      <w:r w:rsidRPr="003A6A97">
        <w:rPr>
          <w:rFonts w:hint="eastAsia"/>
          <w:sz w:val="21"/>
          <w:szCs w:val="21"/>
        </w:rPr>
        <w:t>信诚中证500指数分级证券投资基金（基金代码：165511）</w:t>
      </w:r>
    </w:p>
    <w:p w:rsidR="00526AB1" w:rsidRPr="003A6A97" w:rsidRDefault="00526AB1" w:rsidP="00526AB1">
      <w:pPr>
        <w:pStyle w:val="a4"/>
        <w:numPr>
          <w:ilvl w:val="0"/>
          <w:numId w:val="1"/>
        </w:numPr>
        <w:tabs>
          <w:tab w:val="left" w:pos="993"/>
        </w:tabs>
        <w:adjustRightInd w:val="0"/>
        <w:snapToGrid w:val="0"/>
        <w:spacing w:before="0" w:beforeAutospacing="0" w:after="0" w:afterAutospacing="0" w:line="360" w:lineRule="auto"/>
        <w:ind w:hanging="474"/>
        <w:rPr>
          <w:sz w:val="21"/>
          <w:szCs w:val="21"/>
        </w:rPr>
      </w:pPr>
      <w:r w:rsidRPr="003A6A97">
        <w:rPr>
          <w:rFonts w:hint="eastAsia"/>
          <w:sz w:val="21"/>
          <w:szCs w:val="21"/>
        </w:rPr>
        <w:t>信诚新机遇股票型证券投资基金（LOF）（基金代码：165512）</w:t>
      </w:r>
    </w:p>
    <w:p w:rsidR="00E56723" w:rsidRPr="003A6A97" w:rsidRDefault="00E56723" w:rsidP="00E56723">
      <w:pPr>
        <w:pStyle w:val="a4"/>
        <w:numPr>
          <w:ilvl w:val="0"/>
          <w:numId w:val="1"/>
        </w:numPr>
        <w:tabs>
          <w:tab w:val="left" w:pos="993"/>
        </w:tabs>
        <w:adjustRightInd w:val="0"/>
        <w:snapToGrid w:val="0"/>
        <w:spacing w:before="0" w:beforeAutospacing="0" w:after="0" w:afterAutospacing="0" w:line="360" w:lineRule="auto"/>
        <w:ind w:hanging="474"/>
        <w:rPr>
          <w:sz w:val="21"/>
          <w:szCs w:val="21"/>
        </w:rPr>
      </w:pPr>
      <w:r w:rsidRPr="003A6A97">
        <w:rPr>
          <w:rFonts w:hint="eastAsia"/>
          <w:sz w:val="21"/>
          <w:szCs w:val="21"/>
        </w:rPr>
        <w:t>信诚全球商品主题证券投资基金（LOF）（基金代码：165513）</w:t>
      </w:r>
    </w:p>
    <w:p w:rsidR="00E56723" w:rsidRPr="003A6A97" w:rsidRDefault="00E56723" w:rsidP="00E56723">
      <w:pPr>
        <w:pStyle w:val="a4"/>
        <w:numPr>
          <w:ilvl w:val="0"/>
          <w:numId w:val="1"/>
        </w:numPr>
        <w:tabs>
          <w:tab w:val="left" w:pos="993"/>
        </w:tabs>
        <w:adjustRightInd w:val="0"/>
        <w:snapToGrid w:val="0"/>
        <w:spacing w:before="0" w:beforeAutospacing="0" w:after="0" w:afterAutospacing="0" w:line="360" w:lineRule="auto"/>
        <w:ind w:hanging="474"/>
        <w:rPr>
          <w:sz w:val="21"/>
          <w:szCs w:val="21"/>
        </w:rPr>
      </w:pPr>
      <w:r w:rsidRPr="003A6A97">
        <w:rPr>
          <w:rFonts w:hint="eastAsia"/>
          <w:sz w:val="21"/>
          <w:szCs w:val="21"/>
        </w:rPr>
        <w:t>信诚沪深300指数分级证券投资基金（基金代码：165515）</w:t>
      </w:r>
    </w:p>
    <w:p w:rsidR="00876C54" w:rsidRPr="003A6A97" w:rsidRDefault="00E56723" w:rsidP="00F51A87">
      <w:pPr>
        <w:pStyle w:val="a4"/>
        <w:numPr>
          <w:ilvl w:val="0"/>
          <w:numId w:val="1"/>
        </w:numPr>
        <w:tabs>
          <w:tab w:val="left" w:pos="993"/>
        </w:tabs>
        <w:adjustRightInd w:val="0"/>
        <w:snapToGrid w:val="0"/>
        <w:spacing w:before="0" w:beforeAutospacing="0" w:after="0" w:afterAutospacing="0" w:line="360" w:lineRule="auto"/>
        <w:ind w:hanging="474"/>
        <w:rPr>
          <w:sz w:val="21"/>
          <w:szCs w:val="21"/>
        </w:rPr>
      </w:pPr>
      <w:r w:rsidRPr="003A6A97">
        <w:rPr>
          <w:rFonts w:hint="eastAsia"/>
          <w:sz w:val="21"/>
          <w:szCs w:val="21"/>
        </w:rPr>
        <w:t>信诚周期轮动股票型证券投资基金（LOF）（基金代码：165516）</w:t>
      </w:r>
    </w:p>
    <w:p w:rsidR="0014525A" w:rsidRPr="003A6A97" w:rsidRDefault="0014525A" w:rsidP="002A2EA8">
      <w:pPr>
        <w:adjustRightInd w:val="0"/>
        <w:snapToGrid w:val="0"/>
        <w:spacing w:line="360" w:lineRule="auto"/>
        <w:ind w:firstLineChars="200" w:firstLine="420"/>
      </w:pPr>
      <w:r w:rsidRPr="003A6A97">
        <w:rPr>
          <w:rFonts w:ascii="宋体" w:hAnsi="宋体" w:hint="eastAsia"/>
          <w:szCs w:val="22"/>
        </w:rPr>
        <w:t>三、</w:t>
      </w:r>
      <w:r w:rsidR="00F6180C" w:rsidRPr="003A6A97">
        <w:rPr>
          <w:rFonts w:ascii="宋体" w:hAnsi="宋体" w:hint="eastAsia"/>
          <w:szCs w:val="22"/>
        </w:rPr>
        <w:t>手机银行</w:t>
      </w:r>
      <w:r w:rsidRPr="003A6A97">
        <w:rPr>
          <w:rFonts w:hint="eastAsia"/>
        </w:rPr>
        <w:t>定期定额投资申购费率</w:t>
      </w:r>
      <w:r w:rsidRPr="003A6A97">
        <w:rPr>
          <w:rFonts w:hint="eastAsia"/>
        </w:rPr>
        <w:t>8</w:t>
      </w:r>
      <w:r w:rsidRPr="003A6A97">
        <w:rPr>
          <w:rFonts w:hint="eastAsia"/>
        </w:rPr>
        <w:t>折优惠活动</w:t>
      </w:r>
    </w:p>
    <w:p w:rsidR="00893905" w:rsidRPr="003A6A97" w:rsidRDefault="00893905"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1、优惠活动内容：</w:t>
      </w:r>
    </w:p>
    <w:p w:rsidR="00893905" w:rsidRPr="003A6A97" w:rsidRDefault="00893905"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投资者在上述优惠活动期间通过华夏银行</w:t>
      </w:r>
      <w:r w:rsidR="00647684" w:rsidRPr="003A6A97">
        <w:rPr>
          <w:rFonts w:hint="eastAsia"/>
          <w:sz w:val="21"/>
          <w:szCs w:val="21"/>
        </w:rPr>
        <w:t>手机银行</w:t>
      </w:r>
      <w:r w:rsidRPr="003A6A97">
        <w:rPr>
          <w:rFonts w:hint="eastAsia"/>
          <w:sz w:val="21"/>
          <w:szCs w:val="21"/>
        </w:rPr>
        <w:t>定期定额投资申购参与本次优惠活动的基金并成功扣款的，其申购费率实行8折优惠，但优惠后申购费率不低于0.6%。优惠</w:t>
      </w:r>
      <w:r w:rsidRPr="003A6A97">
        <w:rPr>
          <w:rFonts w:hint="eastAsia"/>
          <w:sz w:val="21"/>
          <w:szCs w:val="21"/>
        </w:rPr>
        <w:lastRenderedPageBreak/>
        <w:t>折扣后申购费率等于或低于0.6%的，按0.6%执行；若申购费率低于0.6％或适用于固定费用的，则执行其规定的申购费率或固定费用，不再享有费率折扣。各</w:t>
      </w:r>
      <w:r w:rsidRPr="003A6A97">
        <w:rPr>
          <w:sz w:val="21"/>
          <w:szCs w:val="21"/>
        </w:rPr>
        <w:t>基金</w:t>
      </w:r>
      <w:r w:rsidRPr="003A6A97">
        <w:rPr>
          <w:rFonts w:hint="eastAsia"/>
          <w:sz w:val="21"/>
          <w:szCs w:val="21"/>
        </w:rPr>
        <w:t>申购</w:t>
      </w:r>
      <w:r w:rsidRPr="003A6A97">
        <w:rPr>
          <w:sz w:val="21"/>
          <w:szCs w:val="21"/>
        </w:rPr>
        <w:t>费率</w:t>
      </w:r>
      <w:r w:rsidRPr="003A6A97">
        <w:rPr>
          <w:rFonts w:hint="eastAsia"/>
          <w:sz w:val="21"/>
          <w:szCs w:val="21"/>
        </w:rPr>
        <w:t>以各</w:t>
      </w:r>
      <w:r w:rsidRPr="003A6A97">
        <w:rPr>
          <w:sz w:val="21"/>
          <w:szCs w:val="21"/>
        </w:rPr>
        <w:t>基金《基金合同》、《招募说明书》及</w:t>
      </w:r>
      <w:r w:rsidRPr="003A6A97">
        <w:rPr>
          <w:rFonts w:hint="eastAsia"/>
          <w:sz w:val="21"/>
          <w:szCs w:val="21"/>
        </w:rPr>
        <w:t>相关最新</w:t>
      </w:r>
      <w:r w:rsidRPr="003A6A97">
        <w:rPr>
          <w:sz w:val="21"/>
          <w:szCs w:val="21"/>
        </w:rPr>
        <w:t>公告</w:t>
      </w:r>
      <w:r w:rsidRPr="003A6A97">
        <w:rPr>
          <w:rFonts w:hint="eastAsia"/>
          <w:sz w:val="21"/>
          <w:szCs w:val="21"/>
        </w:rPr>
        <w:t>公布的费率为准</w:t>
      </w:r>
      <w:r w:rsidRPr="003A6A97">
        <w:rPr>
          <w:sz w:val="21"/>
          <w:szCs w:val="21"/>
        </w:rPr>
        <w:t>。</w:t>
      </w:r>
    </w:p>
    <w:p w:rsidR="00893905" w:rsidRPr="003A6A97" w:rsidRDefault="00893905"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本优惠仅针对在正常定投申购期的开放式基金（前端收费模式）的申购手续费费率，不包括各基金的后端收费模式。</w:t>
      </w:r>
    </w:p>
    <w:p w:rsidR="00893905" w:rsidRPr="003A6A97" w:rsidRDefault="00893905"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2、优惠活动适用的基金产品：</w:t>
      </w:r>
    </w:p>
    <w:p w:rsidR="00893905" w:rsidRPr="003A6A97" w:rsidRDefault="00893905" w:rsidP="00893905">
      <w:pPr>
        <w:pStyle w:val="a4"/>
        <w:numPr>
          <w:ilvl w:val="0"/>
          <w:numId w:val="2"/>
        </w:numPr>
        <w:adjustRightInd w:val="0"/>
        <w:snapToGrid w:val="0"/>
        <w:spacing w:before="0" w:beforeAutospacing="0" w:after="0" w:afterAutospacing="0" w:line="336" w:lineRule="auto"/>
        <w:rPr>
          <w:sz w:val="21"/>
          <w:szCs w:val="21"/>
        </w:rPr>
      </w:pPr>
      <w:r w:rsidRPr="003A6A97">
        <w:rPr>
          <w:rFonts w:hint="eastAsia"/>
          <w:sz w:val="21"/>
          <w:szCs w:val="21"/>
        </w:rPr>
        <w:t>信诚四季红混合型证券投资基金（</w:t>
      </w:r>
      <w:r w:rsidRPr="003A6A97">
        <w:rPr>
          <w:sz w:val="21"/>
          <w:szCs w:val="21"/>
        </w:rPr>
        <w:t>基金代码：</w:t>
      </w:r>
      <w:r w:rsidRPr="003A6A97">
        <w:rPr>
          <w:rFonts w:hint="eastAsia"/>
          <w:sz w:val="21"/>
          <w:szCs w:val="21"/>
        </w:rPr>
        <w:t>550001）</w:t>
      </w:r>
    </w:p>
    <w:p w:rsidR="00893905" w:rsidRPr="003A6A97" w:rsidRDefault="00893905" w:rsidP="00893905">
      <w:pPr>
        <w:pStyle w:val="a4"/>
        <w:numPr>
          <w:ilvl w:val="0"/>
          <w:numId w:val="2"/>
        </w:numPr>
        <w:adjustRightInd w:val="0"/>
        <w:snapToGrid w:val="0"/>
        <w:spacing w:before="0" w:beforeAutospacing="0" w:after="0" w:afterAutospacing="0" w:line="336" w:lineRule="auto"/>
        <w:rPr>
          <w:sz w:val="21"/>
          <w:szCs w:val="21"/>
        </w:rPr>
      </w:pPr>
      <w:r w:rsidRPr="003A6A97">
        <w:rPr>
          <w:rFonts w:hint="eastAsia"/>
          <w:sz w:val="21"/>
          <w:szCs w:val="21"/>
        </w:rPr>
        <w:t>信诚精萃成长股票型证券投资基金</w:t>
      </w:r>
      <w:r w:rsidRPr="003A6A97">
        <w:rPr>
          <w:sz w:val="21"/>
          <w:szCs w:val="21"/>
        </w:rPr>
        <w:t>(基金代码：</w:t>
      </w:r>
      <w:r w:rsidRPr="003A6A97">
        <w:rPr>
          <w:rFonts w:hint="eastAsia"/>
          <w:sz w:val="21"/>
          <w:szCs w:val="21"/>
        </w:rPr>
        <w:t>550002</w:t>
      </w:r>
      <w:r w:rsidRPr="003A6A97">
        <w:rPr>
          <w:sz w:val="21"/>
          <w:szCs w:val="21"/>
        </w:rPr>
        <w:t>)</w:t>
      </w:r>
    </w:p>
    <w:p w:rsidR="00893905" w:rsidRPr="003A6A97" w:rsidRDefault="00893905" w:rsidP="00893905">
      <w:pPr>
        <w:pStyle w:val="a4"/>
        <w:numPr>
          <w:ilvl w:val="0"/>
          <w:numId w:val="2"/>
        </w:numPr>
        <w:adjustRightInd w:val="0"/>
        <w:snapToGrid w:val="0"/>
        <w:spacing w:before="0" w:beforeAutospacing="0" w:after="0" w:afterAutospacing="0" w:line="336" w:lineRule="auto"/>
        <w:rPr>
          <w:sz w:val="21"/>
          <w:szCs w:val="21"/>
        </w:rPr>
      </w:pPr>
      <w:r w:rsidRPr="003A6A97">
        <w:rPr>
          <w:rFonts w:hint="eastAsia"/>
          <w:sz w:val="21"/>
          <w:szCs w:val="21"/>
        </w:rPr>
        <w:t>信诚盛世蓝筹股票型证券投资基金（基金代码：550003）</w:t>
      </w:r>
    </w:p>
    <w:p w:rsidR="00893905" w:rsidRPr="003A6A97" w:rsidRDefault="00893905" w:rsidP="00893905">
      <w:pPr>
        <w:pStyle w:val="a4"/>
        <w:numPr>
          <w:ilvl w:val="0"/>
          <w:numId w:val="2"/>
        </w:numPr>
        <w:adjustRightInd w:val="0"/>
        <w:snapToGrid w:val="0"/>
        <w:spacing w:before="0" w:beforeAutospacing="0" w:after="0" w:afterAutospacing="0" w:line="336" w:lineRule="auto"/>
        <w:rPr>
          <w:sz w:val="21"/>
          <w:szCs w:val="21"/>
        </w:rPr>
      </w:pPr>
      <w:r w:rsidRPr="003A6A97">
        <w:rPr>
          <w:rFonts w:hint="eastAsia"/>
          <w:sz w:val="21"/>
          <w:szCs w:val="21"/>
        </w:rPr>
        <w:t>信诚三得益债券型证券投资基金A类（基金代码： 550004）</w:t>
      </w:r>
    </w:p>
    <w:p w:rsidR="00893905" w:rsidRPr="003A6A97" w:rsidRDefault="00893905" w:rsidP="00893905">
      <w:pPr>
        <w:pStyle w:val="a4"/>
        <w:numPr>
          <w:ilvl w:val="0"/>
          <w:numId w:val="2"/>
        </w:numPr>
        <w:adjustRightInd w:val="0"/>
        <w:snapToGrid w:val="0"/>
        <w:spacing w:before="0" w:beforeAutospacing="0" w:after="0" w:afterAutospacing="0" w:line="336" w:lineRule="auto"/>
        <w:rPr>
          <w:sz w:val="21"/>
          <w:szCs w:val="21"/>
        </w:rPr>
      </w:pPr>
      <w:r w:rsidRPr="003A6A97">
        <w:rPr>
          <w:rFonts w:hint="eastAsia"/>
          <w:sz w:val="21"/>
          <w:szCs w:val="21"/>
        </w:rPr>
        <w:t>信诚经典优债债券型证券投资基金A类（基金代码： 550006）</w:t>
      </w:r>
    </w:p>
    <w:p w:rsidR="00893905" w:rsidRPr="003A6A97" w:rsidRDefault="00893905" w:rsidP="00893905">
      <w:pPr>
        <w:pStyle w:val="a4"/>
        <w:numPr>
          <w:ilvl w:val="0"/>
          <w:numId w:val="2"/>
        </w:numPr>
        <w:tabs>
          <w:tab w:val="left" w:pos="993"/>
        </w:tabs>
        <w:adjustRightInd w:val="0"/>
        <w:snapToGrid w:val="0"/>
        <w:spacing w:before="0" w:beforeAutospacing="0" w:after="0" w:afterAutospacing="0" w:line="336" w:lineRule="auto"/>
        <w:rPr>
          <w:sz w:val="21"/>
          <w:szCs w:val="21"/>
        </w:rPr>
      </w:pPr>
      <w:r w:rsidRPr="003A6A97">
        <w:rPr>
          <w:rFonts w:hint="eastAsia"/>
          <w:sz w:val="21"/>
          <w:szCs w:val="21"/>
        </w:rPr>
        <w:t>信诚中证500指数分级证券投资基金（基金代码：165511）</w:t>
      </w:r>
    </w:p>
    <w:p w:rsidR="00893905" w:rsidRPr="003A6A97" w:rsidRDefault="00893905" w:rsidP="00893905">
      <w:pPr>
        <w:pStyle w:val="a4"/>
        <w:numPr>
          <w:ilvl w:val="0"/>
          <w:numId w:val="2"/>
        </w:numPr>
        <w:tabs>
          <w:tab w:val="left" w:pos="993"/>
        </w:tabs>
        <w:adjustRightInd w:val="0"/>
        <w:snapToGrid w:val="0"/>
        <w:spacing w:before="0" w:beforeAutospacing="0" w:after="0" w:afterAutospacing="0" w:line="336" w:lineRule="auto"/>
        <w:rPr>
          <w:sz w:val="21"/>
          <w:szCs w:val="21"/>
        </w:rPr>
      </w:pPr>
      <w:r w:rsidRPr="003A6A97">
        <w:rPr>
          <w:rFonts w:hint="eastAsia"/>
          <w:sz w:val="21"/>
          <w:szCs w:val="21"/>
        </w:rPr>
        <w:t>信诚新机遇股票型证券投资基金（LOF）（基金代码：165512）</w:t>
      </w:r>
    </w:p>
    <w:p w:rsidR="00893905" w:rsidRPr="003A6A97" w:rsidRDefault="00893905" w:rsidP="00893905">
      <w:pPr>
        <w:pStyle w:val="a4"/>
        <w:numPr>
          <w:ilvl w:val="0"/>
          <w:numId w:val="2"/>
        </w:numPr>
        <w:tabs>
          <w:tab w:val="left" w:pos="993"/>
        </w:tabs>
        <w:adjustRightInd w:val="0"/>
        <w:snapToGrid w:val="0"/>
        <w:spacing w:before="0" w:beforeAutospacing="0" w:after="0" w:afterAutospacing="0" w:line="360" w:lineRule="auto"/>
        <w:rPr>
          <w:sz w:val="21"/>
          <w:szCs w:val="21"/>
        </w:rPr>
      </w:pPr>
      <w:r w:rsidRPr="003A6A97">
        <w:rPr>
          <w:rFonts w:hint="eastAsia"/>
          <w:sz w:val="21"/>
          <w:szCs w:val="21"/>
        </w:rPr>
        <w:t>信诚全球商品主题证券投资基金（LOF）（基金代码：165513）</w:t>
      </w:r>
    </w:p>
    <w:p w:rsidR="00893905" w:rsidRPr="003A6A97" w:rsidRDefault="00893905" w:rsidP="00893905">
      <w:pPr>
        <w:pStyle w:val="a4"/>
        <w:numPr>
          <w:ilvl w:val="0"/>
          <w:numId w:val="2"/>
        </w:numPr>
        <w:tabs>
          <w:tab w:val="left" w:pos="993"/>
        </w:tabs>
        <w:adjustRightInd w:val="0"/>
        <w:snapToGrid w:val="0"/>
        <w:spacing w:before="0" w:beforeAutospacing="0" w:after="0" w:afterAutospacing="0" w:line="360" w:lineRule="auto"/>
        <w:rPr>
          <w:sz w:val="21"/>
          <w:szCs w:val="21"/>
        </w:rPr>
      </w:pPr>
      <w:r w:rsidRPr="003A6A97">
        <w:rPr>
          <w:rFonts w:hint="eastAsia"/>
          <w:sz w:val="21"/>
          <w:szCs w:val="21"/>
        </w:rPr>
        <w:t>信诚沪深300指数分级证券投资基金（基金代码：165515）</w:t>
      </w:r>
    </w:p>
    <w:p w:rsidR="002A2EA8" w:rsidRPr="003A6A97" w:rsidRDefault="00893905" w:rsidP="00F6180C">
      <w:pPr>
        <w:pStyle w:val="a4"/>
        <w:numPr>
          <w:ilvl w:val="0"/>
          <w:numId w:val="2"/>
        </w:numPr>
        <w:tabs>
          <w:tab w:val="left" w:pos="993"/>
        </w:tabs>
        <w:adjustRightInd w:val="0"/>
        <w:snapToGrid w:val="0"/>
        <w:spacing w:before="0" w:beforeAutospacing="0" w:after="0" w:afterAutospacing="0" w:line="360" w:lineRule="auto"/>
        <w:rPr>
          <w:sz w:val="21"/>
          <w:szCs w:val="21"/>
        </w:rPr>
      </w:pPr>
      <w:r w:rsidRPr="003A6A97">
        <w:rPr>
          <w:rFonts w:hint="eastAsia"/>
          <w:sz w:val="21"/>
          <w:szCs w:val="21"/>
        </w:rPr>
        <w:t>信诚周期轮动股票型证券投资基金（LOF）（基金代码：165516）</w:t>
      </w:r>
    </w:p>
    <w:p w:rsidR="00876C54" w:rsidRPr="003A6A97" w:rsidRDefault="002A2EA8"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四</w:t>
      </w:r>
      <w:r w:rsidR="00876C54" w:rsidRPr="003A6A97">
        <w:rPr>
          <w:rFonts w:hint="eastAsia"/>
          <w:sz w:val="21"/>
          <w:szCs w:val="21"/>
        </w:rPr>
        <w:t>、其他事项</w:t>
      </w:r>
    </w:p>
    <w:p w:rsidR="00843766"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sz w:val="21"/>
          <w:szCs w:val="21"/>
        </w:rPr>
        <w:t>投资者欲了解各基金产品的详细情况，请仔细阅读各基金的基金合同、基金招募说明书或招募说明书（更新）等法律文件。</w:t>
      </w:r>
    </w:p>
    <w:p w:rsidR="00876C54" w:rsidRPr="003A6A97" w:rsidRDefault="002A2EA8"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五</w:t>
      </w:r>
      <w:r w:rsidR="00876C54" w:rsidRPr="003A6A97">
        <w:rPr>
          <w:rFonts w:hint="eastAsia"/>
          <w:sz w:val="21"/>
          <w:szCs w:val="21"/>
        </w:rPr>
        <w:t>、投资者可通过以下途径了解或咨询详请</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1、信诚基金管理有限公司</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公司网址：www.xcfunds.com</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客服电话：400-666-0066、(021) 5108 5168</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2</w:t>
      </w:r>
      <w:r w:rsidRPr="003A6A97">
        <w:rPr>
          <w:sz w:val="21"/>
          <w:szCs w:val="21"/>
        </w:rPr>
        <w:t>、</w:t>
      </w:r>
      <w:r w:rsidR="00040C48" w:rsidRPr="003A6A97">
        <w:rPr>
          <w:rFonts w:hint="eastAsia"/>
          <w:sz w:val="21"/>
          <w:szCs w:val="21"/>
        </w:rPr>
        <w:t>华夏银行</w:t>
      </w:r>
      <w:r w:rsidRPr="003A6A97">
        <w:rPr>
          <w:rFonts w:hint="eastAsia"/>
          <w:sz w:val="21"/>
          <w:szCs w:val="21"/>
        </w:rPr>
        <w:t>股份有限公</w:t>
      </w:r>
      <w:r w:rsidRPr="003A6A97">
        <w:rPr>
          <w:sz w:val="21"/>
          <w:szCs w:val="21"/>
        </w:rPr>
        <w:t>司</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公司</w:t>
      </w:r>
      <w:r w:rsidRPr="003A6A97">
        <w:rPr>
          <w:sz w:val="21"/>
          <w:szCs w:val="21"/>
        </w:rPr>
        <w:t>网站</w:t>
      </w:r>
      <w:r w:rsidR="0054329D" w:rsidRPr="003A6A97">
        <w:rPr>
          <w:rFonts w:hint="eastAsia"/>
          <w:sz w:val="21"/>
          <w:szCs w:val="21"/>
        </w:rPr>
        <w:t>：</w:t>
      </w:r>
      <w:hyperlink r:id="rId7" w:history="1">
        <w:r w:rsidR="0054329D" w:rsidRPr="003A6A97">
          <w:rPr>
            <w:rFonts w:hint="eastAsia"/>
            <w:sz w:val="21"/>
            <w:szCs w:val="21"/>
          </w:rPr>
          <w:t>www.hxb.com.cn</w:t>
        </w:r>
      </w:hyperlink>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sz w:val="21"/>
          <w:szCs w:val="21"/>
        </w:rPr>
        <w:t>客服电话：</w:t>
      </w:r>
      <w:r w:rsidR="0054329D" w:rsidRPr="003A6A97">
        <w:rPr>
          <w:rFonts w:hint="eastAsia"/>
          <w:sz w:val="21"/>
          <w:szCs w:val="21"/>
        </w:rPr>
        <w:t>95577</w:t>
      </w:r>
    </w:p>
    <w:p w:rsidR="00843766"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sz w:val="21"/>
          <w:szCs w:val="21"/>
        </w:rPr>
        <w:t>本优惠办法的解释权属于</w:t>
      </w:r>
      <w:r w:rsidR="00011516" w:rsidRPr="003A6A97">
        <w:rPr>
          <w:rFonts w:hint="eastAsia"/>
          <w:sz w:val="21"/>
          <w:szCs w:val="21"/>
        </w:rPr>
        <w:t>华夏银行</w:t>
      </w:r>
      <w:r w:rsidRPr="003A6A97">
        <w:rPr>
          <w:sz w:val="21"/>
          <w:szCs w:val="21"/>
        </w:rPr>
        <w:t>股份有限公司</w:t>
      </w:r>
      <w:r w:rsidRPr="003A6A97">
        <w:rPr>
          <w:rFonts w:hint="eastAsia"/>
          <w:sz w:val="21"/>
          <w:szCs w:val="21"/>
        </w:rPr>
        <w:t>，详情请至</w:t>
      </w:r>
      <w:r w:rsidR="00433F72" w:rsidRPr="003A6A97">
        <w:rPr>
          <w:rFonts w:hint="eastAsia"/>
          <w:sz w:val="21"/>
          <w:szCs w:val="21"/>
        </w:rPr>
        <w:t>华夏银行</w:t>
      </w:r>
      <w:r w:rsidRPr="003A6A97">
        <w:rPr>
          <w:rFonts w:hint="eastAsia"/>
          <w:sz w:val="21"/>
          <w:szCs w:val="21"/>
        </w:rPr>
        <w:t>股份有限</w:t>
      </w:r>
      <w:r w:rsidRPr="003A6A97">
        <w:rPr>
          <w:sz w:val="21"/>
          <w:szCs w:val="21"/>
        </w:rPr>
        <w:t>公司各营业网点</w:t>
      </w:r>
      <w:r w:rsidRPr="003A6A97">
        <w:rPr>
          <w:rFonts w:hint="eastAsia"/>
          <w:sz w:val="21"/>
          <w:szCs w:val="21"/>
        </w:rPr>
        <w:t>咨询。</w:t>
      </w:r>
      <w:r w:rsidRPr="003A6A97">
        <w:rPr>
          <w:sz w:val="21"/>
          <w:szCs w:val="21"/>
        </w:rPr>
        <w:t xml:space="preserve"> </w:t>
      </w:r>
    </w:p>
    <w:p w:rsidR="00876C54" w:rsidRPr="003A6A97" w:rsidRDefault="002A2EA8"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六</w:t>
      </w:r>
      <w:r w:rsidR="00876C54" w:rsidRPr="003A6A97">
        <w:rPr>
          <w:rFonts w:hint="eastAsia"/>
          <w:sz w:val="21"/>
          <w:szCs w:val="21"/>
        </w:rPr>
        <w:t>、</w:t>
      </w:r>
      <w:r w:rsidR="00876C54" w:rsidRPr="003A6A97">
        <w:rPr>
          <w:sz w:val="21"/>
          <w:szCs w:val="21"/>
        </w:rPr>
        <w:t>风险提示</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本基金管理人承诺以诚实信用、勤勉尽责的原则管理和运用基金财产，但不保证基金一定盈利，也不保证最低收益。敬请投资者注意投资风险。</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r w:rsidRPr="003A6A97">
        <w:rPr>
          <w:rFonts w:hint="eastAsia"/>
          <w:sz w:val="21"/>
          <w:szCs w:val="21"/>
        </w:rPr>
        <w:t>特此公告。</w:t>
      </w:r>
    </w:p>
    <w:p w:rsidR="00876C54" w:rsidRPr="003A6A97" w:rsidRDefault="00876C54" w:rsidP="005A4A1B">
      <w:pPr>
        <w:pStyle w:val="a4"/>
        <w:adjustRightInd w:val="0"/>
        <w:snapToGrid w:val="0"/>
        <w:spacing w:before="0" w:beforeAutospacing="0" w:after="0" w:afterAutospacing="0" w:line="336" w:lineRule="auto"/>
        <w:ind w:firstLineChars="166" w:firstLine="349"/>
        <w:jc w:val="both"/>
        <w:rPr>
          <w:sz w:val="21"/>
          <w:szCs w:val="21"/>
        </w:rPr>
      </w:pPr>
    </w:p>
    <w:p w:rsidR="00876C54" w:rsidRPr="003A6A97" w:rsidRDefault="00876C54" w:rsidP="005A4A1B">
      <w:pPr>
        <w:pStyle w:val="a4"/>
        <w:adjustRightInd w:val="0"/>
        <w:snapToGrid w:val="0"/>
        <w:spacing w:before="0" w:beforeAutospacing="0" w:after="0" w:afterAutospacing="0" w:line="336" w:lineRule="auto"/>
        <w:ind w:firstLineChars="166" w:firstLine="349"/>
        <w:jc w:val="right"/>
        <w:rPr>
          <w:sz w:val="21"/>
          <w:szCs w:val="21"/>
        </w:rPr>
      </w:pPr>
      <w:r w:rsidRPr="003A6A97">
        <w:rPr>
          <w:rFonts w:hint="eastAsia"/>
          <w:sz w:val="21"/>
          <w:szCs w:val="21"/>
        </w:rPr>
        <w:t>信诚基金管理有限公司</w:t>
      </w:r>
    </w:p>
    <w:p w:rsidR="00876C54" w:rsidRPr="005A4A1B" w:rsidRDefault="00876C54" w:rsidP="005A4A1B">
      <w:pPr>
        <w:pStyle w:val="a4"/>
        <w:adjustRightInd w:val="0"/>
        <w:snapToGrid w:val="0"/>
        <w:spacing w:before="0" w:beforeAutospacing="0" w:after="0" w:afterAutospacing="0" w:line="336" w:lineRule="auto"/>
        <w:ind w:firstLineChars="166" w:firstLine="349"/>
        <w:jc w:val="right"/>
        <w:rPr>
          <w:sz w:val="21"/>
          <w:szCs w:val="21"/>
        </w:rPr>
      </w:pPr>
      <w:r w:rsidRPr="003A6A97">
        <w:rPr>
          <w:rFonts w:hint="eastAsia"/>
          <w:sz w:val="21"/>
          <w:szCs w:val="21"/>
        </w:rPr>
        <w:t>2014年</w:t>
      </w:r>
      <w:r w:rsidR="0054329D" w:rsidRPr="003A6A97">
        <w:rPr>
          <w:rFonts w:hint="eastAsia"/>
          <w:sz w:val="21"/>
          <w:szCs w:val="21"/>
        </w:rPr>
        <w:t>6月27日</w:t>
      </w:r>
    </w:p>
    <w:p w:rsidR="00D50585" w:rsidRPr="005A4A1B" w:rsidRDefault="00D50585" w:rsidP="005A4A1B">
      <w:pPr>
        <w:pStyle w:val="a4"/>
        <w:adjustRightInd w:val="0"/>
        <w:snapToGrid w:val="0"/>
        <w:spacing w:before="0" w:beforeAutospacing="0" w:after="0" w:afterAutospacing="0" w:line="336" w:lineRule="auto"/>
        <w:ind w:firstLineChars="166" w:firstLine="349"/>
        <w:jc w:val="right"/>
        <w:rPr>
          <w:sz w:val="21"/>
          <w:szCs w:val="21"/>
        </w:rPr>
      </w:pPr>
    </w:p>
    <w:sectPr w:rsidR="00D50585" w:rsidRPr="005A4A1B" w:rsidSect="00F63A34">
      <w:pgSz w:w="11906" w:h="16838"/>
      <w:pgMar w:top="1276" w:right="1797" w:bottom="99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72B" w:rsidRDefault="001E372B" w:rsidP="00B405F4">
      <w:r>
        <w:separator/>
      </w:r>
    </w:p>
  </w:endnote>
  <w:endnote w:type="continuationSeparator" w:id="0">
    <w:p w:rsidR="001E372B" w:rsidRDefault="001E372B" w:rsidP="00B40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72B" w:rsidRDefault="001E372B" w:rsidP="00B405F4">
      <w:r>
        <w:separator/>
      </w:r>
    </w:p>
  </w:footnote>
  <w:footnote w:type="continuationSeparator" w:id="0">
    <w:p w:rsidR="001E372B" w:rsidRDefault="001E372B" w:rsidP="00B40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25B0D"/>
    <w:multiLevelType w:val="hybridMultilevel"/>
    <w:tmpl w:val="5770BF58"/>
    <w:lvl w:ilvl="0" w:tplc="2BE20CD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515198D"/>
    <w:multiLevelType w:val="hybridMultilevel"/>
    <w:tmpl w:val="5770BF58"/>
    <w:lvl w:ilvl="0" w:tplc="2BE20CD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546C"/>
    <w:rsid w:val="00011516"/>
    <w:rsid w:val="00040C48"/>
    <w:rsid w:val="0014525A"/>
    <w:rsid w:val="00147EA3"/>
    <w:rsid w:val="00165A7B"/>
    <w:rsid w:val="001E372B"/>
    <w:rsid w:val="002044D2"/>
    <w:rsid w:val="002A2EA8"/>
    <w:rsid w:val="003672C4"/>
    <w:rsid w:val="003842AE"/>
    <w:rsid w:val="003A6A97"/>
    <w:rsid w:val="00433F72"/>
    <w:rsid w:val="00435BBB"/>
    <w:rsid w:val="00526AB1"/>
    <w:rsid w:val="0054329D"/>
    <w:rsid w:val="0058546C"/>
    <w:rsid w:val="005A4A1B"/>
    <w:rsid w:val="00647684"/>
    <w:rsid w:val="007E626E"/>
    <w:rsid w:val="00843766"/>
    <w:rsid w:val="00844D10"/>
    <w:rsid w:val="00876C54"/>
    <w:rsid w:val="00893905"/>
    <w:rsid w:val="00894CBF"/>
    <w:rsid w:val="00B054E0"/>
    <w:rsid w:val="00B405F4"/>
    <w:rsid w:val="00B748E5"/>
    <w:rsid w:val="00BA61BE"/>
    <w:rsid w:val="00D50585"/>
    <w:rsid w:val="00DE52EE"/>
    <w:rsid w:val="00E56723"/>
    <w:rsid w:val="00E865CA"/>
    <w:rsid w:val="00F51A87"/>
    <w:rsid w:val="00F6180C"/>
    <w:rsid w:val="00F63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1">
    <w:name w:val="bold1"/>
    <w:basedOn w:val="a0"/>
    <w:rsid w:val="00876C54"/>
    <w:rPr>
      <w:b/>
      <w:bCs/>
      <w:color w:val="000000"/>
      <w:sz w:val="21"/>
      <w:szCs w:val="21"/>
    </w:rPr>
  </w:style>
  <w:style w:type="paragraph" w:styleId="a3">
    <w:name w:val="Balloon Text"/>
    <w:basedOn w:val="a"/>
    <w:link w:val="Char"/>
    <w:uiPriority w:val="99"/>
    <w:semiHidden/>
    <w:unhideWhenUsed/>
    <w:rsid w:val="00435BBB"/>
    <w:rPr>
      <w:sz w:val="18"/>
      <w:szCs w:val="18"/>
    </w:rPr>
  </w:style>
  <w:style w:type="character" w:customStyle="1" w:styleId="Char">
    <w:name w:val="批注框文本 Char"/>
    <w:basedOn w:val="a0"/>
    <w:link w:val="a3"/>
    <w:uiPriority w:val="99"/>
    <w:semiHidden/>
    <w:rsid w:val="00435BBB"/>
    <w:rPr>
      <w:rFonts w:ascii="Times New Roman" w:eastAsia="宋体" w:hAnsi="Times New Roman" w:cs="Times New Roman"/>
      <w:sz w:val="18"/>
      <w:szCs w:val="18"/>
    </w:rPr>
  </w:style>
  <w:style w:type="paragraph" w:styleId="a4">
    <w:name w:val="Normal (Web)"/>
    <w:basedOn w:val="a"/>
    <w:rsid w:val="00435BBB"/>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unhideWhenUsed/>
    <w:rsid w:val="0054329D"/>
    <w:rPr>
      <w:color w:val="0000FF" w:themeColor="hyperlink"/>
      <w:u w:val="single"/>
    </w:rPr>
  </w:style>
  <w:style w:type="paragraph" w:styleId="a6">
    <w:name w:val="header"/>
    <w:basedOn w:val="a"/>
    <w:link w:val="Char0"/>
    <w:uiPriority w:val="99"/>
    <w:semiHidden/>
    <w:unhideWhenUsed/>
    <w:rsid w:val="00B405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405F4"/>
    <w:rPr>
      <w:rFonts w:ascii="Times New Roman" w:eastAsia="宋体" w:hAnsi="Times New Roman" w:cs="Times New Roman"/>
      <w:sz w:val="18"/>
      <w:szCs w:val="18"/>
    </w:rPr>
  </w:style>
  <w:style w:type="paragraph" w:styleId="a7">
    <w:name w:val="footer"/>
    <w:basedOn w:val="a"/>
    <w:link w:val="Char1"/>
    <w:uiPriority w:val="99"/>
    <w:semiHidden/>
    <w:unhideWhenUsed/>
    <w:rsid w:val="00B405F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405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xb.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294</Words>
  <Characters>1681</Characters>
  <Application>Microsoft Office Word</Application>
  <DocSecurity>0</DocSecurity>
  <Lines>14</Lines>
  <Paragraphs>3</Paragraphs>
  <ScaleCrop>false</ScaleCrop>
  <Company>Lenovo</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27</cp:revision>
  <dcterms:created xsi:type="dcterms:W3CDTF">2014-06-10T06:38:00Z</dcterms:created>
  <dcterms:modified xsi:type="dcterms:W3CDTF">2014-06-25T05:26:00Z</dcterms:modified>
</cp:coreProperties>
</file>