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9D" w:rsidRPr="00D9189D" w:rsidRDefault="00D9189D" w:rsidP="0069415A">
      <w:pPr>
        <w:pStyle w:val="affb"/>
        <w:spacing w:line="560" w:lineRule="exact"/>
        <w:ind w:firstLineChars="0" w:firstLine="0"/>
        <w:rPr>
          <w:rFonts w:ascii="仿宋_GB2312" w:eastAsia="仿宋_GB2312" w:hAnsi="黑体"/>
          <w:b/>
          <w:bCs/>
          <w:kern w:val="0"/>
          <w:sz w:val="30"/>
          <w:szCs w:val="30"/>
          <w:lang w:eastAsia="zh-CN"/>
        </w:rPr>
      </w:pPr>
      <w:r w:rsidRPr="00D9189D">
        <w:rPr>
          <w:rFonts w:ascii="仿宋_GB2312" w:eastAsia="仿宋_GB2312" w:hAnsi="黑体" w:hint="eastAsia"/>
          <w:b/>
          <w:bCs/>
          <w:kern w:val="0"/>
          <w:sz w:val="30"/>
          <w:szCs w:val="30"/>
        </w:rPr>
        <w:t>附件</w:t>
      </w:r>
    </w:p>
    <w:p w:rsidR="00D9189D" w:rsidRDefault="00D9189D" w:rsidP="0069415A">
      <w:pPr>
        <w:pStyle w:val="affb"/>
        <w:spacing w:line="560" w:lineRule="exact"/>
        <w:ind w:firstLineChars="0" w:firstLine="0"/>
        <w:rPr>
          <w:rFonts w:ascii="仿宋_GB2312" w:eastAsia="仿宋_GB2312" w:hAnsi="黑体"/>
          <w:b/>
          <w:bCs/>
          <w:kern w:val="0"/>
          <w:sz w:val="30"/>
          <w:szCs w:val="30"/>
        </w:rPr>
      </w:pPr>
    </w:p>
    <w:p w:rsidR="00D9189D" w:rsidRDefault="00D9189D" w:rsidP="0069415A">
      <w:pPr>
        <w:pStyle w:val="affb"/>
        <w:spacing w:line="560" w:lineRule="exact"/>
        <w:ind w:firstLineChars="0" w:firstLine="0"/>
        <w:jc w:val="center"/>
        <w:rPr>
          <w:rFonts w:ascii="方正大标宋简体" w:eastAsia="方正大标宋简体" w:hAnsi="黑体" w:hint="eastAsia"/>
          <w:bCs/>
          <w:kern w:val="0"/>
          <w:sz w:val="42"/>
          <w:szCs w:val="42"/>
        </w:rPr>
      </w:pPr>
      <w:r>
        <w:rPr>
          <w:rFonts w:ascii="方正大标宋简体" w:eastAsia="方正大标宋简体" w:hAnsi="黑体" w:hint="eastAsia"/>
          <w:bCs/>
          <w:kern w:val="0"/>
          <w:sz w:val="42"/>
          <w:szCs w:val="42"/>
        </w:rPr>
        <w:t>上海证券交易所科创板股票异常交易</w:t>
      </w:r>
    </w:p>
    <w:p w:rsidR="00D9189D" w:rsidRDefault="00D9189D" w:rsidP="0069415A">
      <w:pPr>
        <w:pStyle w:val="affb"/>
        <w:spacing w:line="560" w:lineRule="exact"/>
        <w:ind w:firstLineChars="0" w:firstLine="0"/>
        <w:jc w:val="center"/>
        <w:rPr>
          <w:rFonts w:ascii="方正大标宋简体" w:eastAsia="方正大标宋简体" w:hAnsi="黑体" w:hint="eastAsia"/>
          <w:bCs/>
          <w:kern w:val="0"/>
          <w:sz w:val="42"/>
          <w:szCs w:val="42"/>
        </w:rPr>
      </w:pPr>
      <w:r>
        <w:rPr>
          <w:rFonts w:ascii="方正大标宋简体" w:eastAsia="方正大标宋简体" w:hAnsi="黑体" w:hint="eastAsia"/>
          <w:bCs/>
          <w:kern w:val="0"/>
          <w:sz w:val="42"/>
          <w:szCs w:val="42"/>
        </w:rPr>
        <w:t>实时监控细则</w:t>
      </w:r>
    </w:p>
    <w:p w:rsidR="00D9189D" w:rsidRDefault="00D9189D" w:rsidP="0069415A">
      <w:pPr>
        <w:pStyle w:val="affb"/>
        <w:spacing w:line="560" w:lineRule="exact"/>
        <w:ind w:firstLineChars="0" w:firstLine="0"/>
        <w:jc w:val="center"/>
        <w:rPr>
          <w:rFonts w:ascii="仿宋_GB2312" w:eastAsia="仿宋_GB2312" w:hAnsi="黑体" w:hint="eastAsia"/>
          <w:b/>
          <w:bCs/>
          <w:kern w:val="0"/>
          <w:sz w:val="30"/>
          <w:szCs w:val="30"/>
        </w:rPr>
      </w:pPr>
      <w:r>
        <w:rPr>
          <w:rFonts w:ascii="仿宋_GB2312" w:eastAsia="仿宋_GB2312" w:hAnsi="黑体" w:hint="eastAsia"/>
          <w:b/>
          <w:bCs/>
          <w:kern w:val="0"/>
          <w:sz w:val="30"/>
          <w:szCs w:val="30"/>
        </w:rPr>
        <w:t>（试行）</w:t>
      </w:r>
    </w:p>
    <w:p w:rsidR="00D9189D" w:rsidRPr="00D9189D" w:rsidRDefault="00D9189D" w:rsidP="0069415A">
      <w:pPr>
        <w:spacing w:line="560" w:lineRule="exact"/>
        <w:ind w:firstLine="602"/>
        <w:jc w:val="center"/>
        <w:rPr>
          <w:rFonts w:ascii="仿宋_GB2312" w:eastAsia="仿宋_GB2312" w:hAnsi="黑体" w:hint="eastAsia"/>
          <w:b/>
          <w:kern w:val="0"/>
          <w:sz w:val="30"/>
          <w:szCs w:val="30"/>
        </w:rPr>
      </w:pPr>
    </w:p>
    <w:p w:rsidR="00D9189D" w:rsidRPr="00D9189D" w:rsidRDefault="00D9189D" w:rsidP="0069415A">
      <w:pPr>
        <w:spacing w:line="560" w:lineRule="exact"/>
        <w:jc w:val="center"/>
        <w:rPr>
          <w:rFonts w:ascii="黑体" w:eastAsia="黑体" w:hAnsi="黑体" w:hint="eastAsia"/>
          <w:b/>
          <w:sz w:val="30"/>
          <w:szCs w:val="30"/>
        </w:rPr>
      </w:pPr>
      <w:r w:rsidRPr="00D9189D">
        <w:rPr>
          <w:rFonts w:ascii="黑体" w:eastAsia="黑体" w:hAnsi="黑体" w:hint="eastAsia"/>
          <w:b/>
          <w:kern w:val="0"/>
          <w:sz w:val="30"/>
          <w:szCs w:val="30"/>
        </w:rPr>
        <w:t>第一章 总则</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黑体" w:hint="eastAsia"/>
          <w:sz w:val="30"/>
          <w:szCs w:val="30"/>
        </w:rPr>
        <w:t xml:space="preserve">第一条 </w:t>
      </w:r>
      <w:r w:rsidRPr="00D9189D">
        <w:rPr>
          <w:rFonts w:ascii="仿宋_GB2312" w:eastAsia="仿宋_GB2312" w:hAnsi="华文细黑" w:hint="eastAsia"/>
          <w:sz w:val="30"/>
          <w:szCs w:val="30"/>
        </w:rPr>
        <w:t>为了维护上海证券交易所（以下简称本所）科创板股票和存托凭证（以下统称科创板股票）交易秩序，保护投资者合法权益，防范交易风险，根据《上海证券交易所交易规则》（以下简称《交易规则》）</w:t>
      </w:r>
      <w:r w:rsidR="004977DC">
        <w:rPr>
          <w:rFonts w:ascii="仿宋_GB2312" w:eastAsia="仿宋_GB2312" w:hAnsi="华文细黑" w:hint="eastAsia"/>
          <w:sz w:val="30"/>
          <w:szCs w:val="30"/>
          <w:lang w:eastAsia="zh-CN"/>
        </w:rPr>
        <w:t>、</w:t>
      </w:r>
      <w:r w:rsidRPr="00D9189D">
        <w:rPr>
          <w:rFonts w:ascii="仿宋_GB2312" w:eastAsia="仿宋_GB2312" w:hAnsi="华文细黑" w:hint="eastAsia"/>
          <w:sz w:val="30"/>
          <w:szCs w:val="30"/>
        </w:rPr>
        <w:t>《上海证券交易所科创板股票交易特别规定》（以下简称《交易特别规定》）</w:t>
      </w:r>
      <w:r w:rsidR="004977DC">
        <w:rPr>
          <w:rFonts w:ascii="仿宋_GB2312" w:eastAsia="仿宋_GB2312" w:hAnsi="华文细黑" w:hint="eastAsia"/>
          <w:sz w:val="30"/>
          <w:szCs w:val="30"/>
          <w:lang w:eastAsia="zh-CN"/>
        </w:rPr>
        <w:t>、</w:t>
      </w:r>
      <w:r w:rsidRPr="00D9189D">
        <w:rPr>
          <w:rFonts w:ascii="仿宋_GB2312" w:eastAsia="仿宋_GB2312" w:hAnsi="华文细黑" w:hint="eastAsia"/>
          <w:sz w:val="30"/>
          <w:szCs w:val="30"/>
        </w:rPr>
        <w:t>《上海证券交易所科创板股票上市规则》（以下简称《上市规则》）等规定，制定本细则。</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第二条 科创板股票交易申报要求、异常波动处理、异常交易行为监控及监督管理等事宜，适用本细则。本细则未作规定的，适用《上海证券交易所证券异常交易实时监控细则》及其他有关规定。</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华文细黑" w:hint="eastAsia"/>
          <w:sz w:val="30"/>
          <w:szCs w:val="30"/>
        </w:rPr>
      </w:pPr>
      <w:r w:rsidRPr="00D9189D">
        <w:rPr>
          <w:rFonts w:ascii="仿宋_GB2312" w:eastAsia="仿宋_GB2312" w:hAnsi="华文细黑" w:hint="eastAsia"/>
          <w:sz w:val="30"/>
          <w:szCs w:val="30"/>
        </w:rPr>
        <w:t>第三条 投资者参与科创板股票交易，应当遵守法律法规、本所业务规则的规定和证券交易委托协议的约定，不得实施异常交易行为，影响股票交易正常秩序。</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仿宋" w:hint="eastAsia"/>
          <w:bCs/>
          <w:sz w:val="30"/>
          <w:szCs w:val="30"/>
        </w:rPr>
      </w:pPr>
      <w:r w:rsidRPr="00D9189D">
        <w:rPr>
          <w:rFonts w:ascii="仿宋_GB2312" w:eastAsia="仿宋_GB2312" w:hAnsi="仿宋" w:hint="eastAsia"/>
          <w:bCs/>
          <w:sz w:val="30"/>
          <w:szCs w:val="30"/>
        </w:rPr>
        <w:t>第四条 会员应当加强对客户科创板股票交易行为的管理，事前了解客户、事中监控交易</w:t>
      </w:r>
      <w:r w:rsidRPr="00D9189D">
        <w:rPr>
          <w:rFonts w:ascii="仿宋_GB2312" w:eastAsia="仿宋_GB2312" w:hAnsi="华文细黑" w:hint="eastAsia"/>
          <w:sz w:val="30"/>
          <w:szCs w:val="30"/>
        </w:rPr>
        <w:t>，</w:t>
      </w:r>
      <w:r w:rsidRPr="00D9189D">
        <w:rPr>
          <w:rFonts w:ascii="仿宋_GB2312" w:eastAsia="仿宋_GB2312" w:hAnsi="仿宋" w:hint="eastAsia"/>
          <w:bCs/>
          <w:sz w:val="30"/>
          <w:szCs w:val="30"/>
        </w:rPr>
        <w:t>及时发现、制止和报告客户异常交易行为，维护科创板股票交易秩序。</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华文细黑" w:hint="eastAsia"/>
          <w:sz w:val="30"/>
          <w:szCs w:val="30"/>
        </w:rPr>
      </w:pPr>
      <w:r w:rsidRPr="00D9189D">
        <w:rPr>
          <w:rFonts w:ascii="仿宋_GB2312" w:eastAsia="仿宋_GB2312" w:hAnsi="仿宋" w:hint="eastAsia"/>
          <w:bCs/>
          <w:sz w:val="30"/>
          <w:szCs w:val="30"/>
        </w:rPr>
        <w:t xml:space="preserve">第五条 </w:t>
      </w:r>
      <w:r w:rsidRPr="00D9189D">
        <w:rPr>
          <w:rFonts w:ascii="仿宋_GB2312" w:eastAsia="仿宋_GB2312" w:hAnsi="华文细黑" w:hint="eastAsia"/>
          <w:sz w:val="30"/>
          <w:szCs w:val="30"/>
        </w:rPr>
        <w:t>本所对科创板股票交易实行实时监控和自律管理，</w:t>
      </w:r>
      <w:r w:rsidRPr="00D9189D">
        <w:rPr>
          <w:rFonts w:ascii="仿宋_GB2312" w:eastAsia="仿宋_GB2312" w:hAnsi="华文细黑" w:hint="eastAsia"/>
          <w:sz w:val="30"/>
          <w:szCs w:val="30"/>
        </w:rPr>
        <w:lastRenderedPageBreak/>
        <w:t>对违反本细则的投资者、会员采取相应监管措施或者纪律处分，对涉嫌内幕交易、市场操纵等违法违规行为，依法上报中国证监会查处。</w:t>
      </w:r>
    </w:p>
    <w:p w:rsidR="00D9189D" w:rsidRPr="00D9189D" w:rsidRDefault="00D9189D" w:rsidP="0069415A">
      <w:pPr>
        <w:spacing w:line="560" w:lineRule="exact"/>
        <w:jc w:val="center"/>
        <w:rPr>
          <w:rFonts w:ascii="黑体" w:eastAsia="黑体" w:hAnsi="黑体" w:hint="eastAsia"/>
          <w:b/>
          <w:kern w:val="0"/>
          <w:sz w:val="30"/>
          <w:szCs w:val="30"/>
        </w:rPr>
      </w:pPr>
      <w:r w:rsidRPr="00D9189D">
        <w:rPr>
          <w:rFonts w:ascii="黑体" w:eastAsia="黑体" w:hAnsi="黑体" w:hint="eastAsia"/>
          <w:b/>
          <w:kern w:val="0"/>
          <w:sz w:val="30"/>
          <w:szCs w:val="30"/>
        </w:rPr>
        <w:t>第二章  股票交易申报要求</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bCs/>
          <w:sz w:val="30"/>
          <w:szCs w:val="30"/>
        </w:rPr>
        <w:t>第六条</w:t>
      </w:r>
      <w:r w:rsidRPr="00D9189D">
        <w:rPr>
          <w:rFonts w:ascii="仿宋_GB2312" w:eastAsia="仿宋_GB2312" w:hAnsi="华文细黑" w:hint="eastAsia"/>
          <w:bCs/>
          <w:sz w:val="30"/>
          <w:szCs w:val="30"/>
          <w:lang w:eastAsia="zh-CN"/>
        </w:rPr>
        <w:t xml:space="preserve"> </w:t>
      </w:r>
      <w:r w:rsidRPr="00D9189D">
        <w:rPr>
          <w:rFonts w:ascii="仿宋_GB2312" w:eastAsia="仿宋_GB2312" w:hAnsi="华文细黑" w:hint="eastAsia"/>
          <w:bCs/>
          <w:sz w:val="30"/>
          <w:szCs w:val="30"/>
        </w:rPr>
        <w:t>买卖科创板股票</w:t>
      </w:r>
      <w:r w:rsidRPr="00D9189D">
        <w:rPr>
          <w:rFonts w:ascii="仿宋_GB2312" w:eastAsia="仿宋_GB2312" w:hAnsi="华文细黑" w:hint="eastAsia"/>
          <w:sz w:val="30"/>
          <w:szCs w:val="30"/>
        </w:rPr>
        <w:t>，申报价格应当符合价格涨跌幅限制相关规定及本细则要求，否则为无效申报。</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bCs/>
          <w:sz w:val="30"/>
          <w:szCs w:val="30"/>
        </w:rPr>
        <w:t>第七条</w:t>
      </w:r>
      <w:r w:rsidRPr="00D9189D">
        <w:rPr>
          <w:rFonts w:ascii="仿宋_GB2312" w:eastAsia="仿宋_GB2312" w:hAnsi="华文细黑" w:hint="eastAsia"/>
          <w:bCs/>
          <w:sz w:val="30"/>
          <w:szCs w:val="30"/>
          <w:lang w:eastAsia="zh-CN"/>
        </w:rPr>
        <w:t xml:space="preserve"> </w:t>
      </w:r>
      <w:r w:rsidRPr="00D9189D">
        <w:rPr>
          <w:rFonts w:ascii="仿宋_GB2312" w:eastAsia="仿宋_GB2312" w:hint="eastAsia"/>
          <w:sz w:val="30"/>
          <w:szCs w:val="30"/>
        </w:rPr>
        <w:t>买卖科创板股票，在</w:t>
      </w:r>
      <w:r w:rsidRPr="00D9189D">
        <w:rPr>
          <w:rFonts w:ascii="仿宋_GB2312" w:eastAsia="仿宋_GB2312" w:hAnsi="华文细黑" w:hint="eastAsia"/>
          <w:sz w:val="30"/>
          <w:szCs w:val="30"/>
        </w:rPr>
        <w:t>连续竞价阶段的限价申报，应当符合下列要求：</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（一）买入申报价格不得高于买入基准价格的102%；</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（二）卖出申报价格不得低于卖出基准价格的98%。</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开市期间临时停牌阶段的限价申报，不适用本条前两款规定。</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Ansi="华文细黑" w:hint="eastAsia"/>
          <w:sz w:val="30"/>
          <w:szCs w:val="30"/>
        </w:rPr>
        <w:t>根据市场情况，本所可以调整</w:t>
      </w:r>
      <w:r w:rsidRPr="00D9189D">
        <w:rPr>
          <w:rFonts w:ascii="仿宋_GB2312" w:eastAsia="仿宋_GB2312" w:hAnsi="华文细黑" w:hint="eastAsia"/>
          <w:bCs/>
          <w:sz w:val="30"/>
          <w:szCs w:val="30"/>
        </w:rPr>
        <w:t>科创板</w:t>
      </w:r>
      <w:r w:rsidRPr="00D9189D">
        <w:rPr>
          <w:rFonts w:ascii="仿宋_GB2312" w:eastAsia="仿宋_GB2312" w:hAnsi="华文细黑" w:hint="eastAsia"/>
          <w:sz w:val="30"/>
          <w:szCs w:val="30"/>
        </w:rPr>
        <w:t>股票的有效申报价格范围。</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华文细黑" w:hint="eastAsia"/>
          <w:bCs/>
          <w:sz w:val="30"/>
          <w:szCs w:val="30"/>
        </w:rPr>
      </w:pPr>
      <w:r w:rsidRPr="00D9189D">
        <w:rPr>
          <w:rFonts w:ascii="仿宋_GB2312" w:eastAsia="仿宋_GB2312" w:hAnsi="华文细黑" w:hint="eastAsia"/>
          <w:bCs/>
          <w:sz w:val="30"/>
          <w:szCs w:val="30"/>
        </w:rPr>
        <w:t>第八条 买卖科创板股票，在连续竞价阶段的市价申报，申报内容应当包含投资者能够接受的最高买价（以下简称买入保护限价）或者最低卖价（以下简称卖出保护限价）。</w:t>
      </w:r>
    </w:p>
    <w:p w:rsidR="00D9189D" w:rsidRPr="00D9189D" w:rsidRDefault="00D9189D" w:rsidP="0069415A">
      <w:pPr>
        <w:spacing w:line="560" w:lineRule="exact"/>
        <w:ind w:firstLine="600"/>
        <w:rPr>
          <w:rFonts w:ascii="仿宋_GB2312" w:eastAsia="仿宋_GB2312" w:hAnsi="华文细黑" w:hint="eastAsia"/>
          <w:bCs/>
          <w:sz w:val="30"/>
          <w:szCs w:val="30"/>
        </w:rPr>
      </w:pPr>
      <w:r w:rsidRPr="00D9189D">
        <w:rPr>
          <w:rFonts w:ascii="仿宋_GB2312" w:eastAsia="仿宋_GB2312" w:hAnsi="华文细黑" w:hint="eastAsia"/>
          <w:bCs/>
          <w:sz w:val="30"/>
          <w:szCs w:val="30"/>
        </w:rPr>
        <w:t>本所交易系统处理前款规定的市价申报时，买入申报的成交价格和转为限价申报的申报价格不高于买入保护限价，卖出申报</w:t>
      </w:r>
      <w:r w:rsidRPr="00D9189D">
        <w:rPr>
          <w:rFonts w:ascii="仿宋_GB2312" w:eastAsia="仿宋_GB2312" w:hAnsi="华文细黑" w:hint="eastAsia"/>
          <w:bCs/>
          <w:sz w:val="30"/>
          <w:szCs w:val="30"/>
        </w:rPr>
        <w:lastRenderedPageBreak/>
        <w:t>的成交价格和转为限价申报的申报价格不低于卖出保护限价。</w:t>
      </w:r>
    </w:p>
    <w:p w:rsidR="00D9189D" w:rsidRPr="00D9189D" w:rsidRDefault="00D9189D" w:rsidP="0069415A">
      <w:pPr>
        <w:spacing w:line="560" w:lineRule="exact"/>
        <w:jc w:val="center"/>
        <w:rPr>
          <w:rFonts w:ascii="黑体" w:eastAsia="黑体" w:hAnsi="黑体" w:hint="eastAsia"/>
          <w:b/>
          <w:kern w:val="0"/>
          <w:sz w:val="30"/>
          <w:szCs w:val="30"/>
        </w:rPr>
      </w:pPr>
      <w:r w:rsidRPr="00D9189D">
        <w:rPr>
          <w:rFonts w:ascii="黑体" w:eastAsia="黑体" w:hAnsi="黑体" w:hint="eastAsia"/>
          <w:b/>
          <w:kern w:val="0"/>
          <w:sz w:val="30"/>
          <w:szCs w:val="30"/>
        </w:rPr>
        <w:t>第三章  股票交易异常波动</w:t>
      </w:r>
    </w:p>
    <w:p w:rsidR="00D9189D" w:rsidRPr="00D9189D" w:rsidRDefault="00D9189D" w:rsidP="0069415A">
      <w:pPr>
        <w:spacing w:line="560" w:lineRule="exact"/>
        <w:ind w:firstLine="602"/>
        <w:rPr>
          <w:rFonts w:ascii="仿宋_GB2312" w:eastAsia="仿宋_GB2312" w:hint="eastAsia"/>
          <w:sz w:val="30"/>
          <w:szCs w:val="30"/>
        </w:rPr>
      </w:pPr>
      <w:r w:rsidRPr="00D9189D">
        <w:rPr>
          <w:rFonts w:ascii="仿宋_GB2312" w:eastAsia="仿宋_GB2312" w:hint="eastAsia"/>
          <w:sz w:val="30"/>
          <w:szCs w:val="30"/>
        </w:rPr>
        <w:t xml:space="preserve">第九条 </w:t>
      </w:r>
      <w:r w:rsidRPr="00D9189D">
        <w:rPr>
          <w:rFonts w:ascii="仿宋_GB2312" w:eastAsia="仿宋_GB2312" w:hAnsi="华文细黑" w:hint="eastAsia"/>
          <w:sz w:val="30"/>
          <w:szCs w:val="30"/>
        </w:rPr>
        <w:t>科创板</w:t>
      </w:r>
      <w:r w:rsidRPr="00D9189D">
        <w:rPr>
          <w:rFonts w:ascii="仿宋_GB2312" w:eastAsia="仿宋_GB2312" w:hint="eastAsia"/>
          <w:sz w:val="30"/>
          <w:szCs w:val="30"/>
        </w:rPr>
        <w:t>股票竞价交易出现下列情形之一的，属于盘中异常波动，本所实施盘中临时停牌：</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（一）无价格涨跌幅限制的股票盘中交易价格较当日开盘价格首次上涨或下跌达到或超过30%的；</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（二）无价格涨跌幅限制的股票盘中交易价格较当日开盘价格首次上涨或下跌达到或超过60%的；</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（三）中国证监会或者本所认定属于盘中异常波动的其他情形。</w:t>
      </w:r>
    </w:p>
    <w:p w:rsidR="00D9189D" w:rsidRPr="00D9189D" w:rsidRDefault="00D9189D" w:rsidP="0069415A">
      <w:pPr>
        <w:spacing w:line="560" w:lineRule="exact"/>
        <w:ind w:firstLine="602"/>
        <w:rPr>
          <w:rFonts w:ascii="仿宋_GB2312" w:eastAsia="仿宋_GB2312" w:hint="eastAsia"/>
          <w:sz w:val="30"/>
          <w:szCs w:val="30"/>
        </w:rPr>
      </w:pPr>
      <w:r w:rsidRPr="00D9189D">
        <w:rPr>
          <w:rFonts w:ascii="仿宋_GB2312" w:eastAsia="仿宋_GB2312" w:hint="eastAsia"/>
          <w:sz w:val="30"/>
          <w:szCs w:val="30"/>
        </w:rPr>
        <w:t>第十条 根据前条规定实施盘中临时停牌的，按照下列规定执行：</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（一）单次盘中临时停牌的持续时间为10分钟；</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（二）停牌时间跨越14:57的，于当日14:57复牌；</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（三）盘中临时停牌期间，可以继续申报，也可以撤销申报，复牌时对已接受的申报实行集合竞价撮合。</w:t>
      </w:r>
    </w:p>
    <w:p w:rsidR="00D9189D" w:rsidRPr="00D9189D" w:rsidRDefault="00D9189D" w:rsidP="0069415A">
      <w:pPr>
        <w:spacing w:line="560" w:lineRule="exact"/>
        <w:ind w:firstLine="602"/>
        <w:rPr>
          <w:rFonts w:ascii="仿宋_GB2312" w:eastAsia="仿宋_GB2312" w:hint="eastAsia"/>
          <w:sz w:val="30"/>
          <w:szCs w:val="30"/>
        </w:rPr>
      </w:pPr>
      <w:r w:rsidRPr="00D9189D">
        <w:rPr>
          <w:rFonts w:ascii="仿宋_GB2312" w:eastAsia="仿宋_GB2312" w:hint="eastAsia"/>
          <w:sz w:val="30"/>
          <w:szCs w:val="30"/>
        </w:rPr>
        <w:t>第十一条 实施盘中临时停牌后，本所将通过官方网站（www.sse.com.cn）和卫星传输系统对外发布公告。</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int="eastAsia"/>
          <w:sz w:val="30"/>
          <w:szCs w:val="30"/>
        </w:rPr>
        <w:t>具体停复牌时间，以本所公告为准。</w:t>
      </w:r>
    </w:p>
    <w:p w:rsidR="00D9189D" w:rsidRPr="00D9189D" w:rsidRDefault="00D9189D" w:rsidP="0069415A">
      <w:pPr>
        <w:spacing w:line="560" w:lineRule="exact"/>
        <w:ind w:firstLine="602"/>
        <w:rPr>
          <w:rFonts w:ascii="仿宋_GB2312" w:eastAsia="仿宋_GB2312" w:hAnsi="仿宋" w:hint="eastAsia"/>
          <w:sz w:val="30"/>
          <w:szCs w:val="30"/>
        </w:rPr>
      </w:pPr>
      <w:r w:rsidRPr="00D9189D">
        <w:rPr>
          <w:rFonts w:ascii="仿宋_GB2312" w:eastAsia="仿宋_GB2312" w:hAnsi="黑体" w:hint="eastAsia"/>
          <w:sz w:val="30"/>
          <w:szCs w:val="30"/>
        </w:rPr>
        <w:t>第十二条 科创板</w:t>
      </w:r>
      <w:r w:rsidRPr="00D9189D">
        <w:rPr>
          <w:rFonts w:ascii="仿宋_GB2312" w:eastAsia="仿宋_GB2312" w:hAnsi="仿宋" w:hint="eastAsia"/>
          <w:sz w:val="30"/>
          <w:szCs w:val="30"/>
        </w:rPr>
        <w:t>股票竞价交易出现下列情形之一的，属于异常波动，本所公告该股票交易异常波动期间累计买入、卖出金额最大5家会员营业部的名称及其买入、卖出金额：</w:t>
      </w:r>
    </w:p>
    <w:p w:rsidR="00D9189D" w:rsidRPr="00D9189D" w:rsidRDefault="00D9189D" w:rsidP="0069415A">
      <w:pPr>
        <w:spacing w:line="560" w:lineRule="exact"/>
        <w:ind w:firstLine="600"/>
        <w:rPr>
          <w:rFonts w:ascii="仿宋_GB2312" w:eastAsia="仿宋_GB2312" w:hAnsi="仿宋" w:hint="eastAsia"/>
          <w:sz w:val="30"/>
          <w:szCs w:val="30"/>
        </w:rPr>
      </w:pPr>
      <w:r w:rsidRPr="00D9189D">
        <w:rPr>
          <w:rFonts w:ascii="仿宋_GB2312" w:eastAsia="仿宋_GB2312" w:hAnsi="仿宋" w:hint="eastAsia"/>
          <w:sz w:val="30"/>
          <w:szCs w:val="30"/>
        </w:rPr>
        <w:t>（一）连续3个交易日内日收盘价格涨跌幅偏离值累计达到±30%；</w:t>
      </w:r>
    </w:p>
    <w:p w:rsidR="00D9189D" w:rsidRPr="00D9189D" w:rsidRDefault="00D9189D" w:rsidP="0069415A">
      <w:pPr>
        <w:spacing w:line="560" w:lineRule="exact"/>
        <w:ind w:firstLine="600"/>
        <w:rPr>
          <w:rFonts w:ascii="仿宋_GB2312" w:eastAsia="仿宋_GB2312" w:hAnsi="仿宋" w:hint="eastAsia"/>
          <w:sz w:val="30"/>
          <w:szCs w:val="30"/>
        </w:rPr>
      </w:pPr>
      <w:r w:rsidRPr="00D9189D">
        <w:rPr>
          <w:rFonts w:ascii="仿宋_GB2312" w:eastAsia="仿宋_GB2312" w:hAnsi="仿宋" w:hint="eastAsia"/>
          <w:sz w:val="30"/>
          <w:szCs w:val="30"/>
        </w:rPr>
        <w:lastRenderedPageBreak/>
        <w:t>（二）中国证监会或者本所认定属于异常波动的其他情形。</w:t>
      </w:r>
    </w:p>
    <w:p w:rsidR="00D9189D" w:rsidRPr="00D9189D" w:rsidRDefault="00D9189D" w:rsidP="0069415A">
      <w:pPr>
        <w:spacing w:line="560" w:lineRule="exact"/>
        <w:ind w:firstLine="600"/>
        <w:rPr>
          <w:rFonts w:ascii="仿宋_GB2312" w:eastAsia="仿宋_GB2312" w:hAnsi="仿宋" w:hint="eastAsia"/>
          <w:bCs/>
          <w:color w:val="000000"/>
          <w:sz w:val="30"/>
          <w:szCs w:val="30"/>
        </w:rPr>
      </w:pPr>
      <w:r w:rsidRPr="00D9189D">
        <w:rPr>
          <w:rFonts w:ascii="仿宋_GB2312" w:eastAsia="仿宋_GB2312" w:hAnsi="仿宋" w:hint="eastAsia"/>
          <w:bCs/>
          <w:color w:val="000000"/>
          <w:sz w:val="30"/>
          <w:szCs w:val="30"/>
        </w:rPr>
        <w:t>异常波动指标自本所公告之日起重新计算。</w:t>
      </w:r>
    </w:p>
    <w:p w:rsidR="00D9189D" w:rsidRPr="00D9189D" w:rsidRDefault="00D9189D" w:rsidP="0069415A">
      <w:pPr>
        <w:spacing w:line="560" w:lineRule="exact"/>
        <w:ind w:firstLine="602"/>
        <w:rPr>
          <w:rFonts w:ascii="仿宋_GB2312" w:eastAsia="仿宋_GB2312" w:hint="eastAsia"/>
          <w:sz w:val="30"/>
          <w:szCs w:val="30"/>
        </w:rPr>
      </w:pPr>
      <w:r w:rsidRPr="00D9189D">
        <w:rPr>
          <w:rFonts w:ascii="仿宋_GB2312" w:eastAsia="仿宋_GB2312" w:hAnsi="华文细黑" w:hint="eastAsia"/>
          <w:sz w:val="30"/>
          <w:szCs w:val="30"/>
        </w:rPr>
        <w:t xml:space="preserve">第十三条 </w:t>
      </w:r>
      <w:r w:rsidRPr="00D9189D">
        <w:rPr>
          <w:rFonts w:ascii="仿宋_GB2312" w:eastAsia="仿宋_GB2312" w:hint="eastAsia"/>
          <w:sz w:val="30"/>
          <w:szCs w:val="30"/>
        </w:rPr>
        <w:t>科创板</w:t>
      </w:r>
      <w:r w:rsidRPr="00D9189D">
        <w:rPr>
          <w:rFonts w:ascii="仿宋_GB2312" w:eastAsia="仿宋_GB2312" w:hAnsi="华文细黑" w:hint="eastAsia"/>
          <w:sz w:val="30"/>
          <w:szCs w:val="30"/>
        </w:rPr>
        <w:t>股票竞价交易出现下列情形之一的，属于严重异常波动，本所公告</w:t>
      </w:r>
      <w:r w:rsidRPr="00D9189D">
        <w:rPr>
          <w:rFonts w:ascii="仿宋_GB2312" w:eastAsia="仿宋_GB2312" w:hint="eastAsia"/>
          <w:sz w:val="30"/>
          <w:szCs w:val="30"/>
        </w:rPr>
        <w:t>严重异常波动期间的投资者分类交易统计等信息：</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Ansi="仿宋" w:hint="eastAsia"/>
          <w:bCs/>
          <w:sz w:val="30"/>
          <w:szCs w:val="30"/>
        </w:rPr>
        <w:t>（一）连续10</w:t>
      </w:r>
      <w:r w:rsidRPr="00D9189D">
        <w:rPr>
          <w:rFonts w:ascii="仿宋_GB2312" w:eastAsia="仿宋_GB2312" w:hAnsi="华文细黑" w:hint="eastAsia"/>
          <w:sz w:val="30"/>
          <w:szCs w:val="30"/>
        </w:rPr>
        <w:t>个交易日内3次出现第十二条规定的同向异常波动情形；</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Ansi="仿宋" w:hint="eastAsia"/>
          <w:bCs/>
          <w:sz w:val="30"/>
          <w:szCs w:val="30"/>
        </w:rPr>
        <w:t>（二）连续</w:t>
      </w:r>
      <w:r w:rsidRPr="00D9189D">
        <w:rPr>
          <w:rFonts w:ascii="仿宋_GB2312" w:eastAsia="仿宋_GB2312" w:hAnsi="华文细黑" w:hint="eastAsia"/>
          <w:sz w:val="30"/>
          <w:szCs w:val="30"/>
        </w:rPr>
        <w:t>10个交易日内</w:t>
      </w:r>
      <w:r w:rsidRPr="00D9189D">
        <w:rPr>
          <w:rFonts w:ascii="仿宋_GB2312" w:eastAsia="仿宋_GB2312" w:hAnsi="仿宋" w:hint="eastAsia"/>
          <w:sz w:val="30"/>
          <w:szCs w:val="30"/>
        </w:rPr>
        <w:t>日收盘价格涨跌幅偏离值累计达到</w:t>
      </w:r>
      <w:r w:rsidRPr="00D9189D">
        <w:rPr>
          <w:rFonts w:ascii="仿宋_GB2312" w:eastAsia="仿宋_GB2312" w:hAnsi="仿宋" w:hint="eastAsia"/>
          <w:bCs/>
          <w:sz w:val="30"/>
          <w:szCs w:val="30"/>
        </w:rPr>
        <w:t xml:space="preserve">+100%（-50%）； </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Ansi="仿宋" w:hint="eastAsia"/>
          <w:bCs/>
          <w:sz w:val="30"/>
          <w:szCs w:val="30"/>
        </w:rPr>
        <w:t>（三）连续</w:t>
      </w:r>
      <w:r w:rsidRPr="00D9189D">
        <w:rPr>
          <w:rFonts w:ascii="仿宋_GB2312" w:eastAsia="仿宋_GB2312" w:hAnsi="华文细黑" w:hint="eastAsia"/>
          <w:sz w:val="30"/>
          <w:szCs w:val="30"/>
        </w:rPr>
        <w:t>30个交易日内</w:t>
      </w:r>
      <w:r w:rsidRPr="00D9189D">
        <w:rPr>
          <w:rFonts w:ascii="仿宋_GB2312" w:eastAsia="仿宋_GB2312" w:hAnsi="仿宋" w:hint="eastAsia"/>
          <w:sz w:val="30"/>
          <w:szCs w:val="30"/>
        </w:rPr>
        <w:t>日收盘价格涨跌幅偏离值累计达到</w:t>
      </w:r>
      <w:r w:rsidRPr="00D9189D">
        <w:rPr>
          <w:rFonts w:ascii="仿宋_GB2312" w:eastAsia="仿宋_GB2312" w:hAnsi="仿宋" w:hint="eastAsia"/>
          <w:bCs/>
          <w:sz w:val="30"/>
          <w:szCs w:val="30"/>
        </w:rPr>
        <w:t>+200%（-70%）；</w:t>
      </w:r>
    </w:p>
    <w:p w:rsidR="00D9189D" w:rsidRPr="00D9189D" w:rsidRDefault="00D9189D" w:rsidP="0069415A">
      <w:pPr>
        <w:spacing w:line="560" w:lineRule="exact"/>
        <w:ind w:firstLine="600"/>
        <w:rPr>
          <w:rFonts w:ascii="仿宋_GB2312" w:eastAsia="仿宋_GB2312" w:hint="eastAsia"/>
          <w:sz w:val="30"/>
          <w:szCs w:val="30"/>
        </w:rPr>
      </w:pPr>
      <w:r w:rsidRPr="00D9189D">
        <w:rPr>
          <w:rFonts w:ascii="仿宋_GB2312" w:eastAsia="仿宋_GB2312" w:hAnsi="仿宋" w:hint="eastAsia"/>
          <w:bCs/>
          <w:sz w:val="30"/>
          <w:szCs w:val="30"/>
        </w:rPr>
        <w:t>（四）中国证监会或者本所认定属于严重异常波动的其他情形。</w:t>
      </w:r>
    </w:p>
    <w:p w:rsidR="00D9189D" w:rsidRPr="00D9189D" w:rsidRDefault="00D9189D" w:rsidP="0069415A">
      <w:pPr>
        <w:spacing w:line="560" w:lineRule="exact"/>
        <w:ind w:firstLine="600"/>
        <w:rPr>
          <w:rFonts w:ascii="仿宋_GB2312" w:eastAsia="仿宋_GB2312" w:hAnsi="仿宋" w:hint="eastAsia"/>
          <w:bCs/>
          <w:sz w:val="30"/>
          <w:szCs w:val="30"/>
        </w:rPr>
      </w:pPr>
      <w:r w:rsidRPr="00D9189D">
        <w:rPr>
          <w:rFonts w:ascii="仿宋_GB2312" w:eastAsia="仿宋_GB2312" w:hAnsi="仿宋" w:hint="eastAsia"/>
          <w:bCs/>
          <w:sz w:val="30"/>
          <w:szCs w:val="30"/>
        </w:rPr>
        <w:t>科创板股票交易出现严重异常波动的多种情形的，本所一并予以公告。</w:t>
      </w:r>
    </w:p>
    <w:p w:rsidR="00D9189D" w:rsidRPr="00D9189D" w:rsidRDefault="00D9189D" w:rsidP="0069415A">
      <w:pPr>
        <w:spacing w:line="560" w:lineRule="exact"/>
        <w:ind w:firstLine="600"/>
        <w:rPr>
          <w:rFonts w:ascii="仿宋_GB2312" w:eastAsia="仿宋_GB2312" w:hAnsi="仿宋" w:hint="eastAsia"/>
          <w:bCs/>
          <w:color w:val="000000"/>
          <w:sz w:val="30"/>
          <w:szCs w:val="30"/>
        </w:rPr>
      </w:pPr>
      <w:r w:rsidRPr="00D9189D">
        <w:rPr>
          <w:rFonts w:ascii="仿宋_GB2312" w:eastAsia="仿宋_GB2312" w:hAnsi="仿宋" w:hint="eastAsia"/>
          <w:bCs/>
          <w:color w:val="000000"/>
          <w:sz w:val="30"/>
          <w:szCs w:val="30"/>
        </w:rPr>
        <w:t>严重异常波动指标自本所公告之日起重新计算。</w:t>
      </w:r>
    </w:p>
    <w:p w:rsidR="00D9189D" w:rsidRPr="00D9189D" w:rsidRDefault="00D9189D" w:rsidP="0069415A">
      <w:pPr>
        <w:spacing w:line="560" w:lineRule="exact"/>
        <w:ind w:firstLine="602"/>
        <w:rPr>
          <w:rFonts w:ascii="仿宋_GB2312" w:eastAsia="仿宋_GB2312" w:hint="eastAsia"/>
          <w:sz w:val="30"/>
          <w:szCs w:val="30"/>
        </w:rPr>
      </w:pPr>
      <w:r w:rsidRPr="00D9189D">
        <w:rPr>
          <w:rFonts w:ascii="仿宋_GB2312" w:eastAsia="仿宋_GB2312" w:hAnsi="华文细黑" w:hint="eastAsia"/>
          <w:sz w:val="30"/>
          <w:szCs w:val="30"/>
        </w:rPr>
        <w:t xml:space="preserve">第十四条 </w:t>
      </w:r>
      <w:r w:rsidRPr="00D9189D">
        <w:rPr>
          <w:rFonts w:ascii="仿宋_GB2312" w:eastAsia="仿宋_GB2312" w:hint="eastAsia"/>
          <w:sz w:val="30"/>
          <w:szCs w:val="30"/>
        </w:rPr>
        <w:t>科创板</w:t>
      </w:r>
      <w:r w:rsidRPr="00D9189D">
        <w:rPr>
          <w:rFonts w:ascii="仿宋_GB2312" w:eastAsia="仿宋_GB2312" w:hAnsi="华文细黑" w:hint="eastAsia"/>
          <w:sz w:val="30"/>
          <w:szCs w:val="30"/>
        </w:rPr>
        <w:t>股票交易出现严重异常波动情形的，上市公司应当按照《上市规则》规定及时予以核查并采取相应措施。</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经上市公司核查后无应披露未披露重大事项，也无法对异常波动原因作出合理解释的，除按照《上市规则》规定处理外，本所可根据市场</w:t>
      </w:r>
      <w:r w:rsidRPr="00D9189D">
        <w:rPr>
          <w:rFonts w:ascii="仿宋_GB2312" w:eastAsia="仿宋_GB2312" w:hAnsi="华文细黑" w:hint="eastAsia"/>
          <w:bCs/>
          <w:sz w:val="30"/>
          <w:szCs w:val="30"/>
        </w:rPr>
        <w:t>情况</w:t>
      </w:r>
      <w:r w:rsidRPr="00D9189D">
        <w:rPr>
          <w:rFonts w:ascii="仿宋_GB2312" w:eastAsia="仿宋_GB2312" w:hAnsi="华文细黑" w:hint="eastAsia"/>
          <w:sz w:val="30"/>
          <w:szCs w:val="30"/>
        </w:rPr>
        <w:t>，加强异常交易监控，并要求会员采取有效措施向客户提示风险。</w:t>
      </w:r>
    </w:p>
    <w:p w:rsidR="00D9189D" w:rsidRPr="00D9189D" w:rsidRDefault="00D9189D" w:rsidP="0069415A">
      <w:pPr>
        <w:spacing w:line="560" w:lineRule="exact"/>
        <w:ind w:firstLine="602"/>
        <w:rPr>
          <w:rFonts w:ascii="仿宋_GB2312" w:eastAsia="仿宋_GB2312" w:hAnsi="仿宋" w:hint="eastAsia"/>
          <w:sz w:val="30"/>
          <w:szCs w:val="30"/>
        </w:rPr>
      </w:pPr>
      <w:r w:rsidRPr="00D9189D">
        <w:rPr>
          <w:rFonts w:ascii="仿宋_GB2312" w:eastAsia="仿宋_GB2312" w:hint="eastAsia"/>
          <w:sz w:val="30"/>
          <w:szCs w:val="30"/>
        </w:rPr>
        <w:t xml:space="preserve">第十五条 </w:t>
      </w:r>
      <w:r w:rsidRPr="00D9189D">
        <w:rPr>
          <w:rFonts w:ascii="仿宋_GB2312" w:eastAsia="仿宋_GB2312" w:hAnsi="仿宋" w:hint="eastAsia"/>
          <w:sz w:val="30"/>
          <w:szCs w:val="30"/>
        </w:rPr>
        <w:t>收盘价格涨跌幅偏离值为单只股票涨跌幅与对应基准指数涨跌幅之差。</w:t>
      </w:r>
    </w:p>
    <w:p w:rsidR="00D9189D" w:rsidRPr="00D9189D" w:rsidRDefault="00D9189D" w:rsidP="0069415A">
      <w:pPr>
        <w:spacing w:line="560" w:lineRule="exact"/>
        <w:ind w:firstLine="600"/>
        <w:rPr>
          <w:rFonts w:ascii="仿宋_GB2312" w:eastAsia="仿宋_GB2312" w:hAnsi="仿宋" w:hint="eastAsia"/>
          <w:sz w:val="30"/>
          <w:szCs w:val="30"/>
        </w:rPr>
      </w:pPr>
      <w:r w:rsidRPr="00D9189D">
        <w:rPr>
          <w:rFonts w:ascii="仿宋_GB2312" w:eastAsia="仿宋_GB2312" w:hAnsi="仿宋" w:hint="eastAsia"/>
          <w:sz w:val="30"/>
          <w:szCs w:val="30"/>
        </w:rPr>
        <w:lastRenderedPageBreak/>
        <w:t>基准指数由本所向市场公告。</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无价格涨跌幅限制的股票不纳入异常波动及严重异常波动指标的计算。</w:t>
      </w:r>
    </w:p>
    <w:p w:rsidR="00D9189D" w:rsidRPr="00D9189D" w:rsidRDefault="00D9189D" w:rsidP="0069415A">
      <w:pPr>
        <w:spacing w:line="560" w:lineRule="exact"/>
        <w:ind w:firstLine="602"/>
        <w:rPr>
          <w:rFonts w:ascii="仿宋_GB2312" w:eastAsia="仿宋_GB2312" w:hAnsi="华文细黑" w:hint="eastAsia"/>
          <w:sz w:val="30"/>
          <w:szCs w:val="30"/>
        </w:rPr>
      </w:pPr>
      <w:r w:rsidRPr="00D9189D">
        <w:rPr>
          <w:rFonts w:ascii="仿宋_GB2312" w:eastAsia="仿宋_GB2312" w:hAnsi="华文细黑" w:hint="eastAsia"/>
          <w:sz w:val="30"/>
          <w:szCs w:val="30"/>
        </w:rPr>
        <w:t>第十六条 本所可以根据市场情况，调整异常波动和严重异常波动的认定标准。</w:t>
      </w:r>
    </w:p>
    <w:p w:rsidR="00D9189D" w:rsidRPr="00D9189D" w:rsidRDefault="00D9189D" w:rsidP="0069415A">
      <w:pPr>
        <w:spacing w:line="560" w:lineRule="exact"/>
        <w:jc w:val="center"/>
        <w:rPr>
          <w:rFonts w:ascii="黑体" w:eastAsia="黑体" w:hAnsi="黑体" w:hint="eastAsia"/>
          <w:b/>
          <w:kern w:val="0"/>
          <w:sz w:val="30"/>
          <w:szCs w:val="30"/>
        </w:rPr>
      </w:pPr>
      <w:r w:rsidRPr="00D9189D">
        <w:rPr>
          <w:rFonts w:ascii="黑体" w:eastAsia="黑体" w:hAnsi="黑体" w:hint="eastAsia"/>
          <w:b/>
          <w:kern w:val="0"/>
          <w:sz w:val="30"/>
          <w:szCs w:val="30"/>
        </w:rPr>
        <w:t>第四章 投资者异常交易行为</w:t>
      </w:r>
    </w:p>
    <w:p w:rsidR="00D9189D" w:rsidRPr="00D9189D" w:rsidRDefault="00D9189D" w:rsidP="0069415A">
      <w:pPr>
        <w:pStyle w:val="affb"/>
        <w:numPr>
          <w:ilvl w:val="0"/>
          <w:numId w:val="8"/>
        </w:numPr>
        <w:spacing w:line="560" w:lineRule="exact"/>
        <w:ind w:left="0" w:firstLineChars="0" w:firstLine="0"/>
        <w:jc w:val="center"/>
        <w:rPr>
          <w:rFonts w:ascii="仿宋_GB2312" w:eastAsia="仿宋_GB2312" w:hAnsi="仿宋" w:hint="eastAsia"/>
          <w:b/>
          <w:bCs/>
          <w:sz w:val="30"/>
          <w:szCs w:val="30"/>
        </w:rPr>
      </w:pPr>
      <w:r w:rsidRPr="00D9189D">
        <w:rPr>
          <w:rFonts w:ascii="仿宋_GB2312" w:eastAsia="仿宋_GB2312" w:hAnsi="仿宋" w:hint="eastAsia"/>
          <w:b/>
          <w:bCs/>
          <w:sz w:val="30"/>
          <w:szCs w:val="30"/>
        </w:rPr>
        <w:t>一般规定</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第十七条 本细则所称异常交易行为，包括下列类型：</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（一）虚假申报，以引诱或者误导其他投资者的交易决策的；</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（二）拉抬打压，导致股票交易价格明显上涨（下跌）的；</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（三）维持股票交易价格或者交易量；</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（四）自买自卖或者互为对手方交易，影响股票交易价格或者交易量的；</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（五）严重异常波动股票申报速率异常；</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（六）违反法律法规或者本所业务规则的其他异常交易行为。</w:t>
      </w:r>
      <w:bookmarkStart w:id="0" w:name="OLE_LINK5"/>
      <w:bookmarkStart w:id="1" w:name="OLE_LINK6"/>
    </w:p>
    <w:p w:rsidR="00D9189D" w:rsidRPr="00D9189D" w:rsidRDefault="00D9189D" w:rsidP="0069415A">
      <w:pPr>
        <w:spacing w:line="560" w:lineRule="exact"/>
        <w:ind w:firstLine="602"/>
        <w:rPr>
          <w:rFonts w:ascii="仿宋_GB2312" w:eastAsia="仿宋_GB2312" w:hAnsi="华文细黑" w:hint="eastAsia"/>
          <w:sz w:val="30"/>
          <w:szCs w:val="30"/>
        </w:rPr>
      </w:pPr>
      <w:r w:rsidRPr="00D9189D">
        <w:rPr>
          <w:rFonts w:ascii="仿宋_GB2312" w:eastAsia="仿宋_GB2312" w:hAnsi="华文细黑" w:hint="eastAsia"/>
          <w:sz w:val="30"/>
          <w:szCs w:val="30"/>
        </w:rPr>
        <w:t>第十八条 本所根据本细则规定的异常交易行为类型，结合申报数量和频率、股票交易规模、市场占比、价格波动情况、股票基本面、上市公司重大信息和市场整体走势等因素进行定性与定量分析，对投资者异常交易行为进行认定。</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投资者的科创板股票交易行为虽未达到相关监控指标，但接近指标且反复多次实施的，本所可将其认定为相应类型的异常交易行为。</w:t>
      </w:r>
    </w:p>
    <w:p w:rsidR="00D9189D" w:rsidRPr="00D9189D" w:rsidRDefault="00D9189D" w:rsidP="0069415A">
      <w:pPr>
        <w:pStyle w:val="affb"/>
        <w:spacing w:line="560" w:lineRule="exact"/>
        <w:ind w:firstLine="600"/>
        <w:rPr>
          <w:rFonts w:ascii="仿宋_GB2312" w:eastAsia="仿宋_GB2312" w:hAnsi="仿宋" w:hint="eastAsia"/>
          <w:bCs/>
          <w:sz w:val="30"/>
          <w:szCs w:val="30"/>
        </w:rPr>
      </w:pPr>
      <w:r w:rsidRPr="00D9189D">
        <w:rPr>
          <w:rFonts w:ascii="仿宋_GB2312" w:eastAsia="仿宋_GB2312" w:hAnsi="华文细黑" w:hint="eastAsia"/>
          <w:sz w:val="30"/>
          <w:szCs w:val="30"/>
        </w:rPr>
        <w:lastRenderedPageBreak/>
        <w:t>本所可以根据市场情况，调整科创板股票异常交易行为监控标准。</w:t>
      </w:r>
    </w:p>
    <w:p w:rsidR="00D9189D" w:rsidRPr="00D9189D" w:rsidRDefault="00D9189D" w:rsidP="0069415A">
      <w:pPr>
        <w:spacing w:line="560" w:lineRule="exact"/>
        <w:ind w:firstLine="602"/>
        <w:rPr>
          <w:rFonts w:ascii="仿宋_GB2312" w:eastAsia="仿宋_GB2312" w:hAnsi="宋体" w:hint="eastAsia"/>
          <w:sz w:val="30"/>
          <w:szCs w:val="30"/>
        </w:rPr>
      </w:pPr>
      <w:r w:rsidRPr="00D9189D">
        <w:rPr>
          <w:rFonts w:ascii="仿宋_GB2312" w:eastAsia="仿宋_GB2312" w:hAnsi="宋体" w:cs="宋体" w:hint="eastAsia"/>
          <w:color w:val="000000"/>
          <w:kern w:val="0"/>
          <w:sz w:val="30"/>
          <w:szCs w:val="30"/>
        </w:rPr>
        <w:t xml:space="preserve">第十九条 </w:t>
      </w:r>
      <w:r w:rsidRPr="00D9189D">
        <w:rPr>
          <w:rFonts w:ascii="仿宋_GB2312" w:eastAsia="仿宋_GB2312" w:hAnsi="华文细黑" w:hint="eastAsia"/>
          <w:sz w:val="30"/>
          <w:szCs w:val="30"/>
        </w:rPr>
        <w:t>投资者以本人名义开立或者由同一投资者实际控制的单个或者多个普通证券账户、信用证券账户以及其他涉嫌关联的证券账户（组）的申报金额、数量、成交量及占比等合并计算。</w:t>
      </w:r>
    </w:p>
    <w:p w:rsidR="00D9189D" w:rsidRPr="00D9189D" w:rsidRDefault="00D9189D" w:rsidP="0069415A">
      <w:pPr>
        <w:pStyle w:val="affb"/>
        <w:spacing w:line="560" w:lineRule="exact"/>
        <w:ind w:firstLine="600"/>
        <w:rPr>
          <w:rFonts w:ascii="仿宋_GB2312" w:eastAsia="仿宋_GB2312" w:hAnsi="宋体" w:cs="宋体" w:hint="eastAsia"/>
          <w:color w:val="000000"/>
          <w:kern w:val="0"/>
          <w:sz w:val="30"/>
          <w:szCs w:val="30"/>
        </w:rPr>
      </w:pPr>
      <w:r w:rsidRPr="00D9189D">
        <w:rPr>
          <w:rFonts w:ascii="仿宋_GB2312" w:eastAsia="仿宋_GB2312" w:hAnsi="华文细黑" w:hint="eastAsia"/>
          <w:sz w:val="30"/>
          <w:szCs w:val="30"/>
        </w:rPr>
        <w:t>第二十条 投资者同时存在买、卖两个方向的申报或者成交时，按照单个方向分别计算相关申报数量、申报金额、成交数量、成交金额、全市场申报总量等指标。</w:t>
      </w:r>
    </w:p>
    <w:bookmarkEnd w:id="0"/>
    <w:bookmarkEnd w:id="1"/>
    <w:p w:rsidR="00D9189D" w:rsidRPr="00D9189D" w:rsidRDefault="00D9189D" w:rsidP="0069415A">
      <w:pPr>
        <w:pStyle w:val="affb"/>
        <w:numPr>
          <w:ilvl w:val="0"/>
          <w:numId w:val="8"/>
        </w:numPr>
        <w:spacing w:line="560" w:lineRule="exact"/>
        <w:ind w:left="0" w:firstLineChars="0" w:firstLine="0"/>
        <w:jc w:val="center"/>
        <w:rPr>
          <w:rFonts w:ascii="仿宋_GB2312" w:eastAsia="仿宋_GB2312" w:hAnsi="仿宋" w:hint="eastAsia"/>
          <w:b/>
          <w:bCs/>
          <w:sz w:val="30"/>
          <w:szCs w:val="30"/>
        </w:rPr>
      </w:pPr>
      <w:r w:rsidRPr="00D9189D">
        <w:rPr>
          <w:rFonts w:ascii="仿宋_GB2312" w:eastAsia="仿宋_GB2312" w:hAnsi="仿宋" w:hint="eastAsia"/>
          <w:b/>
          <w:bCs/>
          <w:sz w:val="30"/>
          <w:szCs w:val="30"/>
        </w:rPr>
        <w:t>虚假申报</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第二十一条 虚假申报，是指不以成交为目的，通过大量申报并撤销等行为，引诱、误导或者影响其他投资者正常交易决策的异常交易行为。</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第二十二条 开盘集合竞价阶段同时存在下列情形的，本所对有关交易行为予以重点监控：</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（一）以偏离前收盘价5%以上的价格申报买入或者卖出；</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（二）累计申报数量或者金额较大；</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（三）累计申报数量占市场同方向申报总量的比例较高；</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（四）累计撤销申报数量占累计申报数量的50%以上；</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（五）以低于申报买入价格反向申报卖出或者以高于申报卖出价格反向申报买入；</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（六）股票开盘集合竞价虚拟参考价涨（跌）幅5%以上。</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第二十三条 连续竞价阶段多次同时存在下列情形且累计撤销申报数量占累计申报数量的50%以上的，本所对有关交易行为</w:t>
      </w:r>
      <w:r w:rsidRPr="00D9189D">
        <w:rPr>
          <w:rFonts w:ascii="仿宋_GB2312" w:eastAsia="仿宋_GB2312" w:hAnsi="华文细黑" w:hint="eastAsia"/>
          <w:sz w:val="30"/>
          <w:szCs w:val="30"/>
        </w:rPr>
        <w:lastRenderedPageBreak/>
        <w:t>予以重点监控：</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（一）最优5档内申报买入或者卖出；</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（二）单笔申报后，在实时最优5档内累计剩余有效申报数量或者金额巨大，且占市场同方向最优5档剩余有效申报总量的比例较高；</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（三）申报后撤销申报。</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第二十四条 连续竞价阶段，股票交易价格处于涨（跌）幅限制状态，同时存在下列情形2次以上的，本所对有关交易行为予以重点监控：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（一）单笔以涨（跌）幅限制价格申报后，在该价格剩余有效申报数量或者金额巨大，且占市场该价格剩余有效申报总量的比例较高；</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（二）单笔撤销以涨（跌）幅限制价格的申报后，在涨（跌）幅限制价格的累计撤销申报数量占以该价格累计申报数量的50%以上。</w:t>
      </w:r>
    </w:p>
    <w:p w:rsidR="00D9189D" w:rsidRPr="00D9189D" w:rsidRDefault="00D9189D" w:rsidP="0069415A">
      <w:pPr>
        <w:pStyle w:val="110"/>
        <w:spacing w:line="560" w:lineRule="exact"/>
        <w:ind w:firstLineChars="0" w:firstLine="0"/>
        <w:jc w:val="center"/>
        <w:rPr>
          <w:rFonts w:ascii="仿宋_GB2312" w:eastAsia="仿宋_GB2312" w:hAnsi="仿宋" w:hint="eastAsia"/>
          <w:b/>
          <w:bCs/>
          <w:sz w:val="30"/>
          <w:szCs w:val="30"/>
        </w:rPr>
      </w:pPr>
      <w:r w:rsidRPr="00D9189D">
        <w:rPr>
          <w:rFonts w:ascii="仿宋_GB2312" w:eastAsia="仿宋_GB2312" w:hAnsi="仿宋" w:hint="eastAsia"/>
          <w:b/>
          <w:bCs/>
          <w:sz w:val="30"/>
          <w:szCs w:val="30"/>
        </w:rPr>
        <w:t>第三节  拉抬打压股价</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第二十五条 拉抬打压股价，是指大笔申报、连续申报、密集申报或者明显偏离股票最新成交价的价格申报成交，期间股票交易价格明显上涨（下跌）的异常交易行为。</w:t>
      </w:r>
    </w:p>
    <w:p w:rsidR="00D9189D" w:rsidRPr="00D9189D" w:rsidRDefault="00D9189D" w:rsidP="0069415A">
      <w:pPr>
        <w:pStyle w:val="110"/>
        <w:spacing w:line="560" w:lineRule="exact"/>
        <w:ind w:firstLine="600"/>
        <w:rPr>
          <w:rFonts w:ascii="仿宋_GB2312" w:eastAsia="仿宋_GB2312" w:hAnsi="仿宋" w:hint="eastAsia"/>
          <w:bCs/>
          <w:sz w:val="30"/>
          <w:szCs w:val="30"/>
        </w:rPr>
      </w:pPr>
      <w:r w:rsidRPr="00D9189D">
        <w:rPr>
          <w:rFonts w:ascii="仿宋_GB2312" w:eastAsia="仿宋_GB2312" w:hAnsi="华文细黑" w:hint="eastAsia"/>
          <w:sz w:val="30"/>
          <w:szCs w:val="30"/>
        </w:rPr>
        <w:t>第二十六条 在有价格涨跌幅限制股票的开盘集合竞价阶段，同时存在下列情形的，本所对有关交易行为予以重点监控：</w:t>
      </w:r>
    </w:p>
    <w:p w:rsidR="00D9189D" w:rsidRPr="00D9189D" w:rsidRDefault="00D9189D" w:rsidP="0069415A">
      <w:pPr>
        <w:pStyle w:val="110"/>
        <w:spacing w:line="560" w:lineRule="exact"/>
        <w:ind w:firstLineChars="189" w:firstLine="567"/>
        <w:rPr>
          <w:rFonts w:ascii="仿宋_GB2312" w:eastAsia="仿宋_GB2312" w:hAnsi="华文细黑" w:hint="eastAsia"/>
          <w:sz w:val="30"/>
          <w:szCs w:val="30"/>
        </w:rPr>
      </w:pPr>
      <w:r w:rsidRPr="00D9189D">
        <w:rPr>
          <w:rFonts w:ascii="仿宋_GB2312" w:eastAsia="仿宋_GB2312" w:hAnsi="华文细黑" w:hint="eastAsia"/>
          <w:sz w:val="30"/>
          <w:szCs w:val="30"/>
        </w:rPr>
        <w:t>（一）成交数量或者金额较大；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（二）成交数量占期间市场成交总量的比例较高；</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（三）股票开盘价涨（跌）幅5%以上。</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lastRenderedPageBreak/>
        <w:t>第二十七条 连续竞价阶段任意3分钟内同时存在下列情形的，本所对有关交易行为予以重点监控：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（一）买入成交价呈上升趋势或者卖出成交价呈下降趋势；</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（二）成交数量或者金额较大；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（三）成交数量占成交期间市场成交总量的比例较高；</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（四）股票涨（跌）幅4%以上。</w:t>
      </w:r>
    </w:p>
    <w:p w:rsidR="00D9189D" w:rsidRPr="00D9189D" w:rsidRDefault="00D9189D" w:rsidP="0069415A">
      <w:pPr>
        <w:adjustRightInd w:val="0"/>
        <w:snapToGrid w:val="0"/>
        <w:spacing w:line="560" w:lineRule="exact"/>
        <w:ind w:firstLine="602"/>
        <w:rPr>
          <w:rFonts w:ascii="仿宋_GB2312" w:eastAsia="仿宋_GB2312" w:hint="eastAsia"/>
          <w:sz w:val="30"/>
          <w:szCs w:val="30"/>
        </w:rPr>
      </w:pPr>
      <w:r w:rsidRPr="00D9189D">
        <w:rPr>
          <w:rFonts w:ascii="仿宋_GB2312" w:eastAsia="仿宋_GB2312" w:hAnsi="华文细黑" w:hint="eastAsia"/>
          <w:sz w:val="30"/>
          <w:szCs w:val="30"/>
        </w:rPr>
        <w:t xml:space="preserve">第二十八条 </w:t>
      </w:r>
      <w:r w:rsidRPr="00D9189D">
        <w:rPr>
          <w:rFonts w:ascii="仿宋_GB2312" w:eastAsia="仿宋_GB2312" w:hint="eastAsia"/>
          <w:sz w:val="30"/>
          <w:szCs w:val="30"/>
        </w:rPr>
        <w:t>收盘集合竞价阶段</w:t>
      </w:r>
      <w:r w:rsidRPr="00D9189D">
        <w:rPr>
          <w:rFonts w:ascii="仿宋_GB2312" w:eastAsia="仿宋_GB2312" w:hint="eastAsia"/>
          <w:color w:val="000000"/>
          <w:sz w:val="30"/>
          <w:szCs w:val="30"/>
        </w:rPr>
        <w:t>同时存在下列情形的，本所</w:t>
      </w:r>
      <w:r w:rsidRPr="00D9189D">
        <w:rPr>
          <w:rFonts w:ascii="仿宋_GB2312" w:eastAsia="仿宋_GB2312" w:hAnsi="华文细黑" w:hint="eastAsia"/>
          <w:sz w:val="30"/>
          <w:szCs w:val="30"/>
        </w:rPr>
        <w:t>对有关交易行为</w:t>
      </w:r>
      <w:r w:rsidRPr="00D9189D">
        <w:rPr>
          <w:rFonts w:ascii="仿宋_GB2312" w:eastAsia="仿宋_GB2312" w:hint="eastAsia"/>
          <w:color w:val="000000"/>
          <w:sz w:val="30"/>
          <w:szCs w:val="30"/>
        </w:rPr>
        <w:t>予以重点监控：</w:t>
      </w:r>
    </w:p>
    <w:p w:rsidR="00D9189D" w:rsidRPr="00D9189D" w:rsidRDefault="00D9189D" w:rsidP="0069415A">
      <w:pPr>
        <w:adjustRightInd w:val="0"/>
        <w:snapToGrid w:val="0"/>
        <w:spacing w:line="560" w:lineRule="exact"/>
        <w:ind w:firstLine="600"/>
        <w:rPr>
          <w:rFonts w:ascii="仿宋_GB2312" w:eastAsia="仿宋_GB2312" w:hint="eastAsia"/>
          <w:sz w:val="30"/>
          <w:szCs w:val="30"/>
        </w:rPr>
      </w:pPr>
      <w:r w:rsidRPr="00D9189D">
        <w:rPr>
          <w:rFonts w:ascii="仿宋_GB2312" w:eastAsia="仿宋_GB2312" w:hint="eastAsia"/>
          <w:color w:val="000000"/>
          <w:sz w:val="30"/>
          <w:szCs w:val="30"/>
        </w:rPr>
        <w:t>（一）</w:t>
      </w:r>
      <w:r w:rsidRPr="00D9189D">
        <w:rPr>
          <w:rFonts w:ascii="仿宋_GB2312" w:eastAsia="仿宋_GB2312" w:hint="eastAsia"/>
          <w:sz w:val="30"/>
          <w:szCs w:val="30"/>
        </w:rPr>
        <w:t>成交数量或者金额较大；</w:t>
      </w:r>
    </w:p>
    <w:p w:rsidR="00D9189D" w:rsidRPr="00D9189D" w:rsidRDefault="00D9189D" w:rsidP="0069415A">
      <w:pPr>
        <w:adjustRightInd w:val="0"/>
        <w:snapToGrid w:val="0"/>
        <w:spacing w:line="560" w:lineRule="exact"/>
        <w:ind w:firstLine="600"/>
        <w:rPr>
          <w:rFonts w:ascii="仿宋_GB2312" w:eastAsia="仿宋_GB2312" w:hint="eastAsia"/>
          <w:sz w:val="30"/>
          <w:szCs w:val="30"/>
        </w:rPr>
      </w:pPr>
      <w:r w:rsidRPr="00D9189D">
        <w:rPr>
          <w:rFonts w:ascii="仿宋_GB2312" w:eastAsia="仿宋_GB2312" w:hint="eastAsia"/>
          <w:color w:val="000000"/>
          <w:sz w:val="30"/>
          <w:szCs w:val="30"/>
        </w:rPr>
        <w:t>（二）</w:t>
      </w:r>
      <w:r w:rsidRPr="00D9189D">
        <w:rPr>
          <w:rFonts w:ascii="仿宋_GB2312" w:eastAsia="仿宋_GB2312" w:hint="eastAsia"/>
          <w:sz w:val="30"/>
          <w:szCs w:val="30"/>
        </w:rPr>
        <w:t>成交数量占期间市场成交总量的比例较高；</w:t>
      </w:r>
    </w:p>
    <w:p w:rsidR="00D9189D" w:rsidRPr="00D9189D" w:rsidRDefault="00D9189D" w:rsidP="0069415A">
      <w:pPr>
        <w:adjustRightInd w:val="0"/>
        <w:snapToGrid w:val="0"/>
        <w:spacing w:line="560" w:lineRule="exact"/>
        <w:ind w:firstLine="600"/>
        <w:rPr>
          <w:rFonts w:ascii="仿宋_GB2312" w:eastAsia="仿宋_GB2312" w:hint="eastAsia"/>
          <w:sz w:val="30"/>
          <w:szCs w:val="30"/>
        </w:rPr>
      </w:pPr>
      <w:r w:rsidRPr="00D9189D">
        <w:rPr>
          <w:rFonts w:ascii="仿宋_GB2312" w:eastAsia="仿宋_GB2312" w:hint="eastAsia"/>
          <w:color w:val="000000"/>
          <w:sz w:val="30"/>
          <w:szCs w:val="30"/>
        </w:rPr>
        <w:t>（三）股票涨（跌）幅3%以上。</w:t>
      </w:r>
    </w:p>
    <w:p w:rsidR="00D9189D" w:rsidRPr="00D9189D" w:rsidRDefault="00D9189D" w:rsidP="0069415A">
      <w:pPr>
        <w:pStyle w:val="affb"/>
        <w:spacing w:line="560" w:lineRule="exact"/>
        <w:ind w:firstLineChars="0" w:firstLine="0"/>
        <w:jc w:val="center"/>
        <w:rPr>
          <w:rFonts w:ascii="仿宋_GB2312" w:eastAsia="仿宋_GB2312" w:hAnsi="仿宋" w:hint="eastAsia"/>
          <w:b/>
          <w:bCs/>
          <w:sz w:val="30"/>
          <w:szCs w:val="30"/>
        </w:rPr>
      </w:pPr>
      <w:r w:rsidRPr="00D9189D">
        <w:rPr>
          <w:rFonts w:ascii="仿宋_GB2312" w:eastAsia="仿宋_GB2312" w:hAnsi="仿宋" w:hint="eastAsia"/>
          <w:b/>
          <w:bCs/>
          <w:sz w:val="30"/>
          <w:szCs w:val="30"/>
        </w:rPr>
        <w:t>第四节 维持涨（跌）幅限制价格</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第二十九条 维持涨（跌）幅限制价格，是指通过大笔申报、连续申报、密集申报，维持股票交易价格处于涨（跌）幅限制状态的异常交易行为。</w:t>
      </w:r>
    </w:p>
    <w:p w:rsidR="00D9189D" w:rsidRPr="00D9189D" w:rsidRDefault="00D9189D" w:rsidP="0069415A">
      <w:pPr>
        <w:pStyle w:val="110"/>
        <w:spacing w:line="560" w:lineRule="exact"/>
        <w:ind w:firstLineChars="190" w:firstLine="570"/>
        <w:rPr>
          <w:rFonts w:ascii="仿宋_GB2312" w:eastAsia="仿宋_GB2312" w:hAnsi="仿宋" w:hint="eastAsia"/>
          <w:bCs/>
          <w:sz w:val="30"/>
          <w:szCs w:val="30"/>
        </w:rPr>
      </w:pPr>
      <w:r w:rsidRPr="00D9189D">
        <w:rPr>
          <w:rFonts w:ascii="仿宋_GB2312" w:eastAsia="仿宋_GB2312" w:hAnsi="华文细黑" w:hint="eastAsia"/>
          <w:sz w:val="30"/>
          <w:szCs w:val="30"/>
        </w:rPr>
        <w:t>第三十条 连续竞价阶段同时存在下列情形的，本所对有关交易行为予以重点监控：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（一）股票交易价格处于涨（跌）幅限制状态；</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（二）单笔以涨（跌）幅限制价格申报后，在该价格剩余有效申报数量或者金额巨大，占市场该价格剩余有效申报总量的比例较高，且持续10分钟以上。</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第三十一条 收盘集合竞价阶段同时存在下列情形的，本所对有关交易行为予以重点监控：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（一）连续竞价结束时股票交易价格处于涨（跌）幅限制状</w:t>
      </w:r>
      <w:r w:rsidRPr="00D9189D">
        <w:rPr>
          <w:rFonts w:ascii="仿宋_GB2312" w:eastAsia="仿宋_GB2312" w:hAnsi="华文细黑" w:hint="eastAsia"/>
          <w:sz w:val="30"/>
          <w:szCs w:val="30"/>
        </w:rPr>
        <w:lastRenderedPageBreak/>
        <w:t>态；</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（二）连续竞价结束时和收盘集合竞价结束时，市场涨（跌）幅限制价格剩余有效申报数量或者金额巨大；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（三）收盘集合竞价结束时，收盘集合竞价阶段新增涨（跌）幅限制价格申报的剩余有效申报数量或者金额较大；</w:t>
      </w:r>
    </w:p>
    <w:p w:rsidR="00D9189D" w:rsidRPr="00D9189D" w:rsidRDefault="00D9189D" w:rsidP="0069415A">
      <w:pPr>
        <w:pStyle w:val="110"/>
        <w:spacing w:line="560" w:lineRule="exact"/>
        <w:ind w:firstLineChars="190" w:firstLine="570"/>
        <w:rPr>
          <w:rFonts w:ascii="仿宋_GB2312" w:eastAsia="仿宋_GB2312" w:hAnsi="华文细黑" w:hint="eastAsia"/>
          <w:sz w:val="30"/>
          <w:szCs w:val="30"/>
        </w:rPr>
      </w:pPr>
      <w:r w:rsidRPr="00D9189D">
        <w:rPr>
          <w:rFonts w:ascii="仿宋_GB2312" w:eastAsia="仿宋_GB2312" w:hAnsi="华文细黑" w:hint="eastAsia"/>
          <w:sz w:val="30"/>
          <w:szCs w:val="30"/>
        </w:rPr>
        <w:t>（四）收盘集合竞价结束时，涨（跌）幅限制价格剩余有效申报数量占市场该价格剩余有效申报总量的比例较高。</w:t>
      </w:r>
    </w:p>
    <w:p w:rsidR="00D9189D" w:rsidRPr="00D9189D" w:rsidRDefault="00D9189D" w:rsidP="0069415A">
      <w:pPr>
        <w:spacing w:line="560" w:lineRule="exact"/>
        <w:jc w:val="center"/>
        <w:rPr>
          <w:rFonts w:ascii="仿宋_GB2312" w:eastAsia="仿宋_GB2312" w:hAnsi="仿宋" w:hint="eastAsia"/>
          <w:b/>
          <w:bCs/>
          <w:sz w:val="30"/>
          <w:szCs w:val="30"/>
        </w:rPr>
      </w:pPr>
      <w:r w:rsidRPr="00D9189D">
        <w:rPr>
          <w:rFonts w:ascii="仿宋_GB2312" w:eastAsia="仿宋_GB2312" w:hAnsi="仿宋" w:hint="eastAsia"/>
          <w:b/>
          <w:bCs/>
          <w:sz w:val="30"/>
          <w:szCs w:val="30"/>
        </w:rPr>
        <w:t>第五节 自买自卖和互为对手方交易</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第三十二条 自买自卖和互为对手方交易，是指在自己实际控制的账户之间或者关联账户之间大量进行股票交易，影响股票交易价格或者交易量的异常交易行为。</w:t>
      </w:r>
    </w:p>
    <w:p w:rsidR="00D9189D" w:rsidRPr="00D9189D" w:rsidRDefault="00D9189D" w:rsidP="0069415A">
      <w:pPr>
        <w:pStyle w:val="110"/>
        <w:spacing w:line="560" w:lineRule="exact"/>
        <w:ind w:firstLine="600"/>
        <w:rPr>
          <w:rFonts w:ascii="仿宋_GB2312" w:eastAsia="仿宋_GB2312" w:hAnsi="仿宋" w:hint="eastAsia"/>
          <w:bCs/>
          <w:sz w:val="30"/>
          <w:szCs w:val="30"/>
        </w:rPr>
      </w:pPr>
      <w:r w:rsidRPr="00D9189D">
        <w:rPr>
          <w:rFonts w:ascii="仿宋_GB2312" w:eastAsia="仿宋_GB2312" w:hAnsi="华文细黑" w:hint="eastAsia"/>
          <w:sz w:val="30"/>
          <w:szCs w:val="30"/>
        </w:rPr>
        <w:t>第三十三条 股票交易同时存在下列情形的，本所对有关交易行为予以重点监控：</w:t>
      </w:r>
    </w:p>
    <w:p w:rsidR="00D9189D" w:rsidRPr="00D9189D" w:rsidRDefault="00D9189D" w:rsidP="0069415A">
      <w:pPr>
        <w:pStyle w:val="110"/>
        <w:spacing w:line="560" w:lineRule="exact"/>
        <w:ind w:firstLine="600"/>
        <w:rPr>
          <w:rFonts w:ascii="仿宋_GB2312" w:eastAsia="仿宋_GB2312" w:hAnsi="仿宋" w:hint="eastAsia"/>
          <w:bCs/>
          <w:sz w:val="30"/>
          <w:szCs w:val="30"/>
        </w:rPr>
      </w:pPr>
      <w:r w:rsidRPr="00D9189D">
        <w:rPr>
          <w:rFonts w:ascii="仿宋_GB2312" w:eastAsia="仿宋_GB2312" w:hAnsi="华文细黑" w:hint="eastAsia"/>
          <w:sz w:val="30"/>
          <w:szCs w:val="30"/>
        </w:rPr>
        <w:t>（一）在自己实际控制的账户之间频繁、大量交易；</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（二）成交数量占股票全天累计成交总量的10%以上或者收盘集合竞价阶段成交数量占期间市场成交总量的30%以上。</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第三十四条 股票交易同时存在下列情形的，本所对有关交易行为予以重点监控：</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（一）两个或者两个以上涉嫌关联的证券账户之间互为对手方进行频繁、大量交易；</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（二）成交数量占股票全天累计成交总量的10%以上或者收盘集合竞价阶段成交数量占期间市场成交总量的30%以上。</w:t>
      </w:r>
    </w:p>
    <w:p w:rsidR="00D9189D" w:rsidRPr="00D9189D" w:rsidRDefault="00D9189D" w:rsidP="0069415A">
      <w:pPr>
        <w:pStyle w:val="110"/>
        <w:spacing w:line="560" w:lineRule="exact"/>
        <w:ind w:firstLineChars="0" w:firstLine="0"/>
        <w:jc w:val="center"/>
        <w:rPr>
          <w:rFonts w:ascii="仿宋_GB2312" w:eastAsia="仿宋_GB2312" w:hAnsi="华文细黑" w:hint="eastAsia"/>
          <w:b/>
          <w:sz w:val="30"/>
          <w:szCs w:val="30"/>
        </w:rPr>
      </w:pPr>
      <w:r w:rsidRPr="00D9189D">
        <w:rPr>
          <w:rFonts w:ascii="仿宋_GB2312" w:eastAsia="仿宋_GB2312" w:hAnsi="华文细黑" w:hint="eastAsia"/>
          <w:b/>
          <w:sz w:val="30"/>
          <w:szCs w:val="30"/>
        </w:rPr>
        <w:t>第六节 严重异常波动股票申报速率异常</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华文细黑" w:hint="eastAsia"/>
          <w:sz w:val="30"/>
          <w:szCs w:val="30"/>
        </w:rPr>
      </w:pPr>
      <w:r w:rsidRPr="00D9189D">
        <w:rPr>
          <w:rFonts w:ascii="仿宋_GB2312" w:eastAsia="仿宋_GB2312" w:hAnsi="华文细黑" w:hint="eastAsia"/>
          <w:sz w:val="30"/>
          <w:szCs w:val="30"/>
        </w:rPr>
        <w:t>第三十五条</w:t>
      </w:r>
      <w:r w:rsidRPr="00D9189D">
        <w:rPr>
          <w:rFonts w:ascii="仿宋_GB2312" w:eastAsia="仿宋_GB2312" w:hAnsi="华文细黑" w:hint="eastAsia"/>
          <w:sz w:val="30"/>
          <w:szCs w:val="30"/>
          <w:lang w:eastAsia="zh-CN"/>
        </w:rPr>
        <w:t xml:space="preserve"> </w:t>
      </w:r>
      <w:r w:rsidRPr="00D9189D">
        <w:rPr>
          <w:rFonts w:ascii="仿宋_GB2312" w:eastAsia="仿宋_GB2312" w:hAnsi="华文细黑" w:hint="eastAsia"/>
          <w:sz w:val="30"/>
          <w:szCs w:val="30"/>
        </w:rPr>
        <w:t>严重异常波动股票申报速率异常，是指违背审</w:t>
      </w:r>
      <w:r w:rsidRPr="00D9189D">
        <w:rPr>
          <w:rFonts w:ascii="仿宋_GB2312" w:eastAsia="仿宋_GB2312" w:hAnsi="华文细黑" w:hint="eastAsia"/>
          <w:sz w:val="30"/>
          <w:szCs w:val="30"/>
        </w:rPr>
        <w:lastRenderedPageBreak/>
        <w:t>慎交易原则，在股票交易出现严重异常波动情形后的10个交易日内，利用资金优势、持股优势，在短时间内集中申报加剧股价异常波动的异常交易行为。</w:t>
      </w:r>
    </w:p>
    <w:p w:rsidR="00D9189D" w:rsidRPr="00D9189D" w:rsidRDefault="00D9189D" w:rsidP="0069415A">
      <w:pPr>
        <w:pStyle w:val="ac"/>
        <w:widowControl w:val="0"/>
        <w:shd w:val="clear" w:color="auto" w:fill="FFFFFF"/>
        <w:spacing w:before="0" w:beforeAutospacing="0" w:after="0" w:afterAutospacing="0" w:line="560" w:lineRule="exact"/>
        <w:ind w:firstLineChars="200" w:firstLine="600"/>
        <w:jc w:val="both"/>
        <w:rPr>
          <w:rFonts w:ascii="仿宋_GB2312" w:eastAsia="仿宋_GB2312" w:hAnsi="华文细黑" w:hint="eastAsia"/>
          <w:sz w:val="30"/>
          <w:szCs w:val="30"/>
        </w:rPr>
      </w:pPr>
      <w:r w:rsidRPr="00D9189D">
        <w:rPr>
          <w:rFonts w:ascii="仿宋_GB2312" w:eastAsia="仿宋_GB2312" w:hAnsi="华文细黑" w:hint="eastAsia"/>
          <w:sz w:val="30"/>
          <w:szCs w:val="30"/>
        </w:rPr>
        <w:t>第三十六条</w:t>
      </w:r>
      <w:r w:rsidRPr="00D9189D">
        <w:rPr>
          <w:rFonts w:ascii="仿宋_GB2312" w:eastAsia="仿宋_GB2312" w:hAnsi="华文细黑" w:hint="eastAsia"/>
          <w:sz w:val="30"/>
          <w:szCs w:val="30"/>
          <w:lang w:eastAsia="zh-CN"/>
        </w:rPr>
        <w:t xml:space="preserve"> </w:t>
      </w:r>
      <w:r w:rsidRPr="00D9189D">
        <w:rPr>
          <w:rFonts w:ascii="仿宋_GB2312" w:eastAsia="仿宋_GB2312" w:hAnsi="华文细黑" w:hint="eastAsia"/>
          <w:sz w:val="30"/>
          <w:szCs w:val="30"/>
        </w:rPr>
        <w:t>股票交易出现严重异常波动情形后10个交易日内,连续竞价阶段1分钟内单向申报买入（卖出）单只严重异常波动股票金额超过1000万元的，本所对有关交易行为予以重点监控。</w:t>
      </w:r>
    </w:p>
    <w:p w:rsidR="00D9189D" w:rsidRPr="00D9189D" w:rsidRDefault="00D9189D" w:rsidP="0069415A">
      <w:pPr>
        <w:spacing w:line="560" w:lineRule="exact"/>
        <w:jc w:val="center"/>
        <w:rPr>
          <w:rFonts w:ascii="黑体" w:eastAsia="黑体" w:hAnsi="黑体" w:hint="eastAsia"/>
          <w:b/>
          <w:kern w:val="0"/>
          <w:sz w:val="30"/>
          <w:szCs w:val="30"/>
        </w:rPr>
      </w:pPr>
      <w:r w:rsidRPr="00D9189D">
        <w:rPr>
          <w:rFonts w:ascii="黑体" w:eastAsia="黑体" w:hAnsi="黑体" w:hint="eastAsia"/>
          <w:b/>
          <w:kern w:val="0"/>
          <w:sz w:val="30"/>
          <w:szCs w:val="30"/>
        </w:rPr>
        <w:t>第五章 投资者</w:t>
      </w:r>
      <w:bookmarkStart w:id="2" w:name="_GoBack"/>
      <w:bookmarkEnd w:id="2"/>
      <w:r w:rsidRPr="00D9189D">
        <w:rPr>
          <w:rFonts w:ascii="黑体" w:eastAsia="黑体" w:hAnsi="黑体" w:hint="eastAsia"/>
          <w:b/>
          <w:kern w:val="0"/>
          <w:sz w:val="30"/>
          <w:szCs w:val="30"/>
        </w:rPr>
        <w:t>异常交易行为监管</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第三十七条</w:t>
      </w:r>
      <w:r w:rsidRPr="00D9189D">
        <w:rPr>
          <w:rFonts w:ascii="仿宋_GB2312" w:eastAsia="仿宋_GB2312" w:hAnsi="华文细黑" w:hint="eastAsia"/>
          <w:sz w:val="30"/>
          <w:szCs w:val="30"/>
          <w:lang w:eastAsia="zh-CN"/>
        </w:rPr>
        <w:t xml:space="preserve"> </w:t>
      </w:r>
      <w:r w:rsidRPr="00D9189D">
        <w:rPr>
          <w:rFonts w:ascii="仿宋_GB2312" w:eastAsia="仿宋_GB2312" w:hAnsi="华文细黑" w:hint="eastAsia"/>
          <w:sz w:val="30"/>
          <w:szCs w:val="30"/>
        </w:rPr>
        <w:t>投资者在科创板股票交易中实施异常交易行为的，本所可对其实施以下监管措施或者纪律处分：</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（一）口头警示；</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（二）书面警示；</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（三）将账户列为重点监控账户；</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（四）要求投资者提交合规交易承诺书；</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（五）暂停投资者账户交易；</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（六）限制投资者账户交易；</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（七）认定为不合格投资者；</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（八）本所规定的其他监管措施或者纪律处分。</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本所对投资者采取监管措施或者给予纪律处分的，按照《交易规则》《交易特别规定》《上海证券交易所纪律处分和监管措施实施办法》等规定执行。</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第三十八条</w:t>
      </w:r>
      <w:r w:rsidRPr="00D9189D">
        <w:rPr>
          <w:rFonts w:ascii="仿宋_GB2312" w:eastAsia="仿宋_GB2312" w:hAnsi="华文细黑" w:hint="eastAsia"/>
          <w:sz w:val="30"/>
          <w:szCs w:val="30"/>
          <w:lang w:eastAsia="zh-CN"/>
        </w:rPr>
        <w:t xml:space="preserve"> </w:t>
      </w:r>
      <w:r w:rsidRPr="00D9189D">
        <w:rPr>
          <w:rFonts w:ascii="仿宋_GB2312" w:eastAsia="仿宋_GB2312" w:hAnsi="华文细黑" w:hint="eastAsia"/>
          <w:sz w:val="30"/>
          <w:szCs w:val="30"/>
        </w:rPr>
        <w:t>投资者实施异常交易行为具有下列情形之一的，本所从重实施监管措施或者纪律处分：</w:t>
      </w:r>
    </w:p>
    <w:p w:rsidR="00D9189D" w:rsidRPr="00D9189D" w:rsidRDefault="00D9189D" w:rsidP="0069415A">
      <w:pPr>
        <w:pStyle w:val="affb"/>
        <w:spacing w:line="560" w:lineRule="exact"/>
        <w:ind w:firstLine="600"/>
        <w:rPr>
          <w:rFonts w:ascii="仿宋_GB2312" w:eastAsia="仿宋_GB2312" w:hAnsi="宋体" w:hint="eastAsia"/>
          <w:sz w:val="30"/>
          <w:szCs w:val="30"/>
        </w:rPr>
      </w:pPr>
      <w:r w:rsidRPr="00D9189D">
        <w:rPr>
          <w:rFonts w:ascii="仿宋_GB2312" w:eastAsia="仿宋_GB2312" w:hAnsi="宋体" w:hint="eastAsia"/>
          <w:sz w:val="30"/>
          <w:szCs w:val="30"/>
        </w:rPr>
        <w:t>（一）</w:t>
      </w:r>
      <w:r w:rsidRPr="00D9189D">
        <w:rPr>
          <w:rFonts w:ascii="仿宋_GB2312" w:eastAsia="仿宋_GB2312" w:hint="eastAsia"/>
          <w:sz w:val="30"/>
          <w:szCs w:val="30"/>
        </w:rPr>
        <w:t>在一定时间内</w:t>
      </w:r>
      <w:r w:rsidRPr="00D9189D">
        <w:rPr>
          <w:rFonts w:ascii="仿宋_GB2312" w:eastAsia="仿宋_GB2312" w:hAnsi="宋体" w:hint="eastAsia"/>
          <w:sz w:val="30"/>
          <w:szCs w:val="30"/>
        </w:rPr>
        <w:t>反复、连续实施异常交易行为；</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lastRenderedPageBreak/>
        <w:t>（二）对严重异常波动股票实施异常交易行为；</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（三）实施异常交易行为的同时存在反向交易；</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（四）实施异常交易行为涉嫌市场操纵；</w:t>
      </w:r>
    </w:p>
    <w:p w:rsidR="00D9189D" w:rsidRPr="00D9189D" w:rsidRDefault="00D9189D" w:rsidP="0069415A">
      <w:pPr>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（五）因异常交易行为受到过本所纪律处分，或者因内幕交易、市场操纵等证券违法行为受到过行政处罚或者刑事制裁；</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（六）本所认定的其他情形。</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第三十九条</w:t>
      </w:r>
      <w:r w:rsidRPr="00D9189D">
        <w:rPr>
          <w:rFonts w:ascii="仿宋_GB2312" w:eastAsia="仿宋_GB2312" w:hAnsi="华文细黑" w:hint="eastAsia"/>
          <w:sz w:val="30"/>
          <w:szCs w:val="30"/>
          <w:lang w:eastAsia="zh-CN"/>
        </w:rPr>
        <w:t xml:space="preserve"> </w:t>
      </w:r>
      <w:r w:rsidRPr="00D9189D">
        <w:rPr>
          <w:rFonts w:ascii="仿宋_GB2312" w:eastAsia="仿宋_GB2312" w:hAnsi="华文细黑" w:hint="eastAsia"/>
          <w:sz w:val="30"/>
          <w:szCs w:val="30"/>
        </w:rPr>
        <w:t>会员及相关人员违反本细则规定，未适当履行客户交易行为管理职责的，本所可对其实施以下监管措施或者纪律处分：</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（一）口头警示；</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（二）书面警示；</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（三）监管谈话；</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（四）要求限期改正；</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（五）暂停受理或者办理相关业务；</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（六）通报批评；</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（七）公开谴责；</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（八）收取惩罚性违约金；</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（九）暂停或者限制交易权限；</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（十）取消交易权限；</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（十一）取消会员资格；</w:t>
      </w:r>
    </w:p>
    <w:p w:rsidR="00D9189D" w:rsidRPr="00D9189D" w:rsidRDefault="00D9189D" w:rsidP="0069415A">
      <w:pPr>
        <w:pStyle w:val="affb"/>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（十二）本所规定的其他监管措施或者纪律处分。</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本所对会员及相关人员采取监管措施或者给予纪律处分的，按照《上海证券交易所会员管理规则》《上海证券交易所会员客户证券交易行为管理实施细则》《上海证券交易所纪律处分和监</w:t>
      </w:r>
      <w:r w:rsidRPr="00D9189D">
        <w:rPr>
          <w:rFonts w:ascii="仿宋_GB2312" w:eastAsia="仿宋_GB2312" w:hAnsi="华文细黑" w:hint="eastAsia"/>
          <w:sz w:val="30"/>
          <w:szCs w:val="30"/>
        </w:rPr>
        <w:lastRenderedPageBreak/>
        <w:t>管措施实施办法》等规定执行。</w:t>
      </w:r>
    </w:p>
    <w:p w:rsidR="00D9189D" w:rsidRPr="004977DC" w:rsidRDefault="00D9189D" w:rsidP="0069415A">
      <w:pPr>
        <w:spacing w:line="560" w:lineRule="exact"/>
        <w:jc w:val="center"/>
        <w:rPr>
          <w:rFonts w:ascii="黑体" w:eastAsia="黑体" w:hAnsi="黑体" w:hint="eastAsia"/>
          <w:b/>
          <w:kern w:val="0"/>
          <w:sz w:val="30"/>
          <w:szCs w:val="30"/>
        </w:rPr>
      </w:pPr>
      <w:r w:rsidRPr="004977DC">
        <w:rPr>
          <w:rFonts w:ascii="黑体" w:eastAsia="黑体" w:hAnsi="黑体" w:hint="eastAsia"/>
          <w:b/>
          <w:kern w:val="0"/>
          <w:sz w:val="30"/>
          <w:szCs w:val="30"/>
        </w:rPr>
        <w:t>第六章 附则</w:t>
      </w:r>
    </w:p>
    <w:p w:rsidR="00D9189D" w:rsidRPr="00D9189D" w:rsidRDefault="00D9189D" w:rsidP="0069415A">
      <w:pPr>
        <w:pStyle w:val="110"/>
        <w:spacing w:line="560" w:lineRule="exact"/>
        <w:ind w:firstLine="600"/>
        <w:rPr>
          <w:rFonts w:ascii="仿宋_GB2312" w:eastAsia="仿宋_GB2312" w:hAnsi="华文细黑" w:hint="eastAsia"/>
          <w:sz w:val="30"/>
          <w:szCs w:val="30"/>
        </w:rPr>
      </w:pPr>
      <w:r w:rsidRPr="00D9189D">
        <w:rPr>
          <w:rFonts w:ascii="仿宋_GB2312" w:eastAsia="仿宋_GB2312" w:hAnsi="华文细黑" w:hint="eastAsia"/>
          <w:sz w:val="30"/>
          <w:szCs w:val="30"/>
        </w:rPr>
        <w:t>第四十条 本细则</w:t>
      </w:r>
      <w:r w:rsidRPr="00D9189D">
        <w:rPr>
          <w:rFonts w:ascii="仿宋_GB2312" w:eastAsia="仿宋_GB2312" w:hAnsi="宋体" w:hint="eastAsia"/>
          <w:sz w:val="30"/>
          <w:szCs w:val="30"/>
        </w:rPr>
        <w:t>下列用语具有如下含义：</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（一）数量或者金额较大，是指数量在30万股以上或者金额在300万元以上；</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（二）数量或者金额巨大，是指数量在100万股以上或者金额在1000万元以上；</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（三）比例或者占比较高，是指比例或者占比30%以上；</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（四）多次，是指3次以上；</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（五）“以上”“以下”“内”含本数，“高于”“低于”不含本数；</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（六）实际控制，是指通过股权、协议、委托或者其他方式，直接或者间接拥有对某个账户的交易活动作出决策或者导致形成决策的权利；</w:t>
      </w:r>
    </w:p>
    <w:p w:rsidR="00D9189D" w:rsidRPr="00D9189D" w:rsidRDefault="00D9189D" w:rsidP="0069415A">
      <w:pPr>
        <w:spacing w:line="560" w:lineRule="exact"/>
        <w:ind w:firstLineChars="190" w:firstLine="570"/>
        <w:rPr>
          <w:rFonts w:ascii="仿宋_GB2312" w:eastAsia="仿宋_GB2312" w:hAnsi="宋体" w:hint="eastAsia"/>
          <w:sz w:val="30"/>
          <w:szCs w:val="30"/>
        </w:rPr>
      </w:pPr>
      <w:r w:rsidRPr="00D9189D">
        <w:rPr>
          <w:rFonts w:ascii="仿宋_GB2312" w:eastAsia="仿宋_GB2312" w:hAnsi="宋体" w:hint="eastAsia"/>
          <w:sz w:val="30"/>
          <w:szCs w:val="30"/>
        </w:rPr>
        <w:t>（七）涉嫌关联，是指多个证券账户在开户信息、交易终端信息、交易行为趋同性或者交易资金来源等方面存在或者可能存在关联。</w:t>
      </w:r>
    </w:p>
    <w:p w:rsidR="00D9189D" w:rsidRPr="00D9189D" w:rsidRDefault="00D9189D" w:rsidP="0069415A">
      <w:pPr>
        <w:spacing w:line="560" w:lineRule="exact"/>
        <w:ind w:firstLine="602"/>
        <w:rPr>
          <w:rFonts w:ascii="仿宋_GB2312" w:eastAsia="仿宋_GB2312" w:hAnsi="宋体" w:hint="eastAsia"/>
          <w:sz w:val="30"/>
          <w:szCs w:val="30"/>
        </w:rPr>
      </w:pPr>
      <w:r w:rsidRPr="00D9189D">
        <w:rPr>
          <w:rFonts w:ascii="仿宋_GB2312" w:eastAsia="仿宋_GB2312" w:hAnsi="华文细黑" w:hint="eastAsia"/>
          <w:sz w:val="30"/>
          <w:szCs w:val="30"/>
        </w:rPr>
        <w:t>第四十一条 本细则由本所负责解释。</w:t>
      </w:r>
    </w:p>
    <w:p w:rsidR="00D9189D" w:rsidRPr="00D9189D" w:rsidRDefault="00D9189D" w:rsidP="0069415A">
      <w:pPr>
        <w:spacing w:line="560" w:lineRule="exact"/>
        <w:ind w:firstLine="602"/>
        <w:rPr>
          <w:rFonts w:ascii="仿宋_GB2312" w:eastAsia="仿宋_GB2312" w:hAnsi="宋体" w:hint="eastAsia"/>
          <w:sz w:val="30"/>
          <w:szCs w:val="30"/>
        </w:rPr>
      </w:pPr>
      <w:r w:rsidRPr="00D9189D">
        <w:rPr>
          <w:rFonts w:ascii="仿宋_GB2312" w:eastAsia="仿宋_GB2312" w:hAnsi="华文细黑" w:hint="eastAsia"/>
          <w:sz w:val="30"/>
          <w:szCs w:val="30"/>
        </w:rPr>
        <w:t>第四十二条 本细则自发布之日起施行。</w:t>
      </w:r>
    </w:p>
    <w:p w:rsidR="00D9189D" w:rsidRPr="00D9189D" w:rsidRDefault="00D9189D" w:rsidP="00D9189D">
      <w:pPr>
        <w:jc w:val="left"/>
        <w:rPr>
          <w:rFonts w:ascii="仿宋_GB2312" w:eastAsia="仿宋_GB2312" w:hAnsi="黑体" w:hint="eastAsia"/>
          <w:sz w:val="30"/>
          <w:szCs w:val="30"/>
        </w:rPr>
      </w:pPr>
    </w:p>
    <w:p w:rsidR="00D9189D" w:rsidRPr="00D9189D" w:rsidRDefault="00D9189D" w:rsidP="003B12AF">
      <w:pPr>
        <w:spacing w:line="560" w:lineRule="exact"/>
        <w:rPr>
          <w:rFonts w:ascii="仿宋_GB2312" w:eastAsia="仿宋_GB2312" w:hint="eastAsia"/>
          <w:bCs/>
          <w:color w:val="000000"/>
          <w:sz w:val="30"/>
          <w:szCs w:val="30"/>
        </w:rPr>
      </w:pPr>
    </w:p>
    <w:sectPr w:rsidR="00D9189D" w:rsidRPr="00D9189D"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8D4" w:rsidRDefault="007C58D4">
      <w:r>
        <w:separator/>
      </w:r>
    </w:p>
  </w:endnote>
  <w:endnote w:type="continuationSeparator" w:id="1">
    <w:p w:rsidR="007C58D4" w:rsidRDefault="007C5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font-weight : 400">
    <w:altName w:val="Segoe Print"/>
    <w:charset w:val="00"/>
    <w:family w:val="auto"/>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7B3733">
      <w:rPr>
        <w:noProof/>
        <w:sz w:val="28"/>
      </w:rPr>
      <w:t>2</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7B3733">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8D4" w:rsidRDefault="007C58D4">
      <w:r>
        <w:separator/>
      </w:r>
    </w:p>
  </w:footnote>
  <w:footnote w:type="continuationSeparator" w:id="1">
    <w:p w:rsidR="007C58D4" w:rsidRDefault="007C58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15911C4D"/>
    <w:multiLevelType w:val="multilevel"/>
    <w:tmpl w:val="088072C4"/>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6">
    <w:nsid w:val="3D703797"/>
    <w:multiLevelType w:val="hybridMultilevel"/>
    <w:tmpl w:val="D56048B6"/>
    <w:name w:val="WW8Num72"/>
    <w:lvl w:ilvl="0">
      <w:start w:val="1"/>
      <w:numFmt w:val="japaneseCounting"/>
      <w:pStyle w:val="3"/>
      <w:lvlText w:val="第%1条"/>
      <w:lvlJc w:val="left"/>
      <w:pPr>
        <w:tabs>
          <w:tab w:val="num" w:pos="1676"/>
        </w:tabs>
        <w:ind w:left="1676" w:hanging="1392"/>
      </w:pPr>
      <w:rPr>
        <w:rFonts w:ascii="仿宋_GB2312" w:eastAsia="仿宋_GB2312" w:hint="eastAsia"/>
        <w:b w:val="0"/>
        <w:color w:val="auto"/>
        <w:lang w:val="en-US"/>
      </w:rPr>
    </w:lvl>
    <w:lvl w:ilvl="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7">
    <w:nsid w:val="40832F69"/>
    <w:multiLevelType w:val="hybridMultilevel"/>
    <w:tmpl w:val="AD8C4B50"/>
    <w:lvl w:ilvl="0" w:tplc="D21E7208">
      <w:start w:val="1"/>
      <w:numFmt w:val="japaneseCounting"/>
      <w:lvlText w:val="第%1章"/>
      <w:lvlJc w:val="left"/>
      <w:pPr>
        <w:ind w:left="915" w:hanging="7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8">
    <w:nsid w:val="41D67951"/>
    <w:multiLevelType w:val="hybridMultilevel"/>
    <w:tmpl w:val="8C96DFD8"/>
    <w:lvl w:ilvl="0" w:tplc="3D5074BC">
      <w:start w:val="1"/>
      <w:numFmt w:val="japaneseCounting"/>
      <w:pStyle w:val="6"/>
      <w:lvlText w:val="第%1条"/>
      <w:lvlJc w:val="left"/>
      <w:pPr>
        <w:ind w:left="2122" w:hanging="420"/>
      </w:pPr>
      <w:rPr>
        <w:rFonts w:ascii="仿宋_GB2312" w:eastAsia="仿宋_GB2312" w:hAnsi="黑体" w:hint="eastAsia"/>
        <w:b w:val="0"/>
        <w:color w:val="auto"/>
        <w:sz w:val="30"/>
        <w:szCs w:val="30"/>
        <w:lang w:val="en-US"/>
      </w:rPr>
    </w:lvl>
    <w:lvl w:ilvl="1" w:tplc="04090019">
      <w:start w:val="1"/>
      <w:numFmt w:val="chineseCountingThousand"/>
      <w:lvlText w:val="(%2)"/>
      <w:lvlJc w:val="left"/>
      <w:pPr>
        <w:ind w:left="1430" w:hanging="720"/>
      </w:pPr>
      <w:rPr>
        <w:rFonts w:hint="default"/>
        <w:lang w:val="en-US"/>
      </w:rPr>
    </w:lvl>
    <w:lvl w:ilvl="2" w:tplc="0409001B">
      <w:start w:val="1"/>
      <w:numFmt w:val="japaneseCounting"/>
      <w:lvlText w:val="第%3节"/>
      <w:lvlJc w:val="left"/>
      <w:pPr>
        <w:ind w:left="1560" w:hanging="720"/>
      </w:pPr>
      <w:rPr>
        <w:rFonts w:hint="default"/>
      </w:rPr>
    </w:lvl>
    <w:lvl w:ilvl="3" w:tplc="0409000F">
      <w:start w:val="1"/>
      <w:numFmt w:val="japaneseCounting"/>
      <w:lvlText w:val="（%4）"/>
      <w:lvlJc w:val="left"/>
      <w:pPr>
        <w:ind w:left="2340" w:hanging="108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DD5890"/>
    <w:multiLevelType w:val="multilevel"/>
    <w:tmpl w:val="3F74A79E"/>
    <w:lvl w:ilvl="0">
      <w:start w:val="1"/>
      <w:numFmt w:val="japaneseCounting"/>
      <w:lvlText w:val="第%1条"/>
      <w:lvlJc w:val="left"/>
      <w:pPr>
        <w:ind w:left="1129" w:hanging="420"/>
      </w:pPr>
      <w:rPr>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EA656DE"/>
    <w:multiLevelType w:val="hybridMultilevel"/>
    <w:tmpl w:val="33F6CC1C"/>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start w:val="1"/>
      <w:numFmt w:val="decimal"/>
      <w:lvlText w:val="%3."/>
      <w:lvlJc w:val="left"/>
      <w:pPr>
        <w:tabs>
          <w:tab w:val="num" w:pos="3595"/>
        </w:tabs>
        <w:ind w:left="3595" w:hanging="360"/>
      </w:pPr>
      <w:rPr>
        <w:rFonts w:cs="Times New Roman"/>
      </w:rPr>
    </w:lvl>
    <w:lvl w:ilvl="3">
      <w:start w:val="1"/>
      <w:numFmt w:val="decimal"/>
      <w:lvlText w:val="%4."/>
      <w:lvlJc w:val="left"/>
      <w:pPr>
        <w:tabs>
          <w:tab w:val="num" w:pos="4315"/>
        </w:tabs>
        <w:ind w:left="4315" w:hanging="360"/>
      </w:pPr>
      <w:rPr>
        <w:rFonts w:cs="Times New Roman"/>
      </w:rPr>
    </w:lvl>
    <w:lvl w:ilvl="4">
      <w:start w:val="1"/>
      <w:numFmt w:val="decimal"/>
      <w:lvlText w:val="%5."/>
      <w:lvlJc w:val="left"/>
      <w:pPr>
        <w:tabs>
          <w:tab w:val="num" w:pos="5035"/>
        </w:tabs>
        <w:ind w:left="5035" w:hanging="360"/>
      </w:pPr>
      <w:rPr>
        <w:rFonts w:cs="Times New Roman"/>
      </w:rPr>
    </w:lvl>
    <w:lvl w:ilvl="5">
      <w:start w:val="1"/>
      <w:numFmt w:val="decimal"/>
      <w:lvlText w:val="%6."/>
      <w:lvlJc w:val="left"/>
      <w:pPr>
        <w:tabs>
          <w:tab w:val="num" w:pos="5755"/>
        </w:tabs>
        <w:ind w:left="5755" w:hanging="360"/>
      </w:pPr>
      <w:rPr>
        <w:rFonts w:cs="Times New Roman"/>
      </w:rPr>
    </w:lvl>
    <w:lvl w:ilvl="6">
      <w:start w:val="1"/>
      <w:numFmt w:val="decimal"/>
      <w:lvlText w:val="%7."/>
      <w:lvlJc w:val="left"/>
      <w:pPr>
        <w:tabs>
          <w:tab w:val="num" w:pos="6475"/>
        </w:tabs>
        <w:ind w:left="6475" w:hanging="360"/>
      </w:pPr>
      <w:rPr>
        <w:rFonts w:cs="Times New Roman"/>
      </w:rPr>
    </w:lvl>
    <w:lvl w:ilvl="7">
      <w:start w:val="1"/>
      <w:numFmt w:val="decimal"/>
      <w:lvlText w:val="%8."/>
      <w:lvlJc w:val="left"/>
      <w:pPr>
        <w:tabs>
          <w:tab w:val="num" w:pos="7195"/>
        </w:tabs>
        <w:ind w:left="7195" w:hanging="360"/>
      </w:pPr>
      <w:rPr>
        <w:rFonts w:cs="Times New Roman"/>
      </w:rPr>
    </w:lvl>
    <w:lvl w:ilvl="8">
      <w:start w:val="1"/>
      <w:numFmt w:val="decimal"/>
      <w:lvlText w:val="%9."/>
      <w:lvlJc w:val="left"/>
      <w:pPr>
        <w:tabs>
          <w:tab w:val="num" w:pos="7915"/>
        </w:tabs>
        <w:ind w:left="7915" w:hanging="360"/>
      </w:pPr>
      <w:rPr>
        <w:rFonts w:cs="Times New Roman"/>
      </w:rPr>
    </w:lvl>
  </w:abstractNum>
  <w:abstractNum w:abstractNumId="11">
    <w:nsid w:val="6C8747FE"/>
    <w:multiLevelType w:val="multilevel"/>
    <w:tmpl w:val="6C8747FE"/>
    <w:lvl w:ilvl="0">
      <w:start w:val="1"/>
      <w:numFmt w:val="japaneseCounting"/>
      <w:lvlText w:val="第%1节"/>
      <w:lvlJc w:val="left"/>
      <w:pPr>
        <w:ind w:left="5191"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0"/>
  </w:num>
  <w:num w:numId="3">
    <w:abstractNumId w:val="6"/>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30B"/>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1D93"/>
    <w:rsid w:val="000825BD"/>
    <w:rsid w:val="00083FA1"/>
    <w:rsid w:val="00084847"/>
    <w:rsid w:val="0008558C"/>
    <w:rsid w:val="0008603B"/>
    <w:rsid w:val="00092467"/>
    <w:rsid w:val="000926AA"/>
    <w:rsid w:val="00094F31"/>
    <w:rsid w:val="000A2AE9"/>
    <w:rsid w:val="000A36F5"/>
    <w:rsid w:val="000A3859"/>
    <w:rsid w:val="000A4874"/>
    <w:rsid w:val="000A4E05"/>
    <w:rsid w:val="000A5CA0"/>
    <w:rsid w:val="000A68BC"/>
    <w:rsid w:val="000A78EC"/>
    <w:rsid w:val="000B135F"/>
    <w:rsid w:val="000B19DE"/>
    <w:rsid w:val="000B1BAD"/>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5587"/>
    <w:rsid w:val="000F5864"/>
    <w:rsid w:val="000F7690"/>
    <w:rsid w:val="00103077"/>
    <w:rsid w:val="00104481"/>
    <w:rsid w:val="001048FF"/>
    <w:rsid w:val="00106537"/>
    <w:rsid w:val="0011790D"/>
    <w:rsid w:val="00121D8C"/>
    <w:rsid w:val="00122B6D"/>
    <w:rsid w:val="00126898"/>
    <w:rsid w:val="00127BB8"/>
    <w:rsid w:val="00127D61"/>
    <w:rsid w:val="001303BE"/>
    <w:rsid w:val="001313FC"/>
    <w:rsid w:val="001320F9"/>
    <w:rsid w:val="0013265E"/>
    <w:rsid w:val="00132F87"/>
    <w:rsid w:val="00135048"/>
    <w:rsid w:val="00135676"/>
    <w:rsid w:val="00136D79"/>
    <w:rsid w:val="00136E1D"/>
    <w:rsid w:val="00143741"/>
    <w:rsid w:val="00145463"/>
    <w:rsid w:val="00145E5C"/>
    <w:rsid w:val="00146A7A"/>
    <w:rsid w:val="00147882"/>
    <w:rsid w:val="00152423"/>
    <w:rsid w:val="00156362"/>
    <w:rsid w:val="00156E9B"/>
    <w:rsid w:val="0016249D"/>
    <w:rsid w:val="001628DD"/>
    <w:rsid w:val="00162B2D"/>
    <w:rsid w:val="00163F0D"/>
    <w:rsid w:val="00165363"/>
    <w:rsid w:val="00166E77"/>
    <w:rsid w:val="001675AF"/>
    <w:rsid w:val="0017731B"/>
    <w:rsid w:val="00177844"/>
    <w:rsid w:val="00182EC8"/>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465D"/>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2CB0"/>
    <w:rsid w:val="002635C2"/>
    <w:rsid w:val="00263787"/>
    <w:rsid w:val="002649A0"/>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967DD"/>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C76A3"/>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0DDC"/>
    <w:rsid w:val="00363433"/>
    <w:rsid w:val="003642F6"/>
    <w:rsid w:val="00365389"/>
    <w:rsid w:val="003674EB"/>
    <w:rsid w:val="00370147"/>
    <w:rsid w:val="00370F08"/>
    <w:rsid w:val="00371056"/>
    <w:rsid w:val="003714B3"/>
    <w:rsid w:val="003721BA"/>
    <w:rsid w:val="00372318"/>
    <w:rsid w:val="0037348E"/>
    <w:rsid w:val="00373B90"/>
    <w:rsid w:val="003801AA"/>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2AF"/>
    <w:rsid w:val="003B1ED9"/>
    <w:rsid w:val="003B2F8E"/>
    <w:rsid w:val="003B45A3"/>
    <w:rsid w:val="003B7D3A"/>
    <w:rsid w:val="003C016A"/>
    <w:rsid w:val="003C0E88"/>
    <w:rsid w:val="003C0F8A"/>
    <w:rsid w:val="003C23AD"/>
    <w:rsid w:val="003C293C"/>
    <w:rsid w:val="003C37A4"/>
    <w:rsid w:val="003C37A5"/>
    <w:rsid w:val="003C5AB5"/>
    <w:rsid w:val="003C7171"/>
    <w:rsid w:val="003D24C9"/>
    <w:rsid w:val="003D3027"/>
    <w:rsid w:val="003D4890"/>
    <w:rsid w:val="003D5445"/>
    <w:rsid w:val="003D73C7"/>
    <w:rsid w:val="003D7920"/>
    <w:rsid w:val="003D7DD2"/>
    <w:rsid w:val="003E100F"/>
    <w:rsid w:val="003E4B77"/>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0A6A"/>
    <w:rsid w:val="004473CB"/>
    <w:rsid w:val="00450748"/>
    <w:rsid w:val="004512D0"/>
    <w:rsid w:val="00451DE9"/>
    <w:rsid w:val="00454698"/>
    <w:rsid w:val="00455485"/>
    <w:rsid w:val="00456542"/>
    <w:rsid w:val="00456CC6"/>
    <w:rsid w:val="004603C4"/>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29D3"/>
    <w:rsid w:val="00492DDC"/>
    <w:rsid w:val="004964F8"/>
    <w:rsid w:val="004977DC"/>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47CA"/>
    <w:rsid w:val="004C5C9E"/>
    <w:rsid w:val="004C7695"/>
    <w:rsid w:val="004C7A14"/>
    <w:rsid w:val="004D006C"/>
    <w:rsid w:val="004D192C"/>
    <w:rsid w:val="004D2769"/>
    <w:rsid w:val="004D3CA9"/>
    <w:rsid w:val="004D56FB"/>
    <w:rsid w:val="004E3143"/>
    <w:rsid w:val="004E46A0"/>
    <w:rsid w:val="004E60FA"/>
    <w:rsid w:val="004E70D1"/>
    <w:rsid w:val="004F0560"/>
    <w:rsid w:val="004F0E96"/>
    <w:rsid w:val="004F282C"/>
    <w:rsid w:val="004F730D"/>
    <w:rsid w:val="00501E8E"/>
    <w:rsid w:val="00502B77"/>
    <w:rsid w:val="00506CFA"/>
    <w:rsid w:val="00511DA3"/>
    <w:rsid w:val="00513856"/>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1234"/>
    <w:rsid w:val="00545E78"/>
    <w:rsid w:val="00546621"/>
    <w:rsid w:val="0055053A"/>
    <w:rsid w:val="00550946"/>
    <w:rsid w:val="00551C59"/>
    <w:rsid w:val="00556AC5"/>
    <w:rsid w:val="00556F5A"/>
    <w:rsid w:val="00557DDC"/>
    <w:rsid w:val="00557E04"/>
    <w:rsid w:val="005635FB"/>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6D97"/>
    <w:rsid w:val="005B740A"/>
    <w:rsid w:val="005C0AA5"/>
    <w:rsid w:val="005C1D93"/>
    <w:rsid w:val="005C2403"/>
    <w:rsid w:val="005C7E51"/>
    <w:rsid w:val="005D1E77"/>
    <w:rsid w:val="005D34F3"/>
    <w:rsid w:val="005E4BD1"/>
    <w:rsid w:val="005E6B96"/>
    <w:rsid w:val="005E6D26"/>
    <w:rsid w:val="005F0B5C"/>
    <w:rsid w:val="005F1000"/>
    <w:rsid w:val="005F5CEB"/>
    <w:rsid w:val="005F5F45"/>
    <w:rsid w:val="006012ED"/>
    <w:rsid w:val="00604249"/>
    <w:rsid w:val="006046F4"/>
    <w:rsid w:val="00607B22"/>
    <w:rsid w:val="00613446"/>
    <w:rsid w:val="006160EB"/>
    <w:rsid w:val="006224DE"/>
    <w:rsid w:val="006226D3"/>
    <w:rsid w:val="00622999"/>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15A"/>
    <w:rsid w:val="006942A0"/>
    <w:rsid w:val="006950E9"/>
    <w:rsid w:val="00695BE1"/>
    <w:rsid w:val="006A2EFC"/>
    <w:rsid w:val="006A3004"/>
    <w:rsid w:val="006A5E0F"/>
    <w:rsid w:val="006B212A"/>
    <w:rsid w:val="006B3B78"/>
    <w:rsid w:val="006B3EFA"/>
    <w:rsid w:val="006B4055"/>
    <w:rsid w:val="006B42DD"/>
    <w:rsid w:val="006B71BA"/>
    <w:rsid w:val="006B7AD2"/>
    <w:rsid w:val="006C271C"/>
    <w:rsid w:val="006C2855"/>
    <w:rsid w:val="006C4D4D"/>
    <w:rsid w:val="006C4F79"/>
    <w:rsid w:val="006C6CFB"/>
    <w:rsid w:val="006D070F"/>
    <w:rsid w:val="006D0F90"/>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6175"/>
    <w:rsid w:val="00707D04"/>
    <w:rsid w:val="00713A56"/>
    <w:rsid w:val="0071491B"/>
    <w:rsid w:val="007169F1"/>
    <w:rsid w:val="00717276"/>
    <w:rsid w:val="007202D5"/>
    <w:rsid w:val="0072046E"/>
    <w:rsid w:val="0072316A"/>
    <w:rsid w:val="007239FD"/>
    <w:rsid w:val="0072722E"/>
    <w:rsid w:val="007315AB"/>
    <w:rsid w:val="00732895"/>
    <w:rsid w:val="00733A2F"/>
    <w:rsid w:val="00737881"/>
    <w:rsid w:val="00737B33"/>
    <w:rsid w:val="0074005F"/>
    <w:rsid w:val="0074121D"/>
    <w:rsid w:val="00743198"/>
    <w:rsid w:val="00743305"/>
    <w:rsid w:val="007437FC"/>
    <w:rsid w:val="007441B6"/>
    <w:rsid w:val="00747D97"/>
    <w:rsid w:val="007527F4"/>
    <w:rsid w:val="00753327"/>
    <w:rsid w:val="007533EB"/>
    <w:rsid w:val="00755115"/>
    <w:rsid w:val="00760416"/>
    <w:rsid w:val="00765BBB"/>
    <w:rsid w:val="007677C1"/>
    <w:rsid w:val="00772D4D"/>
    <w:rsid w:val="00772E38"/>
    <w:rsid w:val="00773E8A"/>
    <w:rsid w:val="0077613F"/>
    <w:rsid w:val="0077623D"/>
    <w:rsid w:val="007808CE"/>
    <w:rsid w:val="007825D2"/>
    <w:rsid w:val="007830C3"/>
    <w:rsid w:val="00784B4B"/>
    <w:rsid w:val="00784FDA"/>
    <w:rsid w:val="0078510A"/>
    <w:rsid w:val="00785918"/>
    <w:rsid w:val="00790B83"/>
    <w:rsid w:val="007A097C"/>
    <w:rsid w:val="007A0D40"/>
    <w:rsid w:val="007A19E9"/>
    <w:rsid w:val="007A208A"/>
    <w:rsid w:val="007A3627"/>
    <w:rsid w:val="007A6813"/>
    <w:rsid w:val="007B0FD7"/>
    <w:rsid w:val="007B1705"/>
    <w:rsid w:val="007B1D1F"/>
    <w:rsid w:val="007B20D3"/>
    <w:rsid w:val="007B36E8"/>
    <w:rsid w:val="007B3733"/>
    <w:rsid w:val="007B39B7"/>
    <w:rsid w:val="007B647F"/>
    <w:rsid w:val="007B6D9E"/>
    <w:rsid w:val="007C0CA3"/>
    <w:rsid w:val="007C26B5"/>
    <w:rsid w:val="007C277F"/>
    <w:rsid w:val="007C2840"/>
    <w:rsid w:val="007C377E"/>
    <w:rsid w:val="007C5711"/>
    <w:rsid w:val="007C58D4"/>
    <w:rsid w:val="007C59A1"/>
    <w:rsid w:val="007C728C"/>
    <w:rsid w:val="007D0941"/>
    <w:rsid w:val="007D16C1"/>
    <w:rsid w:val="007D3C28"/>
    <w:rsid w:val="007D3DD0"/>
    <w:rsid w:val="007D5C87"/>
    <w:rsid w:val="007D70E3"/>
    <w:rsid w:val="007E3363"/>
    <w:rsid w:val="007E39BE"/>
    <w:rsid w:val="007F247C"/>
    <w:rsid w:val="007F6781"/>
    <w:rsid w:val="007F6C5F"/>
    <w:rsid w:val="007F7875"/>
    <w:rsid w:val="00801517"/>
    <w:rsid w:val="00802193"/>
    <w:rsid w:val="0080331D"/>
    <w:rsid w:val="00803482"/>
    <w:rsid w:val="00803C9B"/>
    <w:rsid w:val="00810099"/>
    <w:rsid w:val="0081154D"/>
    <w:rsid w:val="00812B58"/>
    <w:rsid w:val="008131EF"/>
    <w:rsid w:val="00813912"/>
    <w:rsid w:val="00817688"/>
    <w:rsid w:val="00821C89"/>
    <w:rsid w:val="00821D4C"/>
    <w:rsid w:val="00822ABF"/>
    <w:rsid w:val="00824394"/>
    <w:rsid w:val="0082486A"/>
    <w:rsid w:val="00824A87"/>
    <w:rsid w:val="00826807"/>
    <w:rsid w:val="00826992"/>
    <w:rsid w:val="008272B9"/>
    <w:rsid w:val="00827C16"/>
    <w:rsid w:val="00831721"/>
    <w:rsid w:val="00832781"/>
    <w:rsid w:val="008328A3"/>
    <w:rsid w:val="00835F6E"/>
    <w:rsid w:val="00836B7B"/>
    <w:rsid w:val="00837048"/>
    <w:rsid w:val="00842134"/>
    <w:rsid w:val="0084665B"/>
    <w:rsid w:val="00847709"/>
    <w:rsid w:val="00850425"/>
    <w:rsid w:val="00850919"/>
    <w:rsid w:val="00850BE1"/>
    <w:rsid w:val="0085158C"/>
    <w:rsid w:val="00854C50"/>
    <w:rsid w:val="008600BD"/>
    <w:rsid w:val="008637C1"/>
    <w:rsid w:val="00863F8B"/>
    <w:rsid w:val="00864D13"/>
    <w:rsid w:val="00865189"/>
    <w:rsid w:val="00865EA5"/>
    <w:rsid w:val="00866383"/>
    <w:rsid w:val="00866EEA"/>
    <w:rsid w:val="008675EC"/>
    <w:rsid w:val="00870D86"/>
    <w:rsid w:val="00871824"/>
    <w:rsid w:val="00872F14"/>
    <w:rsid w:val="008741F1"/>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0735D"/>
    <w:rsid w:val="00910AFE"/>
    <w:rsid w:val="00910C49"/>
    <w:rsid w:val="00911C77"/>
    <w:rsid w:val="0091360C"/>
    <w:rsid w:val="00914DA3"/>
    <w:rsid w:val="009156B2"/>
    <w:rsid w:val="0091791D"/>
    <w:rsid w:val="00920E8C"/>
    <w:rsid w:val="009225B6"/>
    <w:rsid w:val="009227A4"/>
    <w:rsid w:val="00923EFF"/>
    <w:rsid w:val="009267B5"/>
    <w:rsid w:val="0092681A"/>
    <w:rsid w:val="009274DB"/>
    <w:rsid w:val="00927989"/>
    <w:rsid w:val="009279CA"/>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A05"/>
    <w:rsid w:val="00962E5E"/>
    <w:rsid w:val="009661BD"/>
    <w:rsid w:val="00967F26"/>
    <w:rsid w:val="00972165"/>
    <w:rsid w:val="0097258E"/>
    <w:rsid w:val="0097636E"/>
    <w:rsid w:val="00981F0B"/>
    <w:rsid w:val="00984982"/>
    <w:rsid w:val="009856EB"/>
    <w:rsid w:val="0098660E"/>
    <w:rsid w:val="009876E3"/>
    <w:rsid w:val="00990027"/>
    <w:rsid w:val="00992635"/>
    <w:rsid w:val="00995B90"/>
    <w:rsid w:val="00996D93"/>
    <w:rsid w:val="009A45F5"/>
    <w:rsid w:val="009A52E1"/>
    <w:rsid w:val="009A54EE"/>
    <w:rsid w:val="009B04E7"/>
    <w:rsid w:val="009B0CAD"/>
    <w:rsid w:val="009B2C2E"/>
    <w:rsid w:val="009B3A90"/>
    <w:rsid w:val="009B697A"/>
    <w:rsid w:val="009B7FE0"/>
    <w:rsid w:val="009C61AC"/>
    <w:rsid w:val="009C7A43"/>
    <w:rsid w:val="009D0CF1"/>
    <w:rsid w:val="009D1433"/>
    <w:rsid w:val="009D1623"/>
    <w:rsid w:val="009D3D9F"/>
    <w:rsid w:val="009D52E2"/>
    <w:rsid w:val="009D5BDA"/>
    <w:rsid w:val="009D5CD7"/>
    <w:rsid w:val="009D6E0C"/>
    <w:rsid w:val="009D6EE5"/>
    <w:rsid w:val="009D7092"/>
    <w:rsid w:val="009E1613"/>
    <w:rsid w:val="009E3CA9"/>
    <w:rsid w:val="009E4AFF"/>
    <w:rsid w:val="009E4F2A"/>
    <w:rsid w:val="009E66D3"/>
    <w:rsid w:val="009E76CC"/>
    <w:rsid w:val="009F0D46"/>
    <w:rsid w:val="009F0DE7"/>
    <w:rsid w:val="009F1898"/>
    <w:rsid w:val="009F3071"/>
    <w:rsid w:val="009F4312"/>
    <w:rsid w:val="009F4E89"/>
    <w:rsid w:val="00A011C4"/>
    <w:rsid w:val="00A013DA"/>
    <w:rsid w:val="00A049BE"/>
    <w:rsid w:val="00A069A3"/>
    <w:rsid w:val="00A102AD"/>
    <w:rsid w:val="00A11E61"/>
    <w:rsid w:val="00A12A4E"/>
    <w:rsid w:val="00A13044"/>
    <w:rsid w:val="00A138FF"/>
    <w:rsid w:val="00A151ED"/>
    <w:rsid w:val="00A165BD"/>
    <w:rsid w:val="00A213F5"/>
    <w:rsid w:val="00A2393F"/>
    <w:rsid w:val="00A271E5"/>
    <w:rsid w:val="00A27D95"/>
    <w:rsid w:val="00A31590"/>
    <w:rsid w:val="00A35972"/>
    <w:rsid w:val="00A40D16"/>
    <w:rsid w:val="00A4133D"/>
    <w:rsid w:val="00A429BF"/>
    <w:rsid w:val="00A43E50"/>
    <w:rsid w:val="00A4426B"/>
    <w:rsid w:val="00A444F2"/>
    <w:rsid w:val="00A47F0F"/>
    <w:rsid w:val="00A505ED"/>
    <w:rsid w:val="00A50FA8"/>
    <w:rsid w:val="00A54074"/>
    <w:rsid w:val="00A576FA"/>
    <w:rsid w:val="00A60B57"/>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4060"/>
    <w:rsid w:val="00AB749B"/>
    <w:rsid w:val="00AB7CE1"/>
    <w:rsid w:val="00AC12AE"/>
    <w:rsid w:val="00AC3767"/>
    <w:rsid w:val="00AC38E7"/>
    <w:rsid w:val="00AC495F"/>
    <w:rsid w:val="00AC58A3"/>
    <w:rsid w:val="00AC7176"/>
    <w:rsid w:val="00AD27F5"/>
    <w:rsid w:val="00AD31CA"/>
    <w:rsid w:val="00AD3D98"/>
    <w:rsid w:val="00AD407F"/>
    <w:rsid w:val="00AD66B6"/>
    <w:rsid w:val="00AE1AD1"/>
    <w:rsid w:val="00AE1C6A"/>
    <w:rsid w:val="00AE37A4"/>
    <w:rsid w:val="00AE74EE"/>
    <w:rsid w:val="00AE76D9"/>
    <w:rsid w:val="00AF1C67"/>
    <w:rsid w:val="00AF3753"/>
    <w:rsid w:val="00B00C58"/>
    <w:rsid w:val="00B01BDE"/>
    <w:rsid w:val="00B01F03"/>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365BF"/>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4B81"/>
    <w:rsid w:val="00BA71DE"/>
    <w:rsid w:val="00BA798F"/>
    <w:rsid w:val="00BB0484"/>
    <w:rsid w:val="00BB196F"/>
    <w:rsid w:val="00BB491B"/>
    <w:rsid w:val="00BB4EBB"/>
    <w:rsid w:val="00BB711D"/>
    <w:rsid w:val="00BB7B84"/>
    <w:rsid w:val="00BC1622"/>
    <w:rsid w:val="00BC4132"/>
    <w:rsid w:val="00BC5AE5"/>
    <w:rsid w:val="00BC66F7"/>
    <w:rsid w:val="00BD0B83"/>
    <w:rsid w:val="00BD27FF"/>
    <w:rsid w:val="00BD329E"/>
    <w:rsid w:val="00BD748C"/>
    <w:rsid w:val="00BE0DDC"/>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0B23"/>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77095"/>
    <w:rsid w:val="00C773C6"/>
    <w:rsid w:val="00C833B0"/>
    <w:rsid w:val="00C834F2"/>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C7110"/>
    <w:rsid w:val="00CD0E0B"/>
    <w:rsid w:val="00CD127E"/>
    <w:rsid w:val="00CD261A"/>
    <w:rsid w:val="00CD3395"/>
    <w:rsid w:val="00CD5F94"/>
    <w:rsid w:val="00CE00E9"/>
    <w:rsid w:val="00CE13F7"/>
    <w:rsid w:val="00CE1C93"/>
    <w:rsid w:val="00CE3BE8"/>
    <w:rsid w:val="00CE5F8E"/>
    <w:rsid w:val="00CE6134"/>
    <w:rsid w:val="00CF1715"/>
    <w:rsid w:val="00CF3DEF"/>
    <w:rsid w:val="00CF409C"/>
    <w:rsid w:val="00CF5088"/>
    <w:rsid w:val="00CF75B4"/>
    <w:rsid w:val="00CF7F11"/>
    <w:rsid w:val="00D0078F"/>
    <w:rsid w:val="00D016F4"/>
    <w:rsid w:val="00D01BBE"/>
    <w:rsid w:val="00D040DC"/>
    <w:rsid w:val="00D0552B"/>
    <w:rsid w:val="00D05D21"/>
    <w:rsid w:val="00D0686C"/>
    <w:rsid w:val="00D07D94"/>
    <w:rsid w:val="00D07DD8"/>
    <w:rsid w:val="00D07E97"/>
    <w:rsid w:val="00D13A35"/>
    <w:rsid w:val="00D13BFC"/>
    <w:rsid w:val="00D14F9D"/>
    <w:rsid w:val="00D15A21"/>
    <w:rsid w:val="00D16F07"/>
    <w:rsid w:val="00D20661"/>
    <w:rsid w:val="00D2253E"/>
    <w:rsid w:val="00D23733"/>
    <w:rsid w:val="00D23856"/>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89D"/>
    <w:rsid w:val="00D91B5C"/>
    <w:rsid w:val="00D91C9F"/>
    <w:rsid w:val="00D92119"/>
    <w:rsid w:val="00D92B4B"/>
    <w:rsid w:val="00D93191"/>
    <w:rsid w:val="00D93EB7"/>
    <w:rsid w:val="00D9630E"/>
    <w:rsid w:val="00D96B8E"/>
    <w:rsid w:val="00D97317"/>
    <w:rsid w:val="00D9743F"/>
    <w:rsid w:val="00D97FA0"/>
    <w:rsid w:val="00DA050B"/>
    <w:rsid w:val="00DA08DF"/>
    <w:rsid w:val="00DA4932"/>
    <w:rsid w:val="00DA4BD9"/>
    <w:rsid w:val="00DA72ED"/>
    <w:rsid w:val="00DB1159"/>
    <w:rsid w:val="00DB37AC"/>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527D"/>
    <w:rsid w:val="00DF59AD"/>
    <w:rsid w:val="00DF719C"/>
    <w:rsid w:val="00DF7696"/>
    <w:rsid w:val="00E02B93"/>
    <w:rsid w:val="00E03FE1"/>
    <w:rsid w:val="00E05AE9"/>
    <w:rsid w:val="00E06E44"/>
    <w:rsid w:val="00E10910"/>
    <w:rsid w:val="00E1170D"/>
    <w:rsid w:val="00E11A6F"/>
    <w:rsid w:val="00E124E5"/>
    <w:rsid w:val="00E22008"/>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77885"/>
    <w:rsid w:val="00E80F43"/>
    <w:rsid w:val="00E818EC"/>
    <w:rsid w:val="00E81A7A"/>
    <w:rsid w:val="00E82B0D"/>
    <w:rsid w:val="00E833C4"/>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48E"/>
    <w:rsid w:val="00EB1950"/>
    <w:rsid w:val="00EB231F"/>
    <w:rsid w:val="00EB4255"/>
    <w:rsid w:val="00EB4316"/>
    <w:rsid w:val="00EB4F58"/>
    <w:rsid w:val="00EB59F8"/>
    <w:rsid w:val="00EB71B2"/>
    <w:rsid w:val="00EC06BA"/>
    <w:rsid w:val="00EC21DD"/>
    <w:rsid w:val="00EC3A09"/>
    <w:rsid w:val="00EC6FF1"/>
    <w:rsid w:val="00EC778B"/>
    <w:rsid w:val="00ED240E"/>
    <w:rsid w:val="00ED3827"/>
    <w:rsid w:val="00ED42EC"/>
    <w:rsid w:val="00ED5A62"/>
    <w:rsid w:val="00ED6233"/>
    <w:rsid w:val="00EE3635"/>
    <w:rsid w:val="00EE6733"/>
    <w:rsid w:val="00EF0F9B"/>
    <w:rsid w:val="00EF1F4E"/>
    <w:rsid w:val="00EF5671"/>
    <w:rsid w:val="00EF61D8"/>
    <w:rsid w:val="00EF64EB"/>
    <w:rsid w:val="00F0080E"/>
    <w:rsid w:val="00F026C1"/>
    <w:rsid w:val="00F0311C"/>
    <w:rsid w:val="00F03516"/>
    <w:rsid w:val="00F06074"/>
    <w:rsid w:val="00F12172"/>
    <w:rsid w:val="00F1244D"/>
    <w:rsid w:val="00F16739"/>
    <w:rsid w:val="00F2378E"/>
    <w:rsid w:val="00F247F7"/>
    <w:rsid w:val="00F268FA"/>
    <w:rsid w:val="00F30D3E"/>
    <w:rsid w:val="00F33585"/>
    <w:rsid w:val="00F35D72"/>
    <w:rsid w:val="00F40887"/>
    <w:rsid w:val="00F41C82"/>
    <w:rsid w:val="00F4274C"/>
    <w:rsid w:val="00F428B1"/>
    <w:rsid w:val="00F43401"/>
    <w:rsid w:val="00F43E37"/>
    <w:rsid w:val="00F453BA"/>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96CAA"/>
    <w:rsid w:val="00F970A3"/>
    <w:rsid w:val="00FA1581"/>
    <w:rsid w:val="00FA2532"/>
    <w:rsid w:val="00FB3262"/>
    <w:rsid w:val="00FB37DA"/>
    <w:rsid w:val="00FB46E4"/>
    <w:rsid w:val="00FB4AB8"/>
    <w:rsid w:val="00FB5631"/>
    <w:rsid w:val="00FB723D"/>
    <w:rsid w:val="00FC4037"/>
    <w:rsid w:val="00FC4E08"/>
    <w:rsid w:val="00FC60FB"/>
    <w:rsid w:val="00FC7A1C"/>
    <w:rsid w:val="00FD1AFA"/>
    <w:rsid w:val="00FD285C"/>
    <w:rsid w:val="00FD305F"/>
    <w:rsid w:val="00FD32EF"/>
    <w:rsid w:val="00FD4291"/>
    <w:rsid w:val="00FD5A59"/>
    <w:rsid w:val="00FD602F"/>
    <w:rsid w:val="00FD6A9F"/>
    <w:rsid w:val="00FD752E"/>
    <w:rsid w:val="00FE10FC"/>
    <w:rsid w:val="00FE1AD3"/>
    <w:rsid w:val="00FE1C97"/>
    <w:rsid w:val="00FE2137"/>
    <w:rsid w:val="00FE3684"/>
    <w:rsid w:val="00FE58EC"/>
    <w:rsid w:val="00FE6768"/>
    <w:rsid w:val="00FE7B4A"/>
    <w:rsid w:val="00FF15AB"/>
    <w:rsid w:val="00FF1C1E"/>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0">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0">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0"/>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0"/>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uiPriority w:val="34"/>
    <w:qFormat/>
    <w:rsid w:val="00C52770"/>
    <w:pPr>
      <w:ind w:firstLineChars="200" w:firstLine="420"/>
    </w:pPr>
    <w:rPr>
      <w:szCs w:val="24"/>
      <w:lang/>
    </w:rPr>
  </w:style>
  <w:style w:type="character" w:customStyle="1" w:styleId="Char5">
    <w:name w:val="列出段落 Char"/>
    <w:link w:val="ab"/>
    <w:uiPriority w:val="34"/>
    <w:rsid w:val="007825D2"/>
    <w:rPr>
      <w:kern w:val="2"/>
      <w:sz w:val="21"/>
      <w:szCs w:val="24"/>
    </w:rPr>
  </w:style>
  <w:style w:type="paragraph" w:styleId="ac">
    <w:name w:val="Normal (Web)"/>
    <w:basedOn w:val="a"/>
    <w:link w:val="Char6"/>
    <w:uiPriority w:val="99"/>
    <w:qFormat/>
    <w:rsid w:val="00C52770"/>
    <w:pPr>
      <w:widowControl/>
      <w:spacing w:before="100" w:beforeAutospacing="1" w:after="100" w:afterAutospacing="1"/>
      <w:jc w:val="left"/>
    </w:pPr>
    <w:rPr>
      <w:rFonts w:ascii="宋体" w:hAnsi="宋体"/>
      <w:kern w:val="0"/>
      <w:sz w:val="24"/>
      <w:szCs w:val="24"/>
      <w:lang/>
    </w:rPr>
  </w:style>
  <w:style w:type="paragraph" w:customStyle="1" w:styleId="11">
    <w:name w:val="列出段落1"/>
    <w:basedOn w:val="a"/>
    <w:uiPriority w:val="34"/>
    <w:qFormat/>
    <w:rsid w:val="00C52770"/>
    <w:pPr>
      <w:ind w:firstLineChars="200" w:firstLine="420"/>
    </w:pPr>
    <w:rPr>
      <w:rFonts w:ascii="Calibri" w:hAnsi="Calibri"/>
      <w:szCs w:val="22"/>
    </w:rPr>
  </w:style>
  <w:style w:type="paragraph" w:styleId="ad">
    <w:name w:val="endnote text"/>
    <w:basedOn w:val="a"/>
    <w:link w:val="Char7"/>
    <w:rsid w:val="00C52770"/>
    <w:pPr>
      <w:snapToGrid w:val="0"/>
      <w:jc w:val="left"/>
    </w:pPr>
    <w:rPr>
      <w:kern w:val="0"/>
      <w:sz w:val="24"/>
      <w:szCs w:val="24"/>
      <w:lang/>
    </w:rPr>
  </w:style>
  <w:style w:type="character" w:customStyle="1" w:styleId="Char7">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8"/>
    <w:rsid w:val="00C52770"/>
    <w:pPr>
      <w:jc w:val="left"/>
    </w:pPr>
    <w:rPr>
      <w:kern w:val="0"/>
      <w:sz w:val="24"/>
      <w:szCs w:val="24"/>
      <w:lang/>
    </w:rPr>
  </w:style>
  <w:style w:type="character" w:customStyle="1" w:styleId="Char8">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9"/>
    <w:locked/>
    <w:rsid w:val="00501E8E"/>
    <w:pPr>
      <w:suppressAutoHyphens/>
      <w:spacing w:after="120"/>
      <w:jc w:val="both"/>
    </w:pPr>
    <w:rPr>
      <w:rFonts w:ascii="Arial" w:eastAsia="汉仪中等线简" w:hAnsi="Arial"/>
      <w:color w:val="000000"/>
      <w:sz w:val="18"/>
      <w:szCs w:val="18"/>
    </w:rPr>
  </w:style>
  <w:style w:type="character" w:customStyle="1" w:styleId="Char9">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a"/>
    <w:rsid w:val="004F0E96"/>
    <w:pPr>
      <w:spacing w:after="120"/>
    </w:pPr>
    <w:rPr>
      <w:rFonts w:eastAsia="Times New Roman"/>
      <w:szCs w:val="24"/>
      <w:lang w:val="en-US" w:eastAsia="zh-CN"/>
    </w:rPr>
  </w:style>
  <w:style w:type="character" w:customStyle="1" w:styleId="Chara">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1">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1"/>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2">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2"/>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b">
    <w:name w:val="条款 Char"/>
    <w:link w:val="af4"/>
    <w:rsid w:val="004F0E96"/>
    <w:rPr>
      <w:rFonts w:ascii="仿宋_GB2312" w:eastAsia="仿宋_GB2312" w:hAnsi="Calibri"/>
      <w:color w:val="000000"/>
      <w:sz w:val="28"/>
      <w:lang w:bidi="ar-SA"/>
    </w:rPr>
  </w:style>
  <w:style w:type="paragraph" w:customStyle="1" w:styleId="af4">
    <w:name w:val="条款"/>
    <w:basedOn w:val="a"/>
    <w:link w:val="Charb"/>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c"/>
    <w:rsid w:val="004F0E96"/>
    <w:pPr>
      <w:snapToGrid w:val="0"/>
      <w:jc w:val="left"/>
    </w:pPr>
    <w:rPr>
      <w:rFonts w:eastAsia="Times New Roman"/>
      <w:sz w:val="18"/>
      <w:szCs w:val="18"/>
      <w:lang w:val="en-US" w:eastAsia="zh-CN"/>
    </w:rPr>
  </w:style>
  <w:style w:type="character" w:customStyle="1" w:styleId="Charc">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d"/>
    <w:rsid w:val="004F0E96"/>
    <w:rPr>
      <w:b/>
      <w:bCs/>
      <w:kern w:val="2"/>
      <w:sz w:val="21"/>
      <w:lang w:val="en-US" w:eastAsia="zh-CN"/>
    </w:rPr>
  </w:style>
  <w:style w:type="character" w:customStyle="1" w:styleId="Chard">
    <w:name w:val="批注主题 Char"/>
    <w:basedOn w:val="Char8"/>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e"/>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f"/>
    <w:qFormat/>
    <w:rsid w:val="009B2C2E"/>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c"/>
    <w:rsid w:val="009B2C2E"/>
    <w:rPr>
      <w:rFonts w:ascii="Cambria" w:hAnsi="Cambria" w:cs="Times New Roman"/>
      <w:b/>
      <w:bCs/>
      <w:kern w:val="28"/>
      <w:sz w:val="32"/>
      <w:szCs w:val="32"/>
    </w:rPr>
  </w:style>
  <w:style w:type="character" w:customStyle="1" w:styleId="Chare">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
      </w:numPr>
      <w:suppressAutoHyphens/>
    </w:pPr>
    <w:rPr>
      <w:kern w:val="1"/>
      <w:szCs w:val="24"/>
      <w:lang w:eastAsia="ar-SA"/>
    </w:rPr>
  </w:style>
  <w:style w:type="character" w:customStyle="1" w:styleId="Charf0">
    <w:name w:val="语句 Char"/>
    <w:link w:val="afd"/>
    <w:locked/>
    <w:rsid w:val="00371056"/>
    <w:rPr>
      <w:rFonts w:ascii="仿宋_GB2312" w:eastAsia="仿宋_GB2312"/>
      <w:b/>
      <w:i/>
      <w:sz w:val="30"/>
      <w:szCs w:val="30"/>
    </w:rPr>
  </w:style>
  <w:style w:type="paragraph" w:customStyle="1" w:styleId="afd">
    <w:name w:val="语句"/>
    <w:basedOn w:val="a"/>
    <w:link w:val="Charf0"/>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0"/>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3">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1">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4">
    <w:name w:val="正文文本缩进 3 字符"/>
    <w:uiPriority w:val="99"/>
    <w:semiHidden/>
    <w:rsid w:val="00371056"/>
    <w:rPr>
      <w:rFonts w:ascii="Calibri" w:eastAsia="宋体" w:hAnsi="Calibri" w:cs="Times New Roman" w:hint="default"/>
      <w:sz w:val="16"/>
      <w:szCs w:val="16"/>
    </w:rPr>
  </w:style>
  <w:style w:type="character" w:customStyle="1" w:styleId="35">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paragraph" w:customStyle="1" w:styleId="3">
    <w:name w:val="样式3"/>
    <w:basedOn w:val="a"/>
    <w:link w:val="3Char3"/>
    <w:qFormat/>
    <w:rsid w:val="00A31590"/>
    <w:pPr>
      <w:numPr>
        <w:numId w:val="3"/>
      </w:numPr>
    </w:pPr>
    <w:rPr>
      <w:rFonts w:ascii="仿宋_GB2312" w:eastAsia="仿宋_GB2312" w:hAnsi="Calibri"/>
      <w:sz w:val="28"/>
      <w:szCs w:val="28"/>
      <w:lang/>
    </w:rPr>
  </w:style>
  <w:style w:type="paragraph" w:customStyle="1" w:styleId="26">
    <w:name w:val="标题2"/>
    <w:basedOn w:val="a"/>
    <w:link w:val="2Char2"/>
    <w:rsid w:val="00A31590"/>
    <w:pPr>
      <w:spacing w:afterLines="50"/>
      <w:jc w:val="center"/>
    </w:pPr>
    <w:rPr>
      <w:rFonts w:ascii="仿宋_GB2312" w:eastAsia="仿宋_GB2312" w:hAnsi="Calibri"/>
      <w:sz w:val="28"/>
      <w:szCs w:val="28"/>
      <w:lang/>
    </w:rPr>
  </w:style>
  <w:style w:type="character" w:customStyle="1" w:styleId="2Char2">
    <w:name w:val="标题2 Char"/>
    <w:link w:val="26"/>
    <w:locked/>
    <w:rsid w:val="00A31590"/>
    <w:rPr>
      <w:rFonts w:ascii="仿宋_GB2312" w:eastAsia="仿宋_GB2312" w:hAnsi="Calibri"/>
      <w:kern w:val="2"/>
      <w:sz w:val="28"/>
      <w:szCs w:val="28"/>
      <w:lang/>
    </w:rPr>
  </w:style>
  <w:style w:type="character" w:customStyle="1" w:styleId="3Char3">
    <w:name w:val="样式3 Char"/>
    <w:link w:val="3"/>
    <w:locked/>
    <w:rsid w:val="00A31590"/>
    <w:rPr>
      <w:rFonts w:ascii="仿宋_GB2312" w:eastAsia="仿宋_GB2312" w:hAnsi="Calibri"/>
      <w:kern w:val="2"/>
      <w:sz w:val="28"/>
      <w:szCs w:val="28"/>
      <w:lang/>
    </w:rPr>
  </w:style>
  <w:style w:type="character" w:customStyle="1" w:styleId="Char6">
    <w:name w:val="普通(网站) Char"/>
    <w:link w:val="ac"/>
    <w:uiPriority w:val="99"/>
    <w:locked/>
    <w:rsid w:val="004603C4"/>
    <w:rPr>
      <w:rFonts w:ascii="宋体" w:hAnsi="宋体" w:cs="宋体"/>
      <w:sz w:val="24"/>
      <w:szCs w:val="24"/>
    </w:rPr>
  </w:style>
  <w:style w:type="character" w:customStyle="1" w:styleId="font01">
    <w:name w:val="font01"/>
    <w:basedOn w:val="a0"/>
    <w:qFormat/>
    <w:rsid w:val="003801AA"/>
    <w:rPr>
      <w:rFonts w:ascii="font-weight : 400" w:eastAsia="font-weight : 400" w:hAnsi="font-weight : 400" w:cs="font-weight : 400"/>
      <w:color w:val="000000"/>
      <w:sz w:val="22"/>
      <w:szCs w:val="22"/>
      <w:u w:val="none"/>
    </w:rPr>
  </w:style>
  <w:style w:type="character" w:customStyle="1" w:styleId="font11">
    <w:name w:val="font11"/>
    <w:basedOn w:val="a0"/>
    <w:qFormat/>
    <w:rsid w:val="003801AA"/>
    <w:rPr>
      <w:rFonts w:ascii="宋体" w:eastAsia="宋体" w:hAnsi="宋体" w:cs="宋体" w:hint="eastAsia"/>
      <w:color w:val="FF0000"/>
      <w:sz w:val="22"/>
      <w:szCs w:val="22"/>
      <w:u w:val="none"/>
    </w:rPr>
  </w:style>
  <w:style w:type="character" w:customStyle="1" w:styleId="font21">
    <w:name w:val="font21"/>
    <w:basedOn w:val="a0"/>
    <w:qFormat/>
    <w:rsid w:val="003801AA"/>
    <w:rPr>
      <w:rFonts w:ascii="宋体" w:eastAsia="宋体" w:hAnsi="宋体" w:cs="宋体" w:hint="eastAsia"/>
      <w:color w:val="000000"/>
      <w:sz w:val="22"/>
      <w:szCs w:val="22"/>
      <w:u w:val="none"/>
    </w:rPr>
  </w:style>
  <w:style w:type="paragraph" w:customStyle="1" w:styleId="6">
    <w:name w:val="样式6"/>
    <w:basedOn w:val="a"/>
    <w:qFormat/>
    <w:rsid w:val="00AB4060"/>
    <w:pPr>
      <w:keepNext/>
      <w:keepLines/>
      <w:numPr>
        <w:numId w:val="6"/>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character" w:customStyle="1" w:styleId="affa">
    <w:name w:val="普通(网站) 字符"/>
    <w:uiPriority w:val="99"/>
    <w:qFormat/>
    <w:rsid w:val="00D9189D"/>
    <w:rPr>
      <w:rFonts w:ascii="宋体" w:hAnsi="宋体" w:cs="宋体"/>
      <w:sz w:val="24"/>
      <w:szCs w:val="24"/>
    </w:rPr>
  </w:style>
  <w:style w:type="paragraph" w:customStyle="1" w:styleId="110">
    <w:name w:val="列出段落11"/>
    <w:basedOn w:val="a"/>
    <w:uiPriority w:val="99"/>
    <w:qFormat/>
    <w:rsid w:val="00D9189D"/>
    <w:pPr>
      <w:ind w:firstLineChars="200" w:firstLine="420"/>
    </w:pPr>
    <w:rPr>
      <w:rFonts w:ascii="Calibri" w:hAnsi="Calibri"/>
      <w:szCs w:val="22"/>
    </w:rPr>
  </w:style>
  <w:style w:type="paragraph" w:customStyle="1" w:styleId="affb">
    <w:basedOn w:val="a"/>
    <w:next w:val="ab"/>
    <w:uiPriority w:val="99"/>
    <w:qFormat/>
    <w:rsid w:val="00D9189D"/>
    <w:pPr>
      <w:ind w:firstLineChars="200" w:firstLine="420"/>
    </w:pPr>
    <w:rPr>
      <w:rFonts w:ascii="Calibri" w:hAnsi="Calibri"/>
      <w:szCs w:val="22"/>
      <w:lang/>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08356683">
      <w:bodyDiv w:val="1"/>
      <w:marLeft w:val="0"/>
      <w:marRight w:val="0"/>
      <w:marTop w:val="0"/>
      <w:marBottom w:val="0"/>
      <w:divBdr>
        <w:top w:val="none" w:sz="0" w:space="0" w:color="auto"/>
        <w:left w:val="none" w:sz="0" w:space="0" w:color="auto"/>
        <w:bottom w:val="none" w:sz="0" w:space="0" w:color="auto"/>
        <w:right w:val="none" w:sz="0" w:space="0" w:color="auto"/>
      </w:divBdr>
    </w:div>
    <w:div w:id="661859726">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368094993">
      <w:bodyDiv w:val="1"/>
      <w:marLeft w:val="0"/>
      <w:marRight w:val="0"/>
      <w:marTop w:val="0"/>
      <w:marBottom w:val="0"/>
      <w:divBdr>
        <w:top w:val="none" w:sz="0" w:space="0" w:color="auto"/>
        <w:left w:val="none" w:sz="0" w:space="0" w:color="auto"/>
        <w:bottom w:val="none" w:sz="0" w:space="0" w:color="auto"/>
        <w:right w:val="none" w:sz="0" w:space="0" w:color="auto"/>
      </w:divBdr>
    </w:div>
    <w:div w:id="1584298168">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134E5-4E3D-4CD3-9476-308BE25D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2019-03-19T08:35:00Z</cp:lastPrinted>
  <dcterms:created xsi:type="dcterms:W3CDTF">2019-06-14T08:01:00Z</dcterms:created>
  <dcterms:modified xsi:type="dcterms:W3CDTF">2019-06-14T08:01:00Z</dcterms:modified>
</cp:coreProperties>
</file>