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Ansi="宋体" w:cs="楷体"/>
          <w:b/>
          <w:color w:val="000000"/>
          <w:kern w:val="0"/>
          <w:sz w:val="28"/>
          <w:szCs w:val="28"/>
        </w:rPr>
      </w:pPr>
      <w:bookmarkStart w:id="0" w:name="_GoBack"/>
      <w:bookmarkEnd w:id="0"/>
      <w:r>
        <w:rPr>
          <w:rFonts w:hint="eastAsia" w:hAnsi="宋体" w:cs="楷体"/>
          <w:b/>
          <w:color w:val="000000"/>
          <w:kern w:val="0"/>
          <w:sz w:val="28"/>
          <w:szCs w:val="28"/>
        </w:rPr>
        <w:t>西藏东方财富证券股份有限公司</w:t>
      </w:r>
    </w:p>
    <w:p>
      <w:pPr>
        <w:autoSpaceDE w:val="0"/>
        <w:autoSpaceDN w:val="0"/>
        <w:adjustRightInd w:val="0"/>
        <w:jc w:val="center"/>
        <w:rPr>
          <w:rFonts w:hint="eastAsia" w:hAnsi="宋体" w:cs="楷体"/>
          <w:b/>
          <w:color w:val="000000"/>
          <w:kern w:val="0"/>
          <w:sz w:val="28"/>
          <w:szCs w:val="28"/>
        </w:rPr>
      </w:pPr>
      <w:r>
        <w:rPr>
          <w:rFonts w:hint="eastAsia" w:hAnsi="宋体" w:cs="楷体"/>
          <w:b/>
          <w:color w:val="000000"/>
          <w:kern w:val="0"/>
          <w:sz w:val="28"/>
          <w:szCs w:val="28"/>
        </w:rPr>
        <w:t>上海证券交易所港股通交易风险揭示书</w:t>
      </w:r>
    </w:p>
    <w:p>
      <w:pPr>
        <w:spacing w:line="360" w:lineRule="auto"/>
        <w:jc w:val="left"/>
        <w:rPr>
          <w:rFonts w:hint="eastAsia" w:hAnsi="宋体" w:cs="楷体"/>
          <w:b/>
          <w:color w:val="000000"/>
          <w:kern w:val="0"/>
          <w:sz w:val="28"/>
          <w:szCs w:val="28"/>
        </w:rPr>
      </w:pPr>
      <w:r>
        <w:rPr>
          <w:rFonts w:hint="eastAsia" w:ascii="宋体" w:hAnsi="宋体" w:cs="楷体"/>
          <w:sz w:val="28"/>
          <w:szCs w:val="28"/>
        </w:rPr>
        <w:t>尊敬的投资者：</w:t>
      </w:r>
    </w:p>
    <w:p>
      <w:pPr>
        <w:ind w:firstLine="560" w:firstLineChars="200"/>
        <w:rPr>
          <w:rFonts w:hint="eastAsia" w:hAnsi="宋体" w:cs="楷体"/>
          <w:sz w:val="28"/>
          <w:szCs w:val="28"/>
        </w:rPr>
      </w:pPr>
      <w:r>
        <w:rPr>
          <w:rFonts w:hint="eastAsia" w:hAnsi="宋体" w:cs="楷体"/>
          <w:sz w:val="28"/>
          <w:szCs w:val="28"/>
        </w:rPr>
        <w:t>为了</w:t>
      </w:r>
      <w:r>
        <w:rPr>
          <w:rFonts w:hint="eastAsia" w:hAnsi="宋体" w:cs="楷体"/>
          <w:sz w:val="28"/>
          <w:szCs w:val="28"/>
          <w:lang w:eastAsia="zh-CN"/>
        </w:rPr>
        <w:t>您</w:t>
      </w:r>
      <w:r>
        <w:rPr>
          <w:rFonts w:hint="eastAsia" w:hAnsi="宋体" w:cs="楷体"/>
          <w:sz w:val="28"/>
          <w:szCs w:val="28"/>
        </w:rPr>
        <w:t>充分了解港股通业务相关风险， 我司根据相关业务规则，特制定《西藏东方财富证券股份有限公司上海证券交易所港股通交易风险揭示书》（以下简称《风险揭示书》），相关内容如下：</w:t>
      </w:r>
    </w:p>
    <w:p>
      <w:pPr>
        <w:ind w:firstLine="560" w:firstLineChars="200"/>
        <w:rPr>
          <w:rFonts w:hint="eastAsia" w:hAnsi="宋体" w:cs="楷体"/>
          <w:sz w:val="28"/>
          <w:szCs w:val="28"/>
        </w:rPr>
      </w:pPr>
      <w:r>
        <w:rPr>
          <w:rFonts w:hint="eastAsia" w:hAnsi="宋体" w:cs="楷体"/>
          <w:sz w:val="28"/>
          <w:szCs w:val="28"/>
          <w:lang w:val="en-US" w:eastAsia="zh-CN"/>
        </w:rPr>
        <w:t>一、投资者应注意，香港证券市场与内地证券市场存在诸</w:t>
      </w:r>
      <w:r>
        <w:rPr>
          <w:rFonts w:hint="default" w:hAnsi="宋体" w:cs="楷体"/>
          <w:sz w:val="28"/>
          <w:szCs w:val="28"/>
          <w:lang w:val="en-US" w:eastAsia="zh-CN"/>
        </w:rPr>
        <w:t xml:space="preserve">多差异，投资者参与港股通交易需遵守内地与香港相关法律、行政法规、部门规章、规范性文件和业务规则，对香港证券市场有所了解；通过港股通参与香港证券市场交易与通过其他方式参与香港证券市场交易，也存在一定的差异。 </w:t>
      </w:r>
    </w:p>
    <w:p>
      <w:pPr>
        <w:ind w:firstLine="560" w:firstLineChars="200"/>
        <w:rPr>
          <w:rFonts w:hint="eastAsia" w:hAnsi="宋体" w:cs="楷体"/>
          <w:sz w:val="28"/>
          <w:szCs w:val="28"/>
        </w:rPr>
      </w:pPr>
      <w:r>
        <w:rPr>
          <w:rFonts w:hint="default" w:hAnsi="宋体" w:cs="楷体"/>
          <w:sz w:val="28"/>
          <w:szCs w:val="28"/>
          <w:lang w:val="en-US" w:eastAsia="zh-CN"/>
        </w:rPr>
        <w:t>二、投资者</w:t>
      </w:r>
      <w:r>
        <w:rPr>
          <w:rFonts w:hint="eastAsia" w:hAnsi="宋体" w:cs="楷体"/>
          <w:sz w:val="28"/>
          <w:szCs w:val="28"/>
          <w:lang w:val="en-US" w:eastAsia="zh-CN"/>
        </w:rPr>
        <w:t>应</w:t>
      </w:r>
      <w:r>
        <w:rPr>
          <w:rFonts w:hint="default" w:hAnsi="宋体" w:cs="楷体"/>
          <w:sz w:val="28"/>
          <w:szCs w:val="28"/>
          <w:lang w:val="en-US" w:eastAsia="zh-CN"/>
        </w:rPr>
        <w:t xml:space="preserve">注意，投资者可以通过港股通买卖的股票存在一定的范围限制，且港股通股票名单会动态调整。投资者应当关注最新的港股通股票名单。对于被调出的港股通股票，自调整之日起，投资者将不得再行买入。 </w:t>
      </w:r>
    </w:p>
    <w:p>
      <w:pPr>
        <w:ind w:firstLine="560" w:firstLineChars="200"/>
        <w:rPr>
          <w:rFonts w:hint="eastAsia" w:hAnsi="宋体" w:cs="楷体"/>
          <w:sz w:val="28"/>
          <w:szCs w:val="28"/>
        </w:rPr>
      </w:pPr>
      <w:r>
        <w:rPr>
          <w:rFonts w:hint="default" w:hAnsi="宋体" w:cs="楷体"/>
          <w:sz w:val="28"/>
          <w:szCs w:val="28"/>
          <w:lang w:val="en-US" w:eastAsia="zh-CN"/>
        </w:rPr>
        <w:t>三、投资者</w:t>
      </w:r>
      <w:r>
        <w:rPr>
          <w:rFonts w:hint="eastAsia" w:hAnsi="宋体" w:cs="楷体"/>
          <w:sz w:val="28"/>
          <w:szCs w:val="28"/>
          <w:lang w:val="en-US" w:eastAsia="zh-CN"/>
        </w:rPr>
        <w:t>应</w:t>
      </w:r>
      <w:r>
        <w:rPr>
          <w:rFonts w:hint="default" w:hAnsi="宋体" w:cs="楷体"/>
          <w:sz w:val="28"/>
          <w:szCs w:val="28"/>
          <w:lang w:val="en-US" w:eastAsia="zh-CN"/>
        </w:rPr>
        <w:t xml:space="preserve">注意，港股通股票可能出现因公司基本面变化、第三方研究分析报告的观点、异常交易情形、做空机制等原因而引起股价较大波动的情形，尤其是考虑到香港联合交易所有限公司（以下简称联交所）市场交易不设置涨跌幅限制，投资者应关注可能产生的风险。 </w:t>
      </w:r>
    </w:p>
    <w:p>
      <w:pPr>
        <w:ind w:firstLine="560" w:firstLineChars="200"/>
        <w:rPr>
          <w:rFonts w:hint="eastAsia" w:hAnsi="宋体" w:cs="楷体"/>
          <w:sz w:val="28"/>
          <w:szCs w:val="28"/>
        </w:rPr>
      </w:pPr>
      <w:r>
        <w:rPr>
          <w:rFonts w:hint="default" w:hAnsi="宋体" w:cs="楷体"/>
          <w:sz w:val="28"/>
          <w:szCs w:val="28"/>
          <w:lang w:val="en-US" w:eastAsia="zh-CN"/>
        </w:rPr>
        <w:t>四、</w:t>
      </w:r>
      <w:r>
        <w:rPr>
          <w:rFonts w:hint="eastAsia" w:hAnsi="宋体" w:cs="楷体"/>
          <w:sz w:val="28"/>
          <w:szCs w:val="28"/>
          <w:lang w:val="en-US" w:eastAsia="zh-CN"/>
        </w:rPr>
        <w:t>投资者应注意</w:t>
      </w:r>
      <w:r>
        <w:rPr>
          <w:rFonts w:hint="default" w:hAnsi="宋体" w:cs="楷体"/>
          <w:sz w:val="28"/>
          <w:szCs w:val="28"/>
          <w:lang w:val="en-US" w:eastAsia="zh-CN"/>
        </w:rPr>
        <w:t xml:space="preserve">，部分港股通股票可能存在大比例折价供股或配股、频繁分拆合并股份的行为，投资者持有的股份数量、股票面值可能发生大幅变化，投资者应关注可能产生的风险。 </w:t>
      </w:r>
    </w:p>
    <w:p>
      <w:pPr>
        <w:ind w:firstLine="560" w:firstLineChars="200"/>
        <w:rPr>
          <w:rFonts w:hint="default" w:hAnsi="宋体" w:cs="楷体"/>
          <w:sz w:val="28"/>
          <w:szCs w:val="28"/>
          <w:lang w:val="en-US" w:eastAsia="zh-CN"/>
        </w:rPr>
      </w:pPr>
      <w:r>
        <w:rPr>
          <w:rFonts w:hint="default" w:hAnsi="宋体" w:cs="楷体"/>
          <w:sz w:val="28"/>
          <w:szCs w:val="28"/>
          <w:lang w:val="en-US" w:eastAsia="zh-CN"/>
        </w:rPr>
        <w:t>五、</w:t>
      </w:r>
      <w:r>
        <w:rPr>
          <w:rFonts w:hint="eastAsia" w:hAnsi="宋体" w:cs="楷体"/>
          <w:sz w:val="28"/>
          <w:szCs w:val="28"/>
          <w:lang w:val="en-US" w:eastAsia="zh-CN"/>
        </w:rPr>
        <w:t>投资者应注意</w:t>
      </w:r>
      <w:r>
        <w:rPr>
          <w:rFonts w:hint="default" w:hAnsi="宋体" w:cs="楷体"/>
          <w:sz w:val="28"/>
          <w:szCs w:val="28"/>
          <w:lang w:val="en-US" w:eastAsia="zh-CN"/>
        </w:rPr>
        <w:t>，部分港股通上市公司存在不同投票权安排，公司可能因存在控制权相对集中，或因某特定类别股份拥有的投票权利大于或优于普通股份拥有的投票权利等情形，而使普通投资者的投票权利及对公司日常经营等事务的影响力受到限制，投资者应当关注可能产生的风险。</w:t>
      </w:r>
    </w:p>
    <w:p>
      <w:pPr>
        <w:ind w:firstLine="560" w:firstLineChars="200"/>
        <w:rPr>
          <w:rFonts w:hint="eastAsia" w:hAnsi="宋体" w:cs="楷体"/>
          <w:sz w:val="28"/>
          <w:szCs w:val="28"/>
        </w:rPr>
      </w:pPr>
      <w:r>
        <w:rPr>
          <w:rFonts w:hint="default" w:hAnsi="宋体" w:cs="楷体"/>
          <w:sz w:val="28"/>
          <w:szCs w:val="28"/>
          <w:lang w:val="en-US" w:eastAsia="zh-CN"/>
        </w:rPr>
        <w:t>六、</w:t>
      </w:r>
      <w:r>
        <w:rPr>
          <w:rFonts w:hint="eastAsia" w:hAnsi="宋体" w:cs="楷体"/>
          <w:sz w:val="28"/>
          <w:szCs w:val="28"/>
          <w:lang w:val="en-US" w:eastAsia="zh-CN"/>
        </w:rPr>
        <w:t>投资者应注意</w:t>
      </w:r>
      <w:r>
        <w:rPr>
          <w:rFonts w:hint="default" w:hAnsi="宋体" w:cs="楷体"/>
          <w:sz w:val="28"/>
          <w:szCs w:val="28"/>
          <w:lang w:val="en-US" w:eastAsia="zh-CN"/>
        </w:rPr>
        <w:t xml:space="preserve">，与内地证券市场相比，联交所市场股票停牌制度存在一定差异，港股通股票可能出现长时间停牌现象，投资者应关注可能产生的风险。 </w:t>
      </w:r>
    </w:p>
    <w:p>
      <w:pPr>
        <w:ind w:firstLine="560" w:firstLineChars="200"/>
        <w:rPr>
          <w:rFonts w:hint="eastAsia" w:hAnsi="宋体" w:cs="楷体"/>
          <w:sz w:val="28"/>
          <w:szCs w:val="28"/>
        </w:rPr>
      </w:pPr>
      <w:r>
        <w:rPr>
          <w:rFonts w:hint="default" w:hAnsi="宋体" w:cs="楷体"/>
          <w:sz w:val="28"/>
          <w:szCs w:val="28"/>
          <w:lang w:val="en-US" w:eastAsia="zh-CN"/>
        </w:rPr>
        <w:t>七、</w:t>
      </w:r>
      <w:r>
        <w:rPr>
          <w:rFonts w:hint="eastAsia" w:hAnsi="宋体" w:cs="楷体"/>
          <w:sz w:val="28"/>
          <w:szCs w:val="28"/>
          <w:lang w:val="en-US" w:eastAsia="zh-CN"/>
        </w:rPr>
        <w:t>投资者应注意</w:t>
      </w:r>
      <w:r>
        <w:rPr>
          <w:rFonts w:hint="default" w:hAnsi="宋体" w:cs="楷体"/>
          <w:sz w:val="28"/>
          <w:szCs w:val="28"/>
          <w:lang w:val="en-US" w:eastAsia="zh-CN"/>
        </w:rPr>
        <w:t xml:space="preserve">，与内地证券市场相比，联交所市场股票交易没有退市风险警示、退市整理等安排，相关股票存在直接退市的风险。港股通股票一旦从联交所市场退市，投资者将面临无法继续通过港股通买卖相关股票的风险。 </w:t>
      </w:r>
    </w:p>
    <w:p>
      <w:pPr>
        <w:ind w:firstLine="560" w:firstLineChars="200"/>
        <w:rPr>
          <w:rFonts w:hint="eastAsia" w:hAnsi="宋体" w:cs="楷体"/>
          <w:sz w:val="28"/>
          <w:szCs w:val="28"/>
        </w:rPr>
      </w:pPr>
      <w:r>
        <w:rPr>
          <w:rFonts w:hint="default" w:hAnsi="宋体" w:cs="楷体"/>
          <w:sz w:val="28"/>
          <w:szCs w:val="28"/>
          <w:lang w:val="en-US" w:eastAsia="zh-CN"/>
        </w:rPr>
        <w:t>八、</w:t>
      </w:r>
      <w:r>
        <w:rPr>
          <w:rFonts w:hint="eastAsia" w:hAnsi="宋体" w:cs="楷体"/>
          <w:sz w:val="28"/>
          <w:szCs w:val="28"/>
          <w:lang w:val="en-US" w:eastAsia="zh-CN"/>
        </w:rPr>
        <w:t>投资者应注意</w:t>
      </w:r>
      <w:r>
        <w:rPr>
          <w:rFonts w:hint="default" w:hAnsi="宋体" w:cs="楷体"/>
          <w:sz w:val="28"/>
          <w:szCs w:val="28"/>
          <w:lang w:val="en-US" w:eastAsia="zh-CN"/>
        </w:rPr>
        <w:t xml:space="preserve">，港股通股票退市后，中国证券登记结算有限责任公司（以下简称中国结算）通过香港中央结算有限公司（以下简称香港结算）继续为投资者提供的退市股票名义持有人服务可能会受限，投资者应当关注可能产生的风险。 </w:t>
      </w:r>
    </w:p>
    <w:p>
      <w:pPr>
        <w:ind w:firstLine="560" w:firstLineChars="200"/>
        <w:rPr>
          <w:rFonts w:hint="eastAsia" w:hAnsi="宋体" w:cs="楷体"/>
          <w:sz w:val="28"/>
          <w:szCs w:val="28"/>
        </w:rPr>
      </w:pPr>
      <w:r>
        <w:rPr>
          <w:rFonts w:hint="default" w:hAnsi="宋体" w:cs="楷体"/>
          <w:sz w:val="28"/>
          <w:szCs w:val="28"/>
          <w:lang w:val="en-US" w:eastAsia="zh-CN"/>
        </w:rPr>
        <w:t>九、</w:t>
      </w:r>
      <w:r>
        <w:rPr>
          <w:rFonts w:hint="eastAsia" w:hAnsi="宋体" w:cs="楷体"/>
          <w:sz w:val="28"/>
          <w:szCs w:val="28"/>
          <w:lang w:val="en-US" w:eastAsia="zh-CN"/>
        </w:rPr>
        <w:t>投资者应注意</w:t>
      </w:r>
      <w:r>
        <w:rPr>
          <w:rFonts w:hint="default" w:hAnsi="宋体" w:cs="楷体"/>
          <w:sz w:val="28"/>
          <w:szCs w:val="28"/>
          <w:lang w:val="en-US" w:eastAsia="zh-CN"/>
        </w:rPr>
        <w:t xml:space="preserve">，港股通业务实施每日额度限制。在联交所开市前时段，当日额度使用完毕的，新增的买单申报将面临失败的风险；在联交所持续交易时段、收市竞价交易时段，当日额度使用完毕的，当日投资者将面临不能通过港股通进行买入交易的风险。 </w:t>
      </w:r>
    </w:p>
    <w:p>
      <w:pPr>
        <w:ind w:firstLine="560" w:firstLineChars="200"/>
        <w:rPr>
          <w:rFonts w:hint="eastAsia" w:hAnsi="宋体" w:cs="楷体"/>
          <w:sz w:val="28"/>
          <w:szCs w:val="28"/>
        </w:rPr>
      </w:pPr>
      <w:r>
        <w:rPr>
          <w:rFonts w:hint="default" w:hAnsi="宋体" w:cs="楷体"/>
          <w:sz w:val="28"/>
          <w:szCs w:val="28"/>
          <w:lang w:val="en-US" w:eastAsia="zh-CN"/>
        </w:rPr>
        <w:t>十、</w:t>
      </w:r>
      <w:r>
        <w:rPr>
          <w:rFonts w:hint="eastAsia" w:hAnsi="宋体" w:cs="楷体"/>
          <w:sz w:val="28"/>
          <w:szCs w:val="28"/>
          <w:lang w:val="en-US" w:eastAsia="zh-CN"/>
        </w:rPr>
        <w:t>投资者应注意</w:t>
      </w:r>
      <w:r>
        <w:rPr>
          <w:rFonts w:hint="default" w:hAnsi="宋体" w:cs="楷体"/>
          <w:sz w:val="28"/>
          <w:szCs w:val="28"/>
          <w:lang w:val="en-US" w:eastAsia="zh-CN"/>
        </w:rPr>
        <w:t xml:space="preserve">，只有沪港两地均为交易日且能够满足结算安排的交易日才为港股通交易日，具体以上海证券交易所（以下简称上交所）证券交易服务公司在其指定网站公布的日期为准。 </w:t>
      </w:r>
    </w:p>
    <w:p>
      <w:pPr>
        <w:ind w:firstLine="560" w:firstLineChars="200"/>
        <w:rPr>
          <w:rFonts w:hint="default" w:hAnsi="宋体" w:cs="楷体"/>
          <w:sz w:val="28"/>
          <w:szCs w:val="28"/>
          <w:lang w:val="en-US" w:eastAsia="zh-CN"/>
        </w:rPr>
      </w:pPr>
      <w:r>
        <w:rPr>
          <w:rFonts w:hint="default" w:hAnsi="宋体" w:cs="楷体"/>
          <w:sz w:val="28"/>
          <w:szCs w:val="28"/>
          <w:lang w:val="en-US" w:eastAsia="zh-CN"/>
        </w:rPr>
        <w:t>十一、</w:t>
      </w:r>
      <w:r>
        <w:rPr>
          <w:rFonts w:hint="eastAsia" w:hAnsi="宋体" w:cs="楷体"/>
          <w:sz w:val="28"/>
          <w:szCs w:val="28"/>
          <w:lang w:val="en-US" w:eastAsia="zh-CN"/>
        </w:rPr>
        <w:t>投资者应注意</w:t>
      </w:r>
      <w:r>
        <w:rPr>
          <w:rFonts w:hint="default" w:hAnsi="宋体" w:cs="楷体"/>
          <w:sz w:val="28"/>
          <w:szCs w:val="28"/>
          <w:lang w:val="en-US" w:eastAsia="zh-CN"/>
        </w:rPr>
        <w:t xml:space="preserve">，每个港股通交易日的交易时间包括开市前时段、持续交易时段和收市竞价交易时段，具体按联交所的规定执行。 </w:t>
      </w:r>
    </w:p>
    <w:p>
      <w:pPr>
        <w:ind w:firstLine="560" w:firstLineChars="200"/>
        <w:rPr>
          <w:rFonts w:hint="eastAsia" w:hAnsi="宋体" w:cs="楷体"/>
          <w:sz w:val="28"/>
          <w:szCs w:val="28"/>
        </w:rPr>
      </w:pPr>
      <w:r>
        <w:rPr>
          <w:rFonts w:hint="default" w:hAnsi="宋体" w:cs="楷体"/>
          <w:sz w:val="28"/>
          <w:szCs w:val="28"/>
          <w:lang w:val="en-US" w:eastAsia="zh-CN"/>
        </w:rPr>
        <w:t xml:space="preserve">圣诞前夕（12 月 24 日）、元旦前夕（12 月 31 日）或除夕日为港股通交易日的，港股通仅有半天交易，且当日为非交收日。 </w:t>
      </w:r>
    </w:p>
    <w:p>
      <w:pPr>
        <w:ind w:firstLine="560" w:firstLineChars="200"/>
        <w:rPr>
          <w:rFonts w:hint="eastAsia" w:hAnsi="宋体" w:cs="楷体"/>
          <w:sz w:val="28"/>
          <w:szCs w:val="28"/>
        </w:rPr>
      </w:pPr>
      <w:r>
        <w:rPr>
          <w:rFonts w:hint="default" w:hAnsi="宋体" w:cs="楷体"/>
          <w:sz w:val="28"/>
          <w:szCs w:val="28"/>
          <w:lang w:val="en-US" w:eastAsia="zh-CN"/>
        </w:rPr>
        <w:t>十二、</w:t>
      </w:r>
      <w:r>
        <w:rPr>
          <w:rFonts w:hint="eastAsia" w:hAnsi="宋体" w:cs="楷体"/>
          <w:sz w:val="28"/>
          <w:szCs w:val="28"/>
          <w:lang w:val="en-US" w:eastAsia="zh-CN"/>
        </w:rPr>
        <w:t>投资者应注意</w:t>
      </w:r>
      <w:r>
        <w:rPr>
          <w:rFonts w:hint="default" w:hAnsi="宋体" w:cs="楷体"/>
          <w:sz w:val="28"/>
          <w:szCs w:val="28"/>
          <w:lang w:val="en-US" w:eastAsia="zh-CN"/>
        </w:rPr>
        <w:t xml:space="preserve">，香港出现台风、黑色暴雨或者联交所规定的其他情形时，联交所将可能停市，投资者将面临在停市期间无法进行港股通交易的风险；出现上交所证券交易服务公司认定的交易异常情况时，上交所证券交易服务公司将可能暂停提供部分或者全部港股通服务，投资者将面临在暂停服务期间无法进行港股通交易的风险。上交所证券交易服务公司及上交所对于发生交易异常情况及采取相应处置措施造成的损失，不承担责任。 </w:t>
      </w:r>
    </w:p>
    <w:p>
      <w:pPr>
        <w:ind w:firstLine="560" w:firstLineChars="200"/>
        <w:rPr>
          <w:rFonts w:hint="eastAsia" w:hAnsi="宋体" w:cs="楷体"/>
          <w:sz w:val="28"/>
          <w:szCs w:val="28"/>
        </w:rPr>
      </w:pPr>
      <w:r>
        <w:rPr>
          <w:rFonts w:hint="default" w:hAnsi="宋体" w:cs="楷体"/>
          <w:sz w:val="28"/>
          <w:szCs w:val="28"/>
          <w:lang w:val="en-US" w:eastAsia="zh-CN"/>
        </w:rPr>
        <w:t>十三、</w:t>
      </w:r>
      <w:r>
        <w:rPr>
          <w:rFonts w:hint="eastAsia" w:hAnsi="宋体" w:cs="楷体"/>
          <w:sz w:val="28"/>
          <w:szCs w:val="28"/>
          <w:lang w:val="en-US" w:eastAsia="zh-CN"/>
        </w:rPr>
        <w:t>投资者应注意</w:t>
      </w:r>
      <w:r>
        <w:rPr>
          <w:rFonts w:hint="default" w:hAnsi="宋体" w:cs="楷体"/>
          <w:sz w:val="28"/>
          <w:szCs w:val="28"/>
          <w:lang w:val="en-US" w:eastAsia="zh-CN"/>
        </w:rPr>
        <w:t xml:space="preserve">，投资者在交易时间内提交订单依据的港币买入参考汇率和卖出参考汇率，并不等于最终结算汇率。港股通交易日日终，中国结算上海分公司进行净额换汇，将换汇成本按成交金额分摊至每笔交易，确定交易实际适用的结算汇率。 </w:t>
      </w:r>
    </w:p>
    <w:p>
      <w:pPr>
        <w:ind w:firstLine="560" w:firstLineChars="200"/>
        <w:rPr>
          <w:rFonts w:hint="eastAsia" w:hAnsi="宋体" w:cs="楷体"/>
          <w:sz w:val="28"/>
          <w:szCs w:val="28"/>
        </w:rPr>
      </w:pPr>
      <w:r>
        <w:rPr>
          <w:rFonts w:hint="default" w:hAnsi="宋体" w:cs="楷体"/>
          <w:sz w:val="28"/>
          <w:szCs w:val="28"/>
          <w:lang w:val="en-US" w:eastAsia="zh-CN"/>
        </w:rPr>
        <w:t>十四、</w:t>
      </w:r>
      <w:r>
        <w:rPr>
          <w:rFonts w:hint="eastAsia" w:hAnsi="宋体" w:cs="楷体"/>
          <w:sz w:val="28"/>
          <w:szCs w:val="28"/>
          <w:lang w:val="en-US" w:eastAsia="zh-CN"/>
        </w:rPr>
        <w:t>投资者应注意</w:t>
      </w:r>
      <w:r>
        <w:rPr>
          <w:rFonts w:hint="default" w:hAnsi="宋体" w:cs="楷体"/>
          <w:sz w:val="28"/>
          <w:szCs w:val="28"/>
          <w:lang w:val="en-US" w:eastAsia="zh-CN"/>
        </w:rPr>
        <w:t>，投资者参与联交所自动对盘系统交易</w:t>
      </w:r>
      <w:r>
        <w:rPr>
          <w:rFonts w:hint="eastAsia" w:hAnsi="宋体" w:cs="楷体"/>
          <w:sz w:val="28"/>
          <w:szCs w:val="28"/>
          <w:lang w:val="en-US" w:eastAsia="zh-CN"/>
        </w:rPr>
        <w:t>，</w:t>
      </w:r>
      <w:r>
        <w:rPr>
          <w:rFonts w:hint="default" w:hAnsi="宋体" w:cs="楷体"/>
          <w:sz w:val="28"/>
          <w:szCs w:val="28"/>
          <w:lang w:val="en-US" w:eastAsia="zh-CN"/>
        </w:rPr>
        <w:t xml:space="preserve">在联交所开市前时段和收市竞价交易时段应当采用竞价限价盘委托，在联交所持续交易时段应当采用增强限价盘委托。 </w:t>
      </w:r>
    </w:p>
    <w:p>
      <w:pPr>
        <w:ind w:firstLine="560" w:firstLineChars="200"/>
        <w:rPr>
          <w:rFonts w:hint="eastAsia" w:hAnsi="宋体" w:cs="楷体"/>
          <w:sz w:val="28"/>
          <w:szCs w:val="28"/>
        </w:rPr>
      </w:pPr>
      <w:r>
        <w:rPr>
          <w:rFonts w:hint="default" w:hAnsi="宋体" w:cs="楷体"/>
          <w:sz w:val="28"/>
          <w:szCs w:val="28"/>
          <w:lang w:val="en-US" w:eastAsia="zh-CN"/>
        </w:rPr>
        <w:t>十五、</w:t>
      </w:r>
      <w:r>
        <w:rPr>
          <w:rFonts w:hint="eastAsia" w:hAnsi="宋体" w:cs="楷体"/>
          <w:sz w:val="28"/>
          <w:szCs w:val="28"/>
          <w:lang w:val="en-US" w:eastAsia="zh-CN"/>
        </w:rPr>
        <w:t>投资者应注意</w:t>
      </w:r>
      <w:r>
        <w:rPr>
          <w:rFonts w:hint="default" w:hAnsi="宋体" w:cs="楷体"/>
          <w:sz w:val="28"/>
          <w:szCs w:val="28"/>
          <w:lang w:val="en-US" w:eastAsia="zh-CN"/>
        </w:rPr>
        <w:t xml:space="preserve">，投资者持有的碎股只能通过联交所半自动对盘碎股交易系统卖出。 </w:t>
      </w:r>
    </w:p>
    <w:p>
      <w:pPr>
        <w:ind w:firstLine="560" w:firstLineChars="200"/>
        <w:rPr>
          <w:rFonts w:hint="eastAsia" w:hAnsi="宋体" w:cs="楷体"/>
          <w:sz w:val="28"/>
          <w:szCs w:val="28"/>
        </w:rPr>
      </w:pPr>
      <w:r>
        <w:rPr>
          <w:rFonts w:hint="default" w:hAnsi="宋体" w:cs="楷体"/>
          <w:sz w:val="28"/>
          <w:szCs w:val="28"/>
          <w:lang w:val="en-US" w:eastAsia="zh-CN"/>
        </w:rPr>
        <w:t>十六、</w:t>
      </w:r>
      <w:r>
        <w:rPr>
          <w:rFonts w:hint="eastAsia" w:hAnsi="宋体" w:cs="楷体"/>
          <w:sz w:val="28"/>
          <w:szCs w:val="28"/>
          <w:lang w:val="en-US" w:eastAsia="zh-CN"/>
        </w:rPr>
        <w:t>投资者应注意</w:t>
      </w:r>
      <w:r>
        <w:rPr>
          <w:rFonts w:hint="default" w:hAnsi="宋体" w:cs="楷体"/>
          <w:sz w:val="28"/>
          <w:szCs w:val="28"/>
          <w:lang w:val="en-US" w:eastAsia="zh-CN"/>
        </w:rPr>
        <w:t xml:space="preserve">，港股通股票实施股份分拆合并期间，港股通投资者持有的该股票只在临时代码单柜交易末日、临时代码与新代码并行交易末日由临时代码转换为新代码。由于临时代码与原代码交易单位不同而可能产生碎股，投资者应关注可能产生的风险。 </w:t>
      </w:r>
    </w:p>
    <w:p>
      <w:pPr>
        <w:ind w:firstLine="560" w:firstLineChars="200"/>
        <w:rPr>
          <w:rFonts w:hint="eastAsia" w:hAnsi="宋体" w:cs="楷体"/>
          <w:sz w:val="28"/>
          <w:szCs w:val="28"/>
        </w:rPr>
      </w:pPr>
      <w:r>
        <w:rPr>
          <w:rFonts w:hint="default" w:hAnsi="宋体" w:cs="楷体"/>
          <w:sz w:val="28"/>
          <w:szCs w:val="28"/>
          <w:lang w:val="en-US" w:eastAsia="zh-CN"/>
        </w:rPr>
        <w:t>十七、</w:t>
      </w:r>
      <w:r>
        <w:rPr>
          <w:rFonts w:hint="eastAsia" w:hAnsi="宋体" w:cs="楷体"/>
          <w:sz w:val="28"/>
          <w:szCs w:val="28"/>
          <w:lang w:val="en-US" w:eastAsia="zh-CN"/>
        </w:rPr>
        <w:t>投资者应注意</w:t>
      </w:r>
      <w:r>
        <w:rPr>
          <w:rFonts w:hint="default" w:hAnsi="宋体" w:cs="楷体"/>
          <w:sz w:val="28"/>
          <w:szCs w:val="28"/>
          <w:lang w:val="en-US" w:eastAsia="zh-CN"/>
        </w:rPr>
        <w:t xml:space="preserve">，港股通股票变更交易单位时，在实施原代码和临时代码并行交易期间，根据有关港股通股票在境内的登记结算安排，港股通业务仅提供原代码的交易服务，暂不提供临时代码交易服务。由于临时代码与原代码交易单位不同而可能产生碎股，投资者应关注可能产生的风险。 </w:t>
      </w:r>
    </w:p>
    <w:p>
      <w:pPr>
        <w:ind w:firstLine="560" w:firstLineChars="200"/>
        <w:rPr>
          <w:rFonts w:hint="eastAsia" w:hAnsi="宋体" w:cs="楷体"/>
          <w:sz w:val="28"/>
          <w:szCs w:val="28"/>
        </w:rPr>
      </w:pPr>
      <w:r>
        <w:rPr>
          <w:rFonts w:hint="default" w:hAnsi="宋体" w:cs="楷体"/>
          <w:sz w:val="28"/>
          <w:szCs w:val="28"/>
          <w:lang w:val="en-US" w:eastAsia="zh-CN"/>
        </w:rPr>
        <w:t>十八、</w:t>
      </w:r>
      <w:r>
        <w:rPr>
          <w:rFonts w:hint="eastAsia" w:hAnsi="宋体" w:cs="楷体"/>
          <w:sz w:val="28"/>
          <w:szCs w:val="28"/>
          <w:lang w:val="en-US" w:eastAsia="zh-CN"/>
        </w:rPr>
        <w:t>投资者应注意</w:t>
      </w:r>
      <w:r>
        <w:rPr>
          <w:rFonts w:hint="default" w:hAnsi="宋体" w:cs="楷体"/>
          <w:sz w:val="28"/>
          <w:szCs w:val="28"/>
          <w:lang w:val="en-US" w:eastAsia="zh-CN"/>
        </w:rPr>
        <w:t xml:space="preserve">，投资者当日买入的港股通股票，经确认成交后，在交收前即可卖出，投资者应当关注因此可能产生的风险。 </w:t>
      </w:r>
    </w:p>
    <w:p>
      <w:pPr>
        <w:ind w:firstLine="560" w:firstLineChars="200"/>
        <w:rPr>
          <w:rFonts w:hint="eastAsia" w:hAnsi="宋体" w:cs="楷体"/>
          <w:sz w:val="28"/>
          <w:szCs w:val="28"/>
        </w:rPr>
      </w:pPr>
      <w:r>
        <w:rPr>
          <w:rFonts w:hint="default" w:hAnsi="宋体" w:cs="楷体"/>
          <w:sz w:val="28"/>
          <w:szCs w:val="28"/>
          <w:lang w:val="en-US" w:eastAsia="zh-CN"/>
        </w:rPr>
        <w:t>十九、</w:t>
      </w:r>
      <w:r>
        <w:rPr>
          <w:rFonts w:hint="eastAsia" w:hAnsi="宋体" w:cs="楷体"/>
          <w:sz w:val="28"/>
          <w:szCs w:val="28"/>
          <w:lang w:val="en-US" w:eastAsia="zh-CN"/>
        </w:rPr>
        <w:t>投资者应注意</w:t>
      </w:r>
      <w:r>
        <w:rPr>
          <w:rFonts w:hint="default" w:hAnsi="宋体" w:cs="楷体"/>
          <w:sz w:val="28"/>
          <w:szCs w:val="28"/>
          <w:lang w:val="en-US" w:eastAsia="zh-CN"/>
        </w:rPr>
        <w:t xml:space="preserve">，与内地证券市场相比，联交所在订单申报的最小交易价差、每手股数、申报最大限制等方面存在一定的差异，投资者应当关注因此可能产生的风险。 </w:t>
      </w:r>
    </w:p>
    <w:p>
      <w:pPr>
        <w:ind w:firstLine="560" w:firstLineChars="200"/>
        <w:rPr>
          <w:rFonts w:hint="eastAsia" w:hAnsi="宋体" w:cs="楷体"/>
          <w:sz w:val="28"/>
          <w:szCs w:val="28"/>
        </w:rPr>
      </w:pPr>
      <w:r>
        <w:rPr>
          <w:rFonts w:hint="default" w:hAnsi="宋体" w:cs="楷体"/>
          <w:sz w:val="28"/>
          <w:szCs w:val="28"/>
          <w:lang w:val="en-US" w:eastAsia="zh-CN"/>
        </w:rPr>
        <w:t>二十、</w:t>
      </w:r>
      <w:r>
        <w:rPr>
          <w:rFonts w:hint="eastAsia" w:hAnsi="宋体" w:cs="楷体"/>
          <w:sz w:val="28"/>
          <w:szCs w:val="28"/>
          <w:lang w:val="en-US" w:eastAsia="zh-CN"/>
        </w:rPr>
        <w:t>投资者应注意</w:t>
      </w:r>
      <w:r>
        <w:rPr>
          <w:rFonts w:hint="default" w:hAnsi="宋体" w:cs="楷体"/>
          <w:sz w:val="28"/>
          <w:szCs w:val="28"/>
          <w:lang w:val="en-US" w:eastAsia="zh-CN"/>
        </w:rPr>
        <w:t xml:space="preserve">，港股通交易中若联交所与上交所证券交易服务公司之间的报盘系统或者通信链路出现故障，可能导致 15 分钟以上不能申报和撤销申报，投资者应当关注因此可能产生的风险。 </w:t>
      </w:r>
    </w:p>
    <w:p>
      <w:pPr>
        <w:ind w:firstLine="560" w:firstLineChars="200"/>
        <w:rPr>
          <w:rFonts w:hint="eastAsia" w:hAnsi="宋体" w:cs="楷体"/>
          <w:sz w:val="28"/>
          <w:szCs w:val="28"/>
        </w:rPr>
      </w:pPr>
      <w:r>
        <w:rPr>
          <w:rFonts w:hint="default" w:hAnsi="宋体" w:cs="楷体"/>
          <w:sz w:val="28"/>
          <w:szCs w:val="28"/>
          <w:lang w:val="en-US" w:eastAsia="zh-CN"/>
        </w:rPr>
        <w:t>二十一、</w:t>
      </w:r>
      <w:r>
        <w:rPr>
          <w:rFonts w:hint="eastAsia" w:hAnsi="宋体" w:cs="楷体"/>
          <w:sz w:val="28"/>
          <w:szCs w:val="28"/>
          <w:lang w:val="en-US" w:eastAsia="zh-CN"/>
        </w:rPr>
        <w:t>投资者应注意</w:t>
      </w:r>
      <w:r>
        <w:rPr>
          <w:rFonts w:hint="default" w:hAnsi="宋体" w:cs="楷体"/>
          <w:sz w:val="28"/>
          <w:szCs w:val="28"/>
          <w:lang w:val="en-US" w:eastAsia="zh-CN"/>
        </w:rPr>
        <w:t xml:space="preserve">，港股通股票交易不设置涨跌幅限制，但根据联交所业务规则，适用市场波动调节机制的港股通股票的买卖申报可能受到价格限制，投资者应当关注因此可能产生的风险。 </w:t>
      </w:r>
    </w:p>
    <w:p>
      <w:pPr>
        <w:ind w:firstLine="560" w:firstLineChars="200"/>
        <w:rPr>
          <w:rFonts w:hint="eastAsia" w:hAnsi="宋体" w:cs="楷体"/>
          <w:sz w:val="28"/>
          <w:szCs w:val="28"/>
        </w:rPr>
      </w:pPr>
      <w:r>
        <w:rPr>
          <w:rFonts w:hint="default" w:hAnsi="宋体" w:cs="楷体"/>
          <w:sz w:val="28"/>
          <w:szCs w:val="28"/>
          <w:lang w:val="en-US" w:eastAsia="zh-CN"/>
        </w:rPr>
        <w:t>二十二、</w:t>
      </w:r>
      <w:r>
        <w:rPr>
          <w:rFonts w:hint="eastAsia" w:hAnsi="宋体" w:cs="楷体"/>
          <w:sz w:val="28"/>
          <w:szCs w:val="28"/>
          <w:lang w:val="en-US" w:eastAsia="zh-CN"/>
        </w:rPr>
        <w:t>投资者应注意</w:t>
      </w:r>
      <w:r>
        <w:rPr>
          <w:rFonts w:hint="default" w:hAnsi="宋体" w:cs="楷体"/>
          <w:sz w:val="28"/>
          <w:szCs w:val="28"/>
          <w:lang w:val="en-US" w:eastAsia="zh-CN"/>
        </w:rPr>
        <w:t xml:space="preserve">，对于适用收市竞价交易的港股通股票，根据联交所业务规则，收市竞价交易时段的买卖申报将受到价格限制，投资者应当关注因此可能产生的风险。 </w:t>
      </w:r>
    </w:p>
    <w:p>
      <w:pPr>
        <w:ind w:firstLine="560" w:firstLineChars="200"/>
        <w:rPr>
          <w:rFonts w:hint="eastAsia" w:hAnsi="宋体" w:cs="楷体"/>
          <w:sz w:val="28"/>
          <w:szCs w:val="28"/>
        </w:rPr>
      </w:pPr>
      <w:r>
        <w:rPr>
          <w:rFonts w:hint="default" w:hAnsi="宋体" w:cs="楷体"/>
          <w:sz w:val="28"/>
          <w:szCs w:val="28"/>
          <w:lang w:val="en-US" w:eastAsia="zh-CN"/>
        </w:rPr>
        <w:t>二十三、</w:t>
      </w:r>
      <w:r>
        <w:rPr>
          <w:rFonts w:hint="eastAsia" w:hAnsi="宋体" w:cs="楷体"/>
          <w:sz w:val="28"/>
          <w:szCs w:val="28"/>
          <w:lang w:val="en-US" w:eastAsia="zh-CN"/>
        </w:rPr>
        <w:t>投资者应注意</w:t>
      </w:r>
      <w:r>
        <w:rPr>
          <w:rFonts w:hint="default" w:hAnsi="宋体" w:cs="楷体"/>
          <w:sz w:val="28"/>
          <w:szCs w:val="28"/>
          <w:lang w:val="en-US" w:eastAsia="zh-CN"/>
        </w:rPr>
        <w:t xml:space="preserve">，投资者通过港股通业务获得的香港证券市场免费一档行情，与付费方式获得的行情相比，在刷新频率、档位显示等方面存在差异，投资者应当关注依此进行投资决策的风险。 </w:t>
      </w:r>
    </w:p>
    <w:p>
      <w:pPr>
        <w:ind w:firstLine="560" w:firstLineChars="200"/>
        <w:rPr>
          <w:rFonts w:hint="eastAsia" w:hAnsi="宋体" w:cs="楷体"/>
          <w:sz w:val="28"/>
          <w:szCs w:val="28"/>
        </w:rPr>
      </w:pPr>
      <w:r>
        <w:rPr>
          <w:rFonts w:hint="default" w:hAnsi="宋体" w:cs="楷体"/>
          <w:sz w:val="28"/>
          <w:szCs w:val="28"/>
          <w:lang w:val="en-US" w:eastAsia="zh-CN"/>
        </w:rPr>
        <w:t>二十四、</w:t>
      </w:r>
      <w:r>
        <w:rPr>
          <w:rFonts w:hint="eastAsia" w:hAnsi="宋体" w:cs="楷体"/>
          <w:sz w:val="28"/>
          <w:szCs w:val="28"/>
          <w:lang w:val="en-US" w:eastAsia="zh-CN"/>
        </w:rPr>
        <w:t>投资者应注意</w:t>
      </w:r>
      <w:r>
        <w:rPr>
          <w:rFonts w:hint="default" w:hAnsi="宋体" w:cs="楷体"/>
          <w:sz w:val="28"/>
          <w:szCs w:val="28"/>
          <w:lang w:val="en-US" w:eastAsia="zh-CN"/>
        </w:rPr>
        <w:t>，在香港证券市场，股票价格上涨时，股票报价屏幕上显示的颜色为绿色，下跌时则为红色，与内地证券市场存在差异。但是，不同的行情软件商提供的行情走势颜色可以重新设定，投资者在使用行情软件的时候，应当仔细检查软件的参数设置</w:t>
      </w:r>
      <w:r>
        <w:rPr>
          <w:rFonts w:hint="eastAsia" w:hAnsi="宋体" w:cs="楷体"/>
          <w:sz w:val="28"/>
          <w:szCs w:val="28"/>
          <w:lang w:val="en-US" w:eastAsia="zh-CN"/>
        </w:rPr>
        <w:t>，</w:t>
      </w:r>
      <w:r>
        <w:rPr>
          <w:rFonts w:hint="default" w:hAnsi="宋体" w:cs="楷体"/>
          <w:sz w:val="28"/>
          <w:szCs w:val="28"/>
          <w:lang w:val="en-US" w:eastAsia="zh-CN"/>
        </w:rPr>
        <w:t xml:space="preserve">避免惯性思维带来的风险。 </w:t>
      </w:r>
    </w:p>
    <w:p>
      <w:pPr>
        <w:ind w:firstLine="560" w:firstLineChars="200"/>
        <w:rPr>
          <w:rFonts w:hint="eastAsia" w:hAnsi="宋体" w:cs="楷体"/>
          <w:sz w:val="28"/>
          <w:szCs w:val="28"/>
        </w:rPr>
      </w:pPr>
      <w:r>
        <w:rPr>
          <w:rFonts w:hint="default" w:hAnsi="宋体" w:cs="楷体"/>
          <w:sz w:val="28"/>
          <w:szCs w:val="28"/>
          <w:lang w:val="en-US" w:eastAsia="zh-CN"/>
        </w:rPr>
        <w:t>二十五、</w:t>
      </w:r>
      <w:r>
        <w:rPr>
          <w:rFonts w:hint="eastAsia" w:hAnsi="宋体" w:cs="楷体"/>
          <w:sz w:val="28"/>
          <w:szCs w:val="28"/>
          <w:lang w:val="en-US" w:eastAsia="zh-CN"/>
        </w:rPr>
        <w:t>投资者应注意</w:t>
      </w:r>
      <w:r>
        <w:rPr>
          <w:rFonts w:hint="default" w:hAnsi="宋体" w:cs="楷体"/>
          <w:sz w:val="28"/>
          <w:szCs w:val="28"/>
          <w:lang w:val="en-US" w:eastAsia="zh-CN"/>
        </w:rPr>
        <w:t xml:space="preserve">，投资者因港股通股票权益分派、 转换、上市公司被收购等情形或者异常情况，所取得的港股通股票以外的联交所上市证券，只能通过港股通卖出，但不得买入，上交所另有规定的除外；因港股通股票权益分派或者转换等情形取得的联交所上市股票的认购权利在联交所上市的，可以通过港股通卖出，但不得买入，也不得行权；因港股通股票权益分派、转换或者上市公司被收购等所取得的非联交所上市证券，可以享有相关权益，但不得通过港股通买入或卖出。 </w:t>
      </w:r>
    </w:p>
    <w:p>
      <w:pPr>
        <w:ind w:firstLine="560" w:firstLineChars="200"/>
        <w:rPr>
          <w:rFonts w:hint="eastAsia" w:hAnsi="宋体" w:cs="楷体"/>
          <w:sz w:val="28"/>
          <w:szCs w:val="28"/>
        </w:rPr>
      </w:pPr>
      <w:r>
        <w:rPr>
          <w:rFonts w:hint="default" w:hAnsi="宋体" w:cs="楷体"/>
          <w:sz w:val="28"/>
          <w:szCs w:val="28"/>
          <w:lang w:val="en-US" w:eastAsia="zh-CN"/>
        </w:rPr>
        <w:t>二十六、</w:t>
      </w:r>
      <w:r>
        <w:rPr>
          <w:rFonts w:hint="eastAsia" w:hAnsi="宋体" w:cs="楷体"/>
          <w:sz w:val="28"/>
          <w:szCs w:val="28"/>
          <w:lang w:val="en-US" w:eastAsia="zh-CN"/>
        </w:rPr>
        <w:t>投资者应注意</w:t>
      </w:r>
      <w:r>
        <w:rPr>
          <w:rFonts w:hint="default" w:hAnsi="宋体" w:cs="楷体"/>
          <w:sz w:val="28"/>
          <w:szCs w:val="28"/>
          <w:lang w:val="en-US" w:eastAsia="zh-CN"/>
        </w:rPr>
        <w:t xml:space="preserve">，香港证券市场与内地证券市场在证券资金的交收期安排上存在差异，港股通交易的交收期为 T+2日。若投资者卖出证券，在交收完成前仍享有该证券的权益。若投资者买入证券，在交收完成后才享有该证券的权益。同时，港股通交易的交收可能因香港出现台风或黑色暴雨等发生延迟交收。 </w:t>
      </w:r>
    </w:p>
    <w:p>
      <w:pPr>
        <w:ind w:firstLine="560" w:firstLineChars="200"/>
        <w:rPr>
          <w:rFonts w:hint="eastAsia" w:hAnsi="宋体" w:cs="楷体"/>
          <w:sz w:val="28"/>
          <w:szCs w:val="28"/>
        </w:rPr>
      </w:pPr>
      <w:r>
        <w:rPr>
          <w:rFonts w:hint="default" w:hAnsi="宋体" w:cs="楷体"/>
          <w:sz w:val="28"/>
          <w:szCs w:val="28"/>
          <w:lang w:val="en-US" w:eastAsia="zh-CN"/>
        </w:rPr>
        <w:t>二十七、</w:t>
      </w:r>
      <w:r>
        <w:rPr>
          <w:rFonts w:hint="eastAsia" w:hAnsi="宋体" w:cs="楷体"/>
          <w:sz w:val="28"/>
          <w:szCs w:val="28"/>
          <w:lang w:val="en-US" w:eastAsia="zh-CN"/>
        </w:rPr>
        <w:t>投资者应注意</w:t>
      </w:r>
      <w:r>
        <w:rPr>
          <w:rFonts w:hint="default" w:hAnsi="宋体" w:cs="楷体"/>
          <w:sz w:val="28"/>
          <w:szCs w:val="28"/>
          <w:lang w:val="en-US" w:eastAsia="zh-CN"/>
        </w:rPr>
        <w:t xml:space="preserve">，投资者通过港股通业务暂不能参与新股发行认购、超额供股和超额公开配售。 </w:t>
      </w:r>
    </w:p>
    <w:p>
      <w:pPr>
        <w:ind w:firstLine="560" w:firstLineChars="200"/>
        <w:rPr>
          <w:rFonts w:hint="eastAsia" w:hAnsi="宋体" w:cs="楷体"/>
          <w:sz w:val="28"/>
          <w:szCs w:val="28"/>
        </w:rPr>
      </w:pPr>
      <w:r>
        <w:rPr>
          <w:rFonts w:hint="default" w:hAnsi="宋体" w:cs="楷体"/>
          <w:sz w:val="28"/>
          <w:szCs w:val="28"/>
          <w:lang w:val="en-US" w:eastAsia="zh-CN"/>
        </w:rPr>
        <w:t>二十八、</w:t>
      </w:r>
      <w:r>
        <w:rPr>
          <w:rFonts w:hint="eastAsia" w:hAnsi="宋体" w:cs="楷体"/>
          <w:sz w:val="28"/>
          <w:szCs w:val="28"/>
          <w:lang w:val="en-US" w:eastAsia="zh-CN"/>
        </w:rPr>
        <w:t>投资者应注意</w:t>
      </w:r>
      <w:r>
        <w:rPr>
          <w:rFonts w:hint="default" w:hAnsi="宋体" w:cs="楷体"/>
          <w:sz w:val="28"/>
          <w:szCs w:val="28"/>
          <w:lang w:val="en-US" w:eastAsia="zh-CN"/>
        </w:rPr>
        <w:t xml:space="preserve">，对于在联交所上市公司派发的现金红利，由于中国结算需要在收到香港结算派发的外币红利资金后进行换汇、清算、发放等业务处理，投资者通过港股通业务获得的现金红利将会较香港市场有所延后。 </w:t>
      </w:r>
    </w:p>
    <w:p>
      <w:pPr>
        <w:ind w:firstLine="560" w:firstLineChars="200"/>
        <w:rPr>
          <w:rFonts w:hint="eastAsia" w:hAnsi="宋体" w:cs="楷体"/>
          <w:sz w:val="28"/>
          <w:szCs w:val="28"/>
        </w:rPr>
      </w:pPr>
      <w:r>
        <w:rPr>
          <w:rFonts w:hint="default" w:hAnsi="宋体" w:cs="楷体"/>
          <w:sz w:val="28"/>
          <w:szCs w:val="28"/>
          <w:lang w:val="en-US" w:eastAsia="zh-CN"/>
        </w:rPr>
        <w:t>二十九、</w:t>
      </w:r>
      <w:r>
        <w:rPr>
          <w:rFonts w:hint="eastAsia" w:hAnsi="宋体" w:cs="楷体"/>
          <w:sz w:val="28"/>
          <w:szCs w:val="28"/>
          <w:lang w:val="en-US" w:eastAsia="zh-CN"/>
        </w:rPr>
        <w:t>投资者应注意</w:t>
      </w:r>
      <w:r>
        <w:rPr>
          <w:rFonts w:hint="default" w:hAnsi="宋体" w:cs="楷体"/>
          <w:sz w:val="28"/>
          <w:szCs w:val="28"/>
          <w:lang w:val="en-US" w:eastAsia="zh-CN"/>
        </w:rPr>
        <w:t xml:space="preserve">，对于在联交所上市公司派发的红股，中国结算在收到香港结算派发红股到账当日或次日进行业务处理，相应红股可于处理日下一港股通交易日上市交易。投资者红股可卖首日均较香港市场晚一个港股通交易日。 </w:t>
      </w:r>
    </w:p>
    <w:p>
      <w:pPr>
        <w:ind w:firstLine="560" w:firstLineChars="200"/>
        <w:rPr>
          <w:rFonts w:hint="eastAsia" w:hAnsi="宋体" w:cs="楷体"/>
          <w:sz w:val="28"/>
          <w:szCs w:val="28"/>
        </w:rPr>
      </w:pPr>
      <w:r>
        <w:rPr>
          <w:rFonts w:hint="default" w:hAnsi="宋体" w:cs="楷体"/>
          <w:sz w:val="28"/>
          <w:szCs w:val="28"/>
          <w:lang w:val="en-US" w:eastAsia="zh-CN"/>
        </w:rPr>
        <w:t>三十、</w:t>
      </w:r>
      <w:r>
        <w:rPr>
          <w:rFonts w:hint="eastAsia" w:hAnsi="宋体" w:cs="楷体"/>
          <w:sz w:val="28"/>
          <w:szCs w:val="28"/>
          <w:lang w:val="en-US" w:eastAsia="zh-CN"/>
        </w:rPr>
        <w:t>投资者应注意</w:t>
      </w:r>
      <w:r>
        <w:rPr>
          <w:rFonts w:hint="default" w:hAnsi="宋体" w:cs="楷体"/>
          <w:sz w:val="28"/>
          <w:szCs w:val="28"/>
          <w:lang w:val="en-US" w:eastAsia="zh-CN"/>
        </w:rPr>
        <w:t xml:space="preserve">，由于中国结算是在汇总投资者意愿后再向香港结算提交投票意愿，中国结算对投资者设定的意愿征集期比香港结算的征集期稍早结束；投票没有权益登记日的，以投票截止日的持有作为计算基准；投票数量超出持有数量的，按照比例分配持有基数。 </w:t>
      </w:r>
    </w:p>
    <w:p>
      <w:pPr>
        <w:ind w:firstLine="560" w:firstLineChars="200"/>
        <w:rPr>
          <w:rFonts w:hint="eastAsia" w:hAnsi="宋体" w:cs="楷体"/>
          <w:sz w:val="28"/>
          <w:szCs w:val="28"/>
        </w:rPr>
      </w:pPr>
      <w:r>
        <w:rPr>
          <w:rFonts w:hint="default" w:hAnsi="宋体" w:cs="楷体"/>
          <w:sz w:val="28"/>
          <w:szCs w:val="28"/>
          <w:lang w:val="en-US" w:eastAsia="zh-CN"/>
        </w:rPr>
        <w:t>三十一、</w:t>
      </w:r>
      <w:r>
        <w:rPr>
          <w:rFonts w:hint="eastAsia" w:hAnsi="宋体" w:cs="楷体"/>
          <w:sz w:val="28"/>
          <w:szCs w:val="28"/>
          <w:lang w:val="en-US" w:eastAsia="zh-CN"/>
        </w:rPr>
        <w:t>投资者应注意</w:t>
      </w:r>
      <w:r>
        <w:rPr>
          <w:rFonts w:hint="default" w:hAnsi="宋体" w:cs="楷体"/>
          <w:sz w:val="28"/>
          <w:szCs w:val="28"/>
          <w:lang w:val="en-US" w:eastAsia="zh-CN"/>
        </w:rPr>
        <w:t xml:space="preserve">，对于在联交所上市公司派发的红股以及股份分拆及合并业务产生的零碎股，中国结算对投资者账户中小于 1 股的零碎股进行舍尾处理。当香港结算发放的红股总数或分拆、合并股票数额大于投资者账户舍尾取整后的总数的，中国结算按照精确算法分配差额部分。 </w:t>
      </w:r>
    </w:p>
    <w:p>
      <w:pPr>
        <w:ind w:firstLine="560" w:firstLineChars="200"/>
        <w:rPr>
          <w:rFonts w:hint="eastAsia" w:hAnsi="宋体" w:cs="楷体"/>
          <w:sz w:val="28"/>
          <w:szCs w:val="28"/>
        </w:rPr>
      </w:pPr>
      <w:r>
        <w:rPr>
          <w:rFonts w:hint="default" w:hAnsi="宋体" w:cs="楷体"/>
          <w:sz w:val="28"/>
          <w:szCs w:val="28"/>
          <w:lang w:val="en-US" w:eastAsia="zh-CN"/>
        </w:rPr>
        <w:t>三十二、</w:t>
      </w:r>
      <w:r>
        <w:rPr>
          <w:rFonts w:hint="eastAsia" w:hAnsi="宋体" w:cs="楷体"/>
          <w:sz w:val="28"/>
          <w:szCs w:val="28"/>
          <w:lang w:val="en-US" w:eastAsia="zh-CN"/>
        </w:rPr>
        <w:t>投资者应注意</w:t>
      </w:r>
      <w:r>
        <w:rPr>
          <w:rFonts w:hint="default" w:hAnsi="宋体" w:cs="楷体"/>
          <w:sz w:val="28"/>
          <w:szCs w:val="28"/>
          <w:lang w:val="en-US" w:eastAsia="zh-CN"/>
        </w:rPr>
        <w:t xml:space="preserve">，由于香港市场的费用收取或汇率的大幅波动等原因，可能会引起投资者账户的透支，投资者应当对账户内的余额进行关注。 </w:t>
      </w:r>
    </w:p>
    <w:p>
      <w:pPr>
        <w:ind w:firstLine="560" w:firstLineChars="200"/>
        <w:rPr>
          <w:rFonts w:hint="eastAsia" w:hAnsi="宋体" w:cs="楷体"/>
          <w:sz w:val="28"/>
          <w:szCs w:val="28"/>
        </w:rPr>
      </w:pPr>
      <w:r>
        <w:rPr>
          <w:rFonts w:hint="default" w:hAnsi="宋体" w:cs="楷体"/>
          <w:sz w:val="28"/>
          <w:szCs w:val="28"/>
          <w:lang w:val="en-US" w:eastAsia="zh-CN"/>
        </w:rPr>
        <w:t>三十三、</w:t>
      </w:r>
      <w:r>
        <w:rPr>
          <w:rFonts w:hint="eastAsia" w:hAnsi="宋体" w:cs="楷体"/>
          <w:sz w:val="28"/>
          <w:szCs w:val="28"/>
          <w:lang w:val="en-US" w:eastAsia="zh-CN"/>
        </w:rPr>
        <w:t>投资者应注意</w:t>
      </w:r>
      <w:r>
        <w:rPr>
          <w:rFonts w:hint="default" w:hAnsi="宋体" w:cs="楷体"/>
          <w:sz w:val="28"/>
          <w:szCs w:val="28"/>
          <w:lang w:val="en-US" w:eastAsia="zh-CN"/>
        </w:rPr>
        <w:t xml:space="preserve">，香港结算因极端情况下无法交付证券对中国结算实施现金结算的，中国结算将参照香港结算的处理原则进行相应业务处理。 </w:t>
      </w:r>
    </w:p>
    <w:p>
      <w:pPr>
        <w:ind w:firstLine="560" w:firstLineChars="200"/>
        <w:rPr>
          <w:rFonts w:hint="eastAsia" w:hAnsi="宋体" w:cs="楷体"/>
          <w:sz w:val="28"/>
          <w:szCs w:val="28"/>
        </w:rPr>
      </w:pPr>
      <w:r>
        <w:rPr>
          <w:rFonts w:hint="default" w:hAnsi="宋体" w:cs="楷体"/>
          <w:sz w:val="28"/>
          <w:szCs w:val="28"/>
          <w:lang w:val="en-US" w:eastAsia="zh-CN"/>
        </w:rPr>
        <w:t>三十四、</w:t>
      </w:r>
      <w:r>
        <w:rPr>
          <w:rFonts w:hint="eastAsia" w:hAnsi="宋体" w:cs="楷体"/>
          <w:sz w:val="28"/>
          <w:szCs w:val="28"/>
          <w:lang w:val="en-US" w:eastAsia="zh-CN"/>
        </w:rPr>
        <w:t>投资者应注意</w:t>
      </w:r>
      <w:r>
        <w:rPr>
          <w:rFonts w:hint="default" w:hAnsi="宋体" w:cs="楷体"/>
          <w:sz w:val="28"/>
          <w:szCs w:val="28"/>
          <w:lang w:val="en-US" w:eastAsia="zh-CN"/>
        </w:rPr>
        <w:t xml:space="preserve">，港股通境内结算实施分级结算原则。投资者可能面临以下风险：（一）因结算参与人未完成与中国结算的集中交收，导致投资者应收资金或证券被暂不交付或处置；（二）结算参与人对投资者出现交收违约导致投资者未能取得应收证券或资金；（三）结算参与人向中国结算发送的有关投资者的证券划付指令有误的导致投资者权益受损；（四）其他因结算参与人未遵守相关业务规则导致投资者利益受到损害的情况。 </w:t>
      </w:r>
    </w:p>
    <w:p>
      <w:pPr>
        <w:ind w:firstLine="560" w:firstLineChars="200"/>
        <w:rPr>
          <w:rFonts w:hint="eastAsia" w:hAnsi="宋体" w:cs="楷体"/>
          <w:sz w:val="28"/>
          <w:szCs w:val="28"/>
        </w:rPr>
      </w:pPr>
      <w:r>
        <w:rPr>
          <w:rFonts w:hint="default" w:hAnsi="宋体" w:cs="楷体"/>
          <w:sz w:val="28"/>
          <w:szCs w:val="28"/>
          <w:lang w:val="en-US" w:eastAsia="zh-CN"/>
        </w:rPr>
        <w:t>三十五、</w:t>
      </w:r>
      <w:r>
        <w:rPr>
          <w:rFonts w:hint="eastAsia" w:hAnsi="宋体" w:cs="楷体"/>
          <w:sz w:val="28"/>
          <w:szCs w:val="28"/>
          <w:lang w:val="en-US" w:eastAsia="zh-CN"/>
        </w:rPr>
        <w:t>投资者应注意</w:t>
      </w:r>
      <w:r>
        <w:rPr>
          <w:rFonts w:hint="default" w:hAnsi="宋体" w:cs="楷体"/>
          <w:sz w:val="28"/>
          <w:szCs w:val="28"/>
          <w:lang w:val="en-US" w:eastAsia="zh-CN"/>
        </w:rPr>
        <w:t xml:space="preserve">，香港市场收费标准与内地市场收费标准不同，香港地区与内地在税收安排方面也存在差异，投资者买卖港股通股票，应当按照香港市场有关规定交纳相关费用，并按照香港地区相关规定缴纳税款。 </w:t>
      </w:r>
    </w:p>
    <w:p>
      <w:pPr>
        <w:ind w:firstLine="560" w:firstLineChars="200"/>
        <w:rPr>
          <w:rFonts w:hint="eastAsia" w:hAnsi="宋体" w:cs="楷体"/>
          <w:sz w:val="28"/>
          <w:szCs w:val="28"/>
        </w:rPr>
      </w:pPr>
      <w:r>
        <w:rPr>
          <w:rFonts w:hint="default" w:hAnsi="宋体" w:cs="楷体"/>
          <w:sz w:val="28"/>
          <w:szCs w:val="28"/>
          <w:lang w:val="en-US" w:eastAsia="zh-CN"/>
        </w:rPr>
        <w:t>三十六、</w:t>
      </w:r>
      <w:r>
        <w:rPr>
          <w:rFonts w:hint="eastAsia" w:hAnsi="宋体" w:cs="楷体"/>
          <w:sz w:val="28"/>
          <w:szCs w:val="28"/>
          <w:lang w:val="en-US" w:eastAsia="zh-CN"/>
        </w:rPr>
        <w:t>投资者应注意</w:t>
      </w:r>
      <w:r>
        <w:rPr>
          <w:rFonts w:hint="default" w:hAnsi="宋体" w:cs="楷体"/>
          <w:sz w:val="28"/>
          <w:szCs w:val="28"/>
          <w:lang w:val="en-US" w:eastAsia="zh-CN"/>
        </w:rPr>
        <w:t xml:space="preserve">，对于因上交所、中国结算制定、修改业务规则，或者根据业务规则履行自律监管职责等造成的损失，上交所和中国结算不承担责任；投资者还应当充分知晓并认可联交所在其规则中规定的相关责任豁免条款，包括但不限于对因制定、修改业务规则、根据业务规则履行自律监管职责、发生或处置交易异常情况等导致的损失不承担责任的规定。 </w:t>
      </w:r>
    </w:p>
    <w:p>
      <w:pPr>
        <w:ind w:firstLine="560" w:firstLineChars="200"/>
        <w:rPr>
          <w:rFonts w:hint="eastAsia" w:hAnsi="宋体" w:cs="楷体"/>
          <w:sz w:val="28"/>
          <w:szCs w:val="28"/>
        </w:rPr>
      </w:pPr>
      <w:r>
        <w:rPr>
          <w:rFonts w:hint="default" w:hAnsi="宋体" w:cs="楷体"/>
          <w:sz w:val="28"/>
          <w:szCs w:val="28"/>
          <w:lang w:val="en-US" w:eastAsia="zh-CN"/>
        </w:rPr>
        <w:t>三十七、</w:t>
      </w:r>
      <w:r>
        <w:rPr>
          <w:rFonts w:hint="eastAsia" w:hAnsi="宋体" w:cs="楷体"/>
          <w:sz w:val="28"/>
          <w:szCs w:val="28"/>
        </w:rPr>
        <w:t>除上述风险提示外，港股通交易还可能存在其他未列举风险，投资者还应认真阅读相关业务规则和协议条款。</w:t>
      </w:r>
    </w:p>
    <w:p>
      <w:pPr>
        <w:ind w:firstLine="562" w:firstLineChars="200"/>
        <w:rPr>
          <w:rFonts w:hint="eastAsia" w:hAnsi="宋体" w:cs="楷体"/>
          <w:b/>
          <w:bCs/>
          <w:sz w:val="28"/>
          <w:szCs w:val="28"/>
        </w:rPr>
      </w:pPr>
      <w:r>
        <w:rPr>
          <w:rFonts w:hint="eastAsia" w:hAnsi="宋体" w:cs="楷体"/>
          <w:b/>
          <w:bCs/>
          <w:sz w:val="28"/>
          <w:szCs w:val="28"/>
        </w:rPr>
        <w:t>上述风险揭示事项仅为列举性质，未能详尽列明港股通交易的所有风险因素，投资者在参与港股通交易前，还应认真阅读相关业务规则和协议条款，对港股通交易特有的规则必须有所了解和掌握，并确信自己已做好足够的风险评估与财务安排，避免因参与港股通交易而遭受难以承受的损失。</w:t>
      </w:r>
    </w:p>
    <w:p>
      <w:pPr>
        <w:rPr>
          <w:rFonts w:hint="eastAsia" w:hAnsi="宋体" w:cs="楷体"/>
          <w:sz w:val="28"/>
          <w:szCs w:val="28"/>
        </w:rPr>
      </w:pPr>
      <w:r>
        <w:rPr>
          <w:rFonts w:hint="eastAsia" w:hAnsi="宋体" w:cs="楷体"/>
          <w:sz w:val="28"/>
          <w:szCs w:val="28"/>
        </w:rPr>
        <w:t xml:space="preserve"> </w:t>
      </w:r>
    </w:p>
    <w:p>
      <w:pPr>
        <w:widowControl/>
        <w:snapToGrid w:val="0"/>
        <w:rPr>
          <w:rFonts w:hint="eastAsia" w:hAnsi="宋体" w:cs="楷体"/>
          <w:b/>
          <w:bCs/>
          <w:kern w:val="0"/>
          <w:sz w:val="28"/>
          <w:szCs w:val="28"/>
        </w:rPr>
      </w:pPr>
      <w:r>
        <w:rPr>
          <w:rFonts w:hint="eastAsia" w:hAnsi="宋体" w:cs="楷体"/>
          <w:b/>
          <w:bCs/>
          <w:kern w:val="0"/>
          <w:sz w:val="28"/>
          <w:szCs w:val="28"/>
        </w:rPr>
        <w:t>请抄录以下内容：</w:t>
      </w:r>
    </w:p>
    <w:p>
      <w:pPr>
        <w:widowControl/>
        <w:snapToGrid w:val="0"/>
        <w:rPr>
          <w:rFonts w:hint="eastAsia" w:hAnsi="宋体" w:cs="楷体"/>
          <w:b/>
          <w:bCs/>
          <w:kern w:val="0"/>
          <w:sz w:val="28"/>
          <w:szCs w:val="28"/>
        </w:rPr>
      </w:pPr>
    </w:p>
    <w:p>
      <w:pPr>
        <w:widowControl/>
        <w:snapToGrid w:val="0"/>
        <w:ind w:firstLine="562" w:firstLineChars="200"/>
        <w:rPr>
          <w:rFonts w:hint="eastAsia" w:hAnsi="宋体" w:cs="楷体"/>
          <w:b/>
          <w:bCs/>
          <w:kern w:val="0"/>
          <w:sz w:val="28"/>
          <w:szCs w:val="28"/>
        </w:rPr>
      </w:pPr>
      <w:r>
        <w:rPr>
          <w:rFonts w:hint="eastAsia" w:hAnsi="宋体" w:cs="楷体"/>
          <w:b/>
          <w:bCs/>
          <w:kern w:val="0"/>
          <w:sz w:val="28"/>
          <w:szCs w:val="28"/>
        </w:rPr>
        <w:t>本人/机构确认已知晓并理解本</w:t>
      </w:r>
      <w:r>
        <w:rPr>
          <w:rFonts w:hint="eastAsia" w:hAnsi="宋体" w:cs="楷体"/>
          <w:b/>
          <w:sz w:val="28"/>
          <w:szCs w:val="28"/>
        </w:rPr>
        <w:t>《风险揭示书》</w:t>
      </w:r>
      <w:r>
        <w:rPr>
          <w:rFonts w:hint="eastAsia" w:hAnsi="宋体" w:cs="楷体"/>
          <w:b/>
          <w:bCs/>
          <w:kern w:val="0"/>
          <w:sz w:val="28"/>
          <w:szCs w:val="28"/>
        </w:rPr>
        <w:t>的全部内容，愿意承担港股通交易的风险和损失。</w:t>
      </w:r>
    </w:p>
    <w:p>
      <w:pPr>
        <w:widowControl/>
        <w:snapToGrid w:val="0"/>
        <w:ind w:firstLine="560" w:firstLineChars="200"/>
        <w:rPr>
          <w:rFonts w:hint="eastAsia" w:hAnsi="宋体" w:cs="楷体"/>
          <w:kern w:val="0"/>
          <w:sz w:val="28"/>
          <w:szCs w:val="28"/>
        </w:rPr>
      </w:pPr>
      <w:r>
        <w:rPr>
          <w:rFonts w:hint="eastAsia" w:hAnsi="宋体" w:cs="楷体"/>
          <w:kern w:val="0"/>
          <w:sz w:val="28"/>
          <w:szCs w:val="28"/>
        </w:rPr>
        <w:t xml:space="preserve"> </w:t>
      </w:r>
    </w:p>
    <w:p>
      <w:pPr>
        <w:widowControl/>
        <w:snapToGrid w:val="0"/>
        <w:spacing w:line="480" w:lineRule="auto"/>
        <w:ind w:firstLine="560" w:firstLineChars="200"/>
        <w:rPr>
          <w:rFonts w:hint="eastAsia" w:hAnsi="宋体" w:cs="楷体"/>
          <w:kern w:val="0"/>
          <w:sz w:val="28"/>
          <w:szCs w:val="28"/>
        </w:rPr>
      </w:pPr>
      <w:r>
        <w:rPr>
          <w:rFonts w:hint="eastAsia" w:hAnsi="宋体" w:cs="楷体"/>
          <w:kern w:val="0"/>
          <w:sz w:val="28"/>
          <w:szCs w:val="28"/>
        </w:rPr>
        <w:t>—————————————————————————————————————————————————————————————————————————————————————</w:t>
      </w:r>
    </w:p>
    <w:p>
      <w:pPr>
        <w:widowControl/>
        <w:snapToGrid w:val="0"/>
        <w:spacing w:line="480" w:lineRule="auto"/>
        <w:ind w:firstLine="560" w:firstLineChars="200"/>
        <w:rPr>
          <w:rFonts w:hint="eastAsia" w:hAnsi="宋体"/>
          <w:b/>
          <w:bCs/>
          <w:sz w:val="28"/>
          <w:szCs w:val="28"/>
        </w:rPr>
      </w:pPr>
      <w:r>
        <w:rPr>
          <w:rFonts w:hint="eastAsia" w:hAnsi="宋体" w:cs="楷体"/>
          <w:kern w:val="0"/>
          <w:sz w:val="28"/>
          <w:szCs w:val="28"/>
        </w:rPr>
        <w:t xml:space="preserve"> </w:t>
      </w:r>
      <w:r>
        <w:rPr>
          <w:rFonts w:hint="eastAsia" w:hAnsi="宋体"/>
          <w:sz w:val="28"/>
          <w:szCs w:val="28"/>
        </w:rPr>
        <w:t xml:space="preserve">     </w:t>
      </w:r>
      <w:r>
        <w:rPr>
          <w:rFonts w:hint="eastAsia" w:hAnsi="宋体"/>
          <w:b/>
          <w:bCs/>
          <w:sz w:val="28"/>
          <w:szCs w:val="28"/>
        </w:rPr>
        <w:t>投资者：</w:t>
      </w:r>
    </w:p>
    <w:p>
      <w:pPr>
        <w:rPr>
          <w:rFonts w:hint="eastAsia" w:hAnsi="宋体"/>
          <w:b/>
          <w:bCs/>
          <w:sz w:val="28"/>
          <w:szCs w:val="28"/>
        </w:rPr>
      </w:pPr>
      <w:r>
        <w:rPr>
          <w:rFonts w:hint="eastAsia" w:hAnsi="宋体"/>
          <w:b/>
          <w:bCs/>
          <w:sz w:val="28"/>
          <w:szCs w:val="28"/>
        </w:rPr>
        <w:t>（个人签字/机构法定代表人或</w:t>
      </w:r>
    </w:p>
    <w:p>
      <w:pPr>
        <w:rPr>
          <w:rFonts w:hint="eastAsia" w:hAnsi="宋体"/>
          <w:b/>
          <w:bCs/>
          <w:sz w:val="28"/>
          <w:szCs w:val="28"/>
        </w:rPr>
      </w:pPr>
      <w:r>
        <w:rPr>
          <w:rFonts w:hint="eastAsia" w:hAnsi="宋体"/>
          <w:b/>
          <w:bCs/>
          <w:sz w:val="28"/>
          <w:szCs w:val="28"/>
        </w:rPr>
        <w:t xml:space="preserve">授权代表签字，并加盖公章）：    </w:t>
      </w:r>
    </w:p>
    <w:p>
      <w:pPr>
        <w:snapToGrid w:val="0"/>
        <w:spacing w:line="360" w:lineRule="auto"/>
        <w:ind w:firstLine="562" w:firstLineChars="200"/>
        <w:rPr>
          <w:rFonts w:hint="eastAsia" w:hAnsi="宋体"/>
          <w:b/>
          <w:bCs/>
          <w:sz w:val="28"/>
          <w:szCs w:val="28"/>
        </w:rPr>
      </w:pPr>
      <w:r>
        <w:rPr>
          <w:rFonts w:hint="eastAsia" w:hAnsi="宋体"/>
          <w:b/>
          <w:bCs/>
          <w:sz w:val="28"/>
          <w:szCs w:val="28"/>
        </w:rPr>
        <w:t xml:space="preserve"> </w:t>
      </w:r>
    </w:p>
    <w:p>
      <w:pPr>
        <w:snapToGrid w:val="0"/>
        <w:spacing w:line="360" w:lineRule="auto"/>
        <w:ind w:firstLine="562" w:firstLineChars="200"/>
        <w:rPr>
          <w:rFonts w:hint="eastAsia" w:hAnsi="宋体"/>
          <w:b/>
          <w:bCs/>
          <w:sz w:val="28"/>
          <w:szCs w:val="28"/>
        </w:rPr>
      </w:pPr>
      <w:r>
        <w:rPr>
          <w:rFonts w:hint="eastAsia" w:hAnsi="宋体"/>
          <w:b/>
          <w:bCs/>
          <w:sz w:val="28"/>
          <w:szCs w:val="28"/>
        </w:rPr>
        <w:t xml:space="preserve">      接待人：</w:t>
      </w:r>
    </w:p>
    <w:p>
      <w:pPr>
        <w:snapToGrid w:val="0"/>
        <w:spacing w:line="360" w:lineRule="auto"/>
        <w:ind w:firstLine="562" w:firstLineChars="200"/>
        <w:rPr>
          <w:rFonts w:hint="eastAsia" w:hAnsi="宋体"/>
          <w:b/>
          <w:bCs/>
          <w:sz w:val="28"/>
          <w:szCs w:val="28"/>
        </w:rPr>
      </w:pPr>
      <w:r>
        <w:rPr>
          <w:rFonts w:hint="eastAsia" w:hAnsi="宋体"/>
          <w:b/>
          <w:bCs/>
          <w:sz w:val="28"/>
          <w:szCs w:val="28"/>
        </w:rPr>
        <w:t xml:space="preserve"> </w:t>
      </w:r>
    </w:p>
    <w:p>
      <w:pPr>
        <w:snapToGrid w:val="0"/>
        <w:spacing w:line="360" w:lineRule="auto"/>
        <w:ind w:left="720" w:firstLine="720" w:firstLineChars="256"/>
        <w:rPr>
          <w:rFonts w:hint="eastAsia" w:hAnsi="宋体"/>
          <w:b/>
          <w:bCs/>
          <w:sz w:val="28"/>
          <w:szCs w:val="28"/>
        </w:rPr>
      </w:pPr>
      <w:r>
        <w:rPr>
          <w:rFonts w:hint="eastAsia" w:hAnsi="宋体"/>
          <w:b/>
          <w:bCs/>
          <w:sz w:val="28"/>
          <w:szCs w:val="28"/>
        </w:rPr>
        <w:t>经办人：</w:t>
      </w:r>
    </w:p>
    <w:p>
      <w:pPr>
        <w:snapToGrid w:val="0"/>
        <w:spacing w:line="360" w:lineRule="auto"/>
        <w:ind w:firstLine="562" w:firstLineChars="200"/>
        <w:rPr>
          <w:rFonts w:hint="eastAsia" w:hAnsi="宋体"/>
          <w:b/>
          <w:bCs/>
          <w:sz w:val="28"/>
          <w:szCs w:val="28"/>
        </w:rPr>
      </w:pPr>
      <w:r>
        <w:rPr>
          <w:rFonts w:hint="eastAsia" w:hAnsi="宋体"/>
          <w:b/>
          <w:bCs/>
          <w:sz w:val="28"/>
          <w:szCs w:val="28"/>
        </w:rPr>
        <w:t xml:space="preserve"> </w:t>
      </w:r>
    </w:p>
    <w:p>
      <w:pPr>
        <w:snapToGrid w:val="0"/>
        <w:spacing w:line="360" w:lineRule="auto"/>
        <w:ind w:firstLine="562" w:firstLineChars="200"/>
        <w:rPr>
          <w:rFonts w:hint="eastAsia" w:hAnsi="宋体"/>
          <w:b/>
          <w:bCs/>
          <w:sz w:val="28"/>
          <w:szCs w:val="28"/>
        </w:rPr>
      </w:pPr>
      <w:r>
        <w:rPr>
          <w:rFonts w:hint="eastAsia" w:hAnsi="宋体"/>
          <w:b/>
          <w:bCs/>
          <w:sz w:val="28"/>
          <w:szCs w:val="28"/>
        </w:rPr>
        <w:t xml:space="preserve">      复核人：</w:t>
      </w:r>
    </w:p>
    <w:p>
      <w:pPr>
        <w:snapToGrid w:val="0"/>
        <w:spacing w:line="360" w:lineRule="auto"/>
        <w:ind w:firstLine="562" w:firstLineChars="200"/>
        <w:rPr>
          <w:rFonts w:hint="eastAsia" w:hAnsi="宋体"/>
          <w:b/>
          <w:bCs/>
          <w:sz w:val="28"/>
          <w:szCs w:val="28"/>
        </w:rPr>
      </w:pPr>
      <w:r>
        <w:rPr>
          <w:rFonts w:hint="eastAsia" w:hAnsi="宋体"/>
          <w:b/>
          <w:bCs/>
          <w:sz w:val="28"/>
          <w:szCs w:val="28"/>
        </w:rPr>
        <w:t xml:space="preserve"> </w:t>
      </w:r>
    </w:p>
    <w:p>
      <w:pPr>
        <w:snapToGrid w:val="0"/>
        <w:spacing w:line="360" w:lineRule="auto"/>
        <w:ind w:firstLine="562" w:firstLineChars="200"/>
        <w:rPr>
          <w:rFonts w:hint="eastAsia" w:hAnsi="宋体"/>
          <w:b/>
          <w:bCs/>
          <w:sz w:val="28"/>
          <w:szCs w:val="28"/>
        </w:rPr>
      </w:pPr>
      <w:r>
        <w:rPr>
          <w:rFonts w:hint="eastAsia" w:hAnsi="宋体"/>
          <w:b/>
          <w:bCs/>
          <w:sz w:val="28"/>
          <w:szCs w:val="28"/>
        </w:rPr>
        <w:t xml:space="preserve">      柜台业务章：</w:t>
      </w:r>
    </w:p>
    <w:p>
      <w:pPr>
        <w:snapToGrid w:val="0"/>
        <w:spacing w:line="360" w:lineRule="auto"/>
        <w:ind w:firstLine="562" w:firstLineChars="200"/>
        <w:rPr>
          <w:rFonts w:hint="eastAsia" w:hAnsi="宋体"/>
          <w:b/>
          <w:bCs/>
          <w:sz w:val="28"/>
          <w:szCs w:val="28"/>
        </w:rPr>
      </w:pPr>
    </w:p>
    <w:p>
      <w:pPr>
        <w:snapToGrid w:val="0"/>
        <w:spacing w:line="360" w:lineRule="auto"/>
        <w:ind w:firstLine="562" w:firstLineChars="200"/>
        <w:rPr>
          <w:rFonts w:hint="eastAsia" w:hAnsi="宋体"/>
          <w:b/>
          <w:bCs/>
          <w:sz w:val="28"/>
          <w:szCs w:val="28"/>
        </w:rPr>
      </w:pPr>
      <w:r>
        <w:rPr>
          <w:rFonts w:hint="eastAsia" w:hAnsi="宋体"/>
          <w:b/>
          <w:bCs/>
          <w:sz w:val="28"/>
          <w:szCs w:val="28"/>
        </w:rPr>
        <w:t xml:space="preserve">      签署日期：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687D20"/>
    <w:rsid w:val="32904AE7"/>
    <w:rsid w:val="5A4D697D"/>
    <w:rsid w:val="65687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2"/>
      <w:sz w:val="24"/>
      <w:szCs w:val="24"/>
      <w:lang w:val="en-US" w:eastAsia="zh-CN" w:bidi="ar-SA"/>
    </w:rPr>
  </w:style>
  <w:style w:type="paragraph" w:styleId="2">
    <w:name w:val="heading 2"/>
    <w:basedOn w:val="1"/>
    <w:next w:val="1"/>
    <w:qFormat/>
    <w:uiPriority w:val="9"/>
    <w:pPr>
      <w:keepNext/>
      <w:keepLines/>
      <w:spacing w:before="260" w:beforeLines="0" w:beforeAutospacing="0" w:after="260" w:afterLines="0" w:afterAutospacing="0" w:line="240" w:lineRule="auto"/>
      <w:jc w:val="center"/>
      <w:outlineLvl w:val="1"/>
    </w:pPr>
    <w:rPr>
      <w:rFonts w:ascii="Arial" w:hAnsi="Arial" w:eastAsia="楷体"/>
      <w:b/>
      <w:sz w:val="30"/>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2019-10-22T02:05:00Z</dcterms:created>
  <dc:creator>CYY</dc:creator>
  <cp:lastModifiedBy>CYY</cp:lastModifiedBy>
  <dcterms:modified xsi:type="dcterms:W3CDTF">2019-10-22T02:06:24Z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