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3A1" w:rsidRPr="00CB65BF" w:rsidRDefault="003553A1" w:rsidP="003553A1">
      <w:pPr>
        <w:autoSpaceDE w:val="0"/>
        <w:autoSpaceDN w:val="0"/>
        <w:adjustRightInd w:val="0"/>
        <w:spacing w:line="560" w:lineRule="exact"/>
        <w:rPr>
          <w:rFonts w:ascii="黑体" w:eastAsia="黑体" w:hAnsi="黑体"/>
          <w:kern w:val="0"/>
          <w:sz w:val="32"/>
          <w:szCs w:val="30"/>
        </w:rPr>
      </w:pPr>
      <w:r w:rsidRPr="00CB65BF">
        <w:rPr>
          <w:rFonts w:ascii="黑体" w:eastAsia="黑体" w:hAnsi="黑体" w:hint="eastAsia"/>
          <w:kern w:val="0"/>
          <w:sz w:val="32"/>
          <w:szCs w:val="30"/>
        </w:rPr>
        <w:t>附件</w:t>
      </w:r>
      <w:r w:rsidRPr="00CB65BF">
        <w:rPr>
          <w:rFonts w:ascii="黑体" w:eastAsia="黑体" w:hAnsi="黑体"/>
          <w:kern w:val="0"/>
          <w:sz w:val="32"/>
          <w:szCs w:val="30"/>
        </w:rPr>
        <w:t>2</w:t>
      </w:r>
    </w:p>
    <w:p w:rsidR="003553A1" w:rsidRPr="009A210B" w:rsidRDefault="003553A1" w:rsidP="003553A1">
      <w:pPr>
        <w:autoSpaceDE w:val="0"/>
        <w:autoSpaceDN w:val="0"/>
        <w:adjustRightInd w:val="0"/>
        <w:spacing w:line="560" w:lineRule="exact"/>
        <w:rPr>
          <w:rFonts w:eastAsia="方正仿宋简体"/>
          <w:b/>
          <w:bCs/>
          <w:kern w:val="0"/>
          <w:sz w:val="30"/>
          <w:szCs w:val="30"/>
        </w:rPr>
      </w:pPr>
    </w:p>
    <w:p w:rsidR="003553A1" w:rsidRDefault="003553A1" w:rsidP="003553A1">
      <w:pPr>
        <w:pStyle w:val="a6"/>
        <w:spacing w:before="0" w:after="0" w:line="560" w:lineRule="exact"/>
        <w:rPr>
          <w:rFonts w:ascii="方正小标宋简体" w:eastAsia="方正小标宋简体" w:hAnsi="Times New Roman" w:cs="Times New Roman"/>
          <w:b w:val="0"/>
          <w:sz w:val="40"/>
          <w:szCs w:val="40"/>
        </w:rPr>
      </w:pPr>
      <w:proofErr w:type="gramStart"/>
      <w:r w:rsidRPr="003F7A3C">
        <w:rPr>
          <w:rFonts w:ascii="方正小标宋简体" w:eastAsia="方正小标宋简体" w:hAnsi="Times New Roman" w:cs="Times New Roman" w:hint="eastAsia"/>
          <w:b w:val="0"/>
          <w:bCs w:val="0"/>
          <w:sz w:val="40"/>
          <w:szCs w:val="40"/>
        </w:rPr>
        <w:t>《</w:t>
      </w:r>
      <w:proofErr w:type="gramEnd"/>
      <w:r w:rsidRPr="003F7A3C">
        <w:rPr>
          <w:rFonts w:ascii="方正小标宋简体" w:eastAsia="方正小标宋简体" w:hAnsi="Times New Roman" w:cs="Times New Roman" w:hint="eastAsia"/>
          <w:b w:val="0"/>
          <w:bCs w:val="0"/>
          <w:sz w:val="40"/>
          <w:szCs w:val="40"/>
        </w:rPr>
        <w:t>深圳证券交易所创业板投资者适当性</w:t>
      </w:r>
      <w:r w:rsidRPr="003F7A3C">
        <w:rPr>
          <w:rFonts w:ascii="方正小标宋简体" w:eastAsia="方正小标宋简体" w:hAnsi="Times New Roman" w:cs="Times New Roman" w:hint="eastAsia"/>
          <w:b w:val="0"/>
          <w:sz w:val="40"/>
          <w:szCs w:val="40"/>
        </w:rPr>
        <w:t>管理</w:t>
      </w:r>
    </w:p>
    <w:p w:rsidR="003553A1" w:rsidRPr="003F7A3C" w:rsidRDefault="003553A1" w:rsidP="003553A1">
      <w:pPr>
        <w:pStyle w:val="a6"/>
        <w:spacing w:before="0" w:after="0" w:line="560" w:lineRule="exact"/>
        <w:rPr>
          <w:rFonts w:ascii="方正小标宋简体" w:eastAsia="方正小标宋简体" w:hAnsi="Times New Roman" w:cs="Times New Roman"/>
          <w:b w:val="0"/>
          <w:sz w:val="40"/>
          <w:szCs w:val="40"/>
        </w:rPr>
      </w:pPr>
      <w:r w:rsidRPr="003F7A3C">
        <w:rPr>
          <w:rFonts w:ascii="方正小标宋简体" w:eastAsia="方正小标宋简体" w:hAnsi="Times New Roman" w:cs="Times New Roman" w:hint="eastAsia"/>
          <w:b w:val="0"/>
          <w:sz w:val="40"/>
          <w:szCs w:val="40"/>
        </w:rPr>
        <w:t>实施办法（2020年修订）</w:t>
      </w:r>
      <w:proofErr w:type="gramStart"/>
      <w:r w:rsidRPr="003F7A3C">
        <w:rPr>
          <w:rFonts w:ascii="方正小标宋简体" w:eastAsia="方正小标宋简体" w:hAnsi="Times New Roman" w:cs="Times New Roman" w:hint="eastAsia"/>
          <w:b w:val="0"/>
          <w:sz w:val="40"/>
          <w:szCs w:val="40"/>
        </w:rPr>
        <w:t>》</w:t>
      </w:r>
      <w:proofErr w:type="gramEnd"/>
      <w:r w:rsidRPr="003F7A3C">
        <w:rPr>
          <w:rFonts w:ascii="方正小标宋简体" w:eastAsia="方正小标宋简体" w:hAnsi="Times New Roman" w:cs="Times New Roman" w:hint="eastAsia"/>
          <w:b w:val="0"/>
          <w:sz w:val="40"/>
          <w:szCs w:val="40"/>
        </w:rPr>
        <w:t>修订说明</w:t>
      </w:r>
    </w:p>
    <w:p w:rsidR="003553A1" w:rsidRPr="00CB216D" w:rsidRDefault="003553A1" w:rsidP="003553A1">
      <w:pPr>
        <w:spacing w:line="560" w:lineRule="exact"/>
      </w:pP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kern w:val="0"/>
          <w:sz w:val="32"/>
          <w:szCs w:val="30"/>
        </w:rPr>
      </w:pPr>
      <w:r w:rsidRPr="00CB65BF">
        <w:rPr>
          <w:rFonts w:ascii="仿宋" w:eastAsia="仿宋" w:hAnsi="仿宋"/>
          <w:kern w:val="0"/>
          <w:sz w:val="32"/>
          <w:szCs w:val="30"/>
        </w:rPr>
        <w:t>为</w:t>
      </w:r>
      <w:r w:rsidRPr="00CB65BF">
        <w:rPr>
          <w:rFonts w:ascii="仿宋" w:eastAsia="仿宋" w:hAnsi="仿宋" w:hint="eastAsia"/>
          <w:kern w:val="0"/>
          <w:sz w:val="32"/>
          <w:szCs w:val="30"/>
        </w:rPr>
        <w:t>顺利推进</w:t>
      </w:r>
      <w:r w:rsidRPr="00CB65BF">
        <w:rPr>
          <w:rFonts w:ascii="仿宋" w:eastAsia="仿宋" w:hAnsi="仿宋"/>
          <w:kern w:val="0"/>
          <w:sz w:val="32"/>
          <w:szCs w:val="30"/>
        </w:rPr>
        <w:t>创业</w:t>
      </w:r>
      <w:proofErr w:type="gramStart"/>
      <w:r w:rsidRPr="00CB65BF">
        <w:rPr>
          <w:rFonts w:ascii="仿宋" w:eastAsia="仿宋" w:hAnsi="仿宋"/>
          <w:kern w:val="0"/>
          <w:sz w:val="32"/>
          <w:szCs w:val="30"/>
        </w:rPr>
        <w:t>板改革</w:t>
      </w:r>
      <w:proofErr w:type="gramEnd"/>
      <w:r w:rsidRPr="00CB65BF">
        <w:rPr>
          <w:rFonts w:ascii="仿宋" w:eastAsia="仿宋" w:hAnsi="仿宋"/>
          <w:kern w:val="0"/>
          <w:sz w:val="32"/>
          <w:szCs w:val="30"/>
        </w:rPr>
        <w:t>并试点注册制，强化会员投资者适当性管理职责，保护投资者合法权益，本所</w:t>
      </w:r>
      <w:r w:rsidRPr="00CB65BF">
        <w:rPr>
          <w:rFonts w:ascii="仿宋" w:eastAsia="仿宋" w:hAnsi="仿宋" w:hint="eastAsia"/>
          <w:kern w:val="0"/>
          <w:sz w:val="32"/>
          <w:szCs w:val="30"/>
        </w:rPr>
        <w:t>在中国证监会的统一部署下，</w:t>
      </w:r>
      <w:r w:rsidRPr="00CB65BF">
        <w:rPr>
          <w:rFonts w:ascii="仿宋" w:eastAsia="仿宋" w:hAnsi="仿宋"/>
          <w:kern w:val="0"/>
          <w:sz w:val="32"/>
          <w:szCs w:val="30"/>
        </w:rPr>
        <w:t>对《深圳证券交易所创业板市场投资者适当性管理实施办法》进行了修订</w:t>
      </w:r>
      <w:r w:rsidRPr="00CB65BF">
        <w:rPr>
          <w:rFonts w:ascii="仿宋" w:eastAsia="仿宋" w:hAnsi="仿宋" w:hint="eastAsia"/>
          <w:kern w:val="0"/>
          <w:sz w:val="32"/>
          <w:szCs w:val="30"/>
        </w:rPr>
        <w:t>，形成《深圳证券交易所创业板投资者适当性管理实施办法（</w:t>
      </w:r>
      <w:r w:rsidRPr="00CB65BF">
        <w:rPr>
          <w:rFonts w:ascii="仿宋" w:eastAsia="仿宋" w:hAnsi="仿宋"/>
          <w:kern w:val="0"/>
          <w:sz w:val="32"/>
          <w:szCs w:val="30"/>
        </w:rPr>
        <w:t>2020年修订）》</w:t>
      </w:r>
      <w:r w:rsidRPr="00CB65BF">
        <w:rPr>
          <w:rFonts w:ascii="仿宋" w:eastAsia="仿宋" w:hAnsi="仿宋" w:hint="eastAsia"/>
          <w:kern w:val="0"/>
          <w:sz w:val="32"/>
          <w:szCs w:val="30"/>
        </w:rPr>
        <w:t>（以下简称</w:t>
      </w:r>
      <w:r w:rsidRPr="00CB65BF">
        <w:rPr>
          <w:rFonts w:ascii="仿宋" w:eastAsia="仿宋" w:hAnsi="仿宋" w:hint="eastAsia"/>
          <w:sz w:val="32"/>
          <w:szCs w:val="30"/>
        </w:rPr>
        <w:t>《实施办法》</w:t>
      </w:r>
      <w:r w:rsidRPr="00CB65BF">
        <w:rPr>
          <w:rFonts w:ascii="仿宋" w:eastAsia="仿宋" w:hAnsi="仿宋" w:hint="eastAsia"/>
          <w:kern w:val="0"/>
          <w:sz w:val="32"/>
          <w:szCs w:val="30"/>
        </w:rPr>
        <w:t>）。</w:t>
      </w:r>
      <w:r w:rsidRPr="00CB65BF">
        <w:rPr>
          <w:rFonts w:ascii="仿宋" w:eastAsia="仿宋" w:hAnsi="仿宋"/>
          <w:kern w:val="0"/>
          <w:sz w:val="32"/>
          <w:szCs w:val="30"/>
        </w:rPr>
        <w:t>现将相关情况说明如下：</w:t>
      </w:r>
    </w:p>
    <w:p w:rsidR="003553A1" w:rsidRPr="00CB65BF" w:rsidRDefault="003553A1" w:rsidP="003553A1">
      <w:pPr>
        <w:tabs>
          <w:tab w:val="left" w:pos="5855"/>
        </w:tabs>
        <w:spacing w:line="560" w:lineRule="exact"/>
        <w:ind w:firstLineChars="200" w:firstLine="640"/>
        <w:rPr>
          <w:rFonts w:ascii="黑体" w:eastAsia="黑体" w:hAnsi="黑体"/>
          <w:sz w:val="32"/>
          <w:szCs w:val="30"/>
        </w:rPr>
      </w:pPr>
      <w:r w:rsidRPr="00CB65BF">
        <w:rPr>
          <w:rFonts w:ascii="黑体" w:eastAsia="黑体" w:hAnsi="黑体"/>
          <w:sz w:val="32"/>
          <w:szCs w:val="30"/>
        </w:rPr>
        <w:t>一、修订背景</w:t>
      </w:r>
      <w:r w:rsidRPr="00CB65BF">
        <w:rPr>
          <w:rFonts w:ascii="黑体" w:eastAsia="黑体" w:hAnsi="黑体"/>
          <w:sz w:val="32"/>
          <w:szCs w:val="30"/>
        </w:rPr>
        <w:tab/>
      </w:r>
    </w:p>
    <w:p w:rsidR="003553A1" w:rsidRPr="00CB65BF" w:rsidRDefault="003553A1" w:rsidP="003553A1">
      <w:pPr>
        <w:spacing w:line="560" w:lineRule="exact"/>
        <w:ind w:firstLineChars="200" w:firstLine="643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b/>
          <w:sz w:val="32"/>
          <w:szCs w:val="30"/>
        </w:rPr>
        <w:t>一是适应注册制改革需要，进一步完善适当性管理制度。</w:t>
      </w:r>
      <w:r w:rsidRPr="00CB65BF">
        <w:rPr>
          <w:rFonts w:ascii="仿宋" w:eastAsia="仿宋" w:hAnsi="仿宋"/>
          <w:sz w:val="32"/>
          <w:szCs w:val="30"/>
        </w:rPr>
        <w:t>适当性管理制度</w:t>
      </w:r>
      <w:r w:rsidRPr="00CB65BF">
        <w:rPr>
          <w:rFonts w:ascii="仿宋" w:eastAsia="仿宋" w:hAnsi="仿宋" w:hint="eastAsia"/>
          <w:sz w:val="32"/>
          <w:szCs w:val="30"/>
        </w:rPr>
        <w:t>施行以来，对创业板的平稳发展发挥了积极作用。此次对创业板进行改革并试点注册制，改革力度大，影响广，迫切需要对现有的适当性制度进行针对性完善，以确保与改革相适应，实现产品与投资者之间的风险匹配，更好保护投资者合法权益。</w:t>
      </w:r>
    </w:p>
    <w:p w:rsidR="003553A1" w:rsidRPr="00CB65BF" w:rsidRDefault="003553A1" w:rsidP="003553A1">
      <w:pPr>
        <w:spacing w:line="560" w:lineRule="exact"/>
        <w:ind w:firstLineChars="200" w:firstLine="643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b/>
          <w:sz w:val="32"/>
          <w:szCs w:val="30"/>
        </w:rPr>
        <w:t>二是衔接上位法规要求，强化会员适当性管理职责。</w:t>
      </w:r>
      <w:r w:rsidRPr="00CB65BF">
        <w:rPr>
          <w:rFonts w:ascii="仿宋" w:eastAsia="仿宋" w:hAnsi="仿宋" w:hint="eastAsia"/>
          <w:sz w:val="32"/>
          <w:szCs w:val="30"/>
        </w:rPr>
        <w:t>近年来，</w:t>
      </w:r>
      <w:r w:rsidRPr="00CB65BF">
        <w:rPr>
          <w:rFonts w:ascii="仿宋" w:eastAsia="仿宋" w:hAnsi="仿宋"/>
          <w:sz w:val="32"/>
          <w:szCs w:val="30"/>
        </w:rPr>
        <w:t>《证券法（2019年修订）》《证券期货投资者适当性管理办法》</w:t>
      </w:r>
      <w:r w:rsidRPr="00CB65BF">
        <w:rPr>
          <w:rFonts w:ascii="仿宋" w:eastAsia="仿宋" w:hAnsi="仿宋" w:hint="eastAsia"/>
          <w:sz w:val="32"/>
          <w:szCs w:val="30"/>
        </w:rPr>
        <w:t>（以下简称《管理办法》）</w:t>
      </w:r>
      <w:r w:rsidRPr="00CB65BF">
        <w:rPr>
          <w:rFonts w:ascii="仿宋" w:eastAsia="仿宋" w:hAnsi="仿宋"/>
          <w:sz w:val="32"/>
          <w:szCs w:val="30"/>
        </w:rPr>
        <w:t>等</w:t>
      </w:r>
      <w:r w:rsidRPr="00CB65BF">
        <w:rPr>
          <w:rFonts w:ascii="仿宋" w:eastAsia="仿宋" w:hAnsi="仿宋" w:hint="eastAsia"/>
          <w:sz w:val="32"/>
          <w:szCs w:val="30"/>
        </w:rPr>
        <w:t>上位法律法规先后发布，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对适当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性提出了细致明确的要求，包括投资者风险评估</w:t>
      </w:r>
      <w:r w:rsidRPr="00CB65BF">
        <w:rPr>
          <w:rFonts w:ascii="仿宋" w:eastAsia="仿宋" w:hAnsi="仿宋"/>
          <w:sz w:val="32"/>
          <w:szCs w:val="30"/>
        </w:rPr>
        <w:t>、</w:t>
      </w:r>
      <w:r w:rsidRPr="00CB65BF">
        <w:rPr>
          <w:rFonts w:ascii="仿宋" w:eastAsia="仿宋" w:hAnsi="仿宋" w:hint="eastAsia"/>
          <w:sz w:val="32"/>
          <w:szCs w:val="30"/>
        </w:rPr>
        <w:t>适当性</w:t>
      </w:r>
      <w:r w:rsidRPr="00CB65BF">
        <w:rPr>
          <w:rFonts w:ascii="仿宋" w:eastAsia="仿宋" w:hAnsi="仿宋"/>
          <w:sz w:val="32"/>
          <w:szCs w:val="30"/>
        </w:rPr>
        <w:t>匹</w:t>
      </w:r>
      <w:r w:rsidRPr="00CB65BF">
        <w:rPr>
          <w:rFonts w:ascii="仿宋" w:eastAsia="仿宋" w:hAnsi="仿宋"/>
          <w:sz w:val="32"/>
          <w:szCs w:val="30"/>
        </w:rPr>
        <w:lastRenderedPageBreak/>
        <w:t>配</w:t>
      </w:r>
      <w:r w:rsidRPr="00CB65BF">
        <w:rPr>
          <w:rFonts w:ascii="仿宋" w:eastAsia="仿宋" w:hAnsi="仿宋" w:hint="eastAsia"/>
          <w:sz w:val="32"/>
          <w:szCs w:val="30"/>
        </w:rPr>
        <w:t>、特定情况下会员应拒绝提供服务等，创业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性制度需要跟进完善</w:t>
      </w:r>
      <w:r w:rsidRPr="00CB65BF">
        <w:rPr>
          <w:rFonts w:ascii="仿宋" w:eastAsia="仿宋" w:hAnsi="仿宋"/>
          <w:sz w:val="32"/>
          <w:szCs w:val="30"/>
        </w:rPr>
        <w:t>，</w:t>
      </w:r>
      <w:r w:rsidRPr="00CB65BF">
        <w:rPr>
          <w:rFonts w:ascii="仿宋" w:eastAsia="仿宋" w:hAnsi="仿宋" w:hint="eastAsia"/>
          <w:sz w:val="32"/>
          <w:szCs w:val="30"/>
        </w:rPr>
        <w:t>进一步衔接上位要求。</w:t>
      </w:r>
    </w:p>
    <w:p w:rsidR="003553A1" w:rsidRPr="00CB65BF" w:rsidRDefault="003553A1" w:rsidP="003553A1">
      <w:pPr>
        <w:spacing w:line="560" w:lineRule="exact"/>
        <w:ind w:firstLineChars="200" w:firstLine="643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b/>
          <w:sz w:val="32"/>
          <w:szCs w:val="30"/>
        </w:rPr>
        <w:t>三是优化制度体系，整合现行规则。</w:t>
      </w:r>
      <w:r w:rsidRPr="00CB65BF">
        <w:rPr>
          <w:rFonts w:ascii="仿宋" w:eastAsia="仿宋" w:hAnsi="仿宋" w:hint="eastAsia"/>
          <w:sz w:val="32"/>
          <w:szCs w:val="30"/>
        </w:rPr>
        <w:t>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性管理规则已发布十余年，为了适应市场发展，本所配套发布了《会员持续开展创业板市场投资者适当性管理业务指引》（以下简称《业务指引》）和一系列通知（以下简称《通知》）。目前上述规则部分条款已不再适用，为使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性管理制度体系更加清晰简明，本所整合相关要求纳入《实施办法》后，上述规则予以废止。同时，将《创业板投资风险揭示书必备条款》（以下简称《风险揭示书必备条款》）作为规则配套文件，不再由证券业协会另行制定，并根据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板改革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相关情况进行修订完善，要求会员据此制定相关《创业板投资风险揭示书》（以下简称《风险揭示书》）。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黑体" w:eastAsia="黑体" w:hAnsi="黑体"/>
          <w:sz w:val="32"/>
          <w:szCs w:val="30"/>
        </w:rPr>
      </w:pPr>
      <w:r w:rsidRPr="00CB65BF">
        <w:rPr>
          <w:rFonts w:ascii="黑体" w:eastAsia="黑体" w:hAnsi="黑体" w:hint="eastAsia"/>
          <w:sz w:val="32"/>
          <w:szCs w:val="30"/>
        </w:rPr>
        <w:t>二</w:t>
      </w:r>
      <w:r w:rsidRPr="00CB65BF">
        <w:rPr>
          <w:rFonts w:ascii="黑体" w:eastAsia="黑体" w:hAnsi="黑体"/>
          <w:sz w:val="32"/>
          <w:szCs w:val="30"/>
        </w:rPr>
        <w:t>、</w:t>
      </w:r>
      <w:r w:rsidRPr="00CB65BF">
        <w:rPr>
          <w:rFonts w:ascii="黑体" w:eastAsia="黑体" w:hAnsi="黑体" w:hint="eastAsia"/>
          <w:sz w:val="32"/>
          <w:szCs w:val="30"/>
        </w:rPr>
        <w:t>主要</w:t>
      </w:r>
      <w:r w:rsidRPr="00CB65BF">
        <w:rPr>
          <w:rFonts w:ascii="黑体" w:eastAsia="黑体" w:hAnsi="黑体"/>
          <w:sz w:val="32"/>
          <w:szCs w:val="30"/>
        </w:rPr>
        <w:t>修订内容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/>
          <w:sz w:val="32"/>
          <w:szCs w:val="30"/>
        </w:rPr>
        <w:t>《实施办法》修订11条，新增5条，删除6条，修订</w:t>
      </w:r>
      <w:r w:rsidRPr="00CB65BF">
        <w:rPr>
          <w:rFonts w:ascii="仿宋" w:eastAsia="仿宋" w:hAnsi="仿宋" w:hint="eastAsia"/>
          <w:sz w:val="32"/>
          <w:szCs w:val="30"/>
        </w:rPr>
        <w:t>后共计</w:t>
      </w:r>
      <w:r w:rsidRPr="00CB65BF">
        <w:rPr>
          <w:rFonts w:ascii="仿宋" w:eastAsia="仿宋" w:hAnsi="仿宋"/>
          <w:sz w:val="32"/>
          <w:szCs w:val="30"/>
        </w:rPr>
        <w:t>17条，主要内容包括：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楷体" w:eastAsia="楷体" w:hAnsi="楷体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增设创业</w:t>
      </w:r>
      <w:proofErr w:type="gramStart"/>
      <w:r w:rsidRPr="00751C7C">
        <w:rPr>
          <w:rFonts w:ascii="楷体" w:eastAsia="楷体" w:hAnsi="楷体" w:hint="eastAsia"/>
          <w:sz w:val="32"/>
          <w:szCs w:val="30"/>
        </w:rPr>
        <w:t>板个人</w:t>
      </w:r>
      <w:proofErr w:type="gramEnd"/>
      <w:r w:rsidRPr="00751C7C">
        <w:rPr>
          <w:rFonts w:ascii="楷体" w:eastAsia="楷体" w:hAnsi="楷体" w:hint="eastAsia"/>
          <w:sz w:val="32"/>
          <w:szCs w:val="30"/>
        </w:rPr>
        <w:t>投资者准入门槛等相关要求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sz w:val="32"/>
          <w:szCs w:val="30"/>
        </w:rPr>
        <w:t>一是明确</w:t>
      </w:r>
      <w:r w:rsidRPr="00CB65BF">
        <w:rPr>
          <w:rFonts w:ascii="仿宋" w:eastAsia="仿宋" w:hAnsi="仿宋"/>
          <w:sz w:val="32"/>
          <w:szCs w:val="30"/>
        </w:rPr>
        <w:t>新</w:t>
      </w:r>
      <w:r w:rsidRPr="00CB65BF">
        <w:rPr>
          <w:rFonts w:ascii="仿宋" w:eastAsia="仿宋" w:hAnsi="仿宋" w:hint="eastAsia"/>
          <w:sz w:val="32"/>
          <w:szCs w:val="30"/>
        </w:rPr>
        <w:t>申请</w:t>
      </w:r>
      <w:r w:rsidRPr="00CB65BF">
        <w:rPr>
          <w:rFonts w:ascii="仿宋" w:eastAsia="仿宋" w:hAnsi="仿宋"/>
          <w:sz w:val="32"/>
          <w:szCs w:val="30"/>
        </w:rPr>
        <w:t>开</w:t>
      </w:r>
      <w:r w:rsidRPr="00CB65BF">
        <w:rPr>
          <w:rFonts w:ascii="仿宋" w:eastAsia="仿宋" w:hAnsi="仿宋" w:hint="eastAsia"/>
          <w:sz w:val="32"/>
          <w:szCs w:val="30"/>
        </w:rPr>
        <w:t>通创业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板交易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权限的</w:t>
      </w:r>
      <w:r w:rsidRPr="00CB65BF">
        <w:rPr>
          <w:rFonts w:ascii="仿宋" w:eastAsia="仿宋" w:hAnsi="仿宋"/>
          <w:sz w:val="32"/>
          <w:szCs w:val="30"/>
        </w:rPr>
        <w:t>个人投资者</w:t>
      </w:r>
      <w:r w:rsidRPr="00CB65BF">
        <w:rPr>
          <w:rFonts w:ascii="仿宋" w:eastAsia="仿宋" w:hAnsi="仿宋" w:hint="eastAsia"/>
          <w:sz w:val="32"/>
          <w:szCs w:val="30"/>
        </w:rPr>
        <w:t>，</w:t>
      </w:r>
      <w:r w:rsidRPr="00CB65BF">
        <w:rPr>
          <w:rFonts w:ascii="仿宋" w:eastAsia="仿宋" w:hAnsi="仿宋"/>
          <w:sz w:val="32"/>
          <w:szCs w:val="30"/>
        </w:rPr>
        <w:t>权限开通前20个交易</w:t>
      </w:r>
      <w:proofErr w:type="gramStart"/>
      <w:r w:rsidRPr="00CB65BF">
        <w:rPr>
          <w:rFonts w:ascii="仿宋" w:eastAsia="仿宋" w:hAnsi="仿宋"/>
          <w:sz w:val="32"/>
          <w:szCs w:val="30"/>
        </w:rPr>
        <w:t>日证券</w:t>
      </w:r>
      <w:proofErr w:type="gramEnd"/>
      <w:r w:rsidRPr="00CB65BF">
        <w:rPr>
          <w:rFonts w:ascii="仿宋" w:eastAsia="仿宋" w:hAnsi="仿宋"/>
          <w:sz w:val="32"/>
          <w:szCs w:val="30"/>
        </w:rPr>
        <w:t>账户及资金账户内的资产日均</w:t>
      </w:r>
      <w:r w:rsidRPr="00CB65BF">
        <w:rPr>
          <w:rFonts w:ascii="仿宋" w:eastAsia="仿宋" w:hAnsi="仿宋" w:hint="eastAsia"/>
          <w:sz w:val="32"/>
          <w:szCs w:val="30"/>
        </w:rPr>
        <w:t>应</w:t>
      </w:r>
      <w:r w:rsidRPr="00CB65BF">
        <w:rPr>
          <w:rFonts w:ascii="仿宋" w:eastAsia="仿宋" w:hAnsi="仿宋"/>
          <w:sz w:val="32"/>
          <w:szCs w:val="30"/>
        </w:rPr>
        <w:t>不低于人民币10万元，并参与证券交易24个月以上</w:t>
      </w:r>
      <w:r w:rsidRPr="00CB65BF">
        <w:rPr>
          <w:rFonts w:ascii="仿宋" w:eastAsia="仿宋" w:hAnsi="仿宋" w:hint="eastAsia"/>
          <w:sz w:val="32"/>
          <w:szCs w:val="30"/>
        </w:rPr>
        <w:t>。同时，</w:t>
      </w:r>
      <w:r w:rsidRPr="00CB65BF">
        <w:rPr>
          <w:rFonts w:ascii="仿宋" w:eastAsia="仿宋" w:hAnsi="仿宋"/>
          <w:sz w:val="32"/>
          <w:szCs w:val="30"/>
        </w:rPr>
        <w:t>删除</w:t>
      </w:r>
      <w:r w:rsidRPr="00CB65BF">
        <w:rPr>
          <w:rFonts w:ascii="仿宋" w:eastAsia="仿宋" w:hAnsi="仿宋" w:hint="eastAsia"/>
          <w:sz w:val="32"/>
          <w:szCs w:val="30"/>
        </w:rPr>
        <w:t>原规则中</w:t>
      </w:r>
      <w:r w:rsidRPr="00CB65BF">
        <w:rPr>
          <w:rFonts w:ascii="仿宋" w:eastAsia="仿宋" w:hAnsi="仿宋"/>
          <w:sz w:val="32"/>
          <w:szCs w:val="30"/>
        </w:rPr>
        <w:t>2日、5日冷静期</w:t>
      </w:r>
      <w:r w:rsidRPr="00CB65BF">
        <w:rPr>
          <w:rFonts w:ascii="仿宋" w:eastAsia="仿宋" w:hAnsi="仿宋" w:hint="eastAsia"/>
          <w:sz w:val="32"/>
          <w:szCs w:val="30"/>
        </w:rPr>
        <w:t>要求。二是明确会员要对个人投资者是否符合门槛条件进行核查。三是明确普通投资者首次参与</w:t>
      </w:r>
      <w:r w:rsidRPr="00CB65BF">
        <w:rPr>
          <w:rFonts w:ascii="仿宋" w:eastAsia="仿宋" w:hAnsi="仿宋" w:hint="eastAsia"/>
          <w:sz w:val="32"/>
          <w:szCs w:val="30"/>
        </w:rPr>
        <w:lastRenderedPageBreak/>
        <w:t>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板交易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的，应当以纸面或电子方式签署《风险揭示书》。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仿宋" w:eastAsia="仿宋" w:hAnsi="仿宋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衔接上位法适当性管理要求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/>
          <w:sz w:val="32"/>
          <w:szCs w:val="30"/>
        </w:rPr>
        <w:t>落实《证券法（2019年修订）》《管理办法》</w:t>
      </w:r>
      <w:r w:rsidRPr="00CB65BF">
        <w:rPr>
          <w:rFonts w:ascii="仿宋" w:eastAsia="仿宋" w:hAnsi="仿宋" w:hint="eastAsia"/>
          <w:sz w:val="32"/>
          <w:szCs w:val="30"/>
        </w:rPr>
        <w:t>相关</w:t>
      </w:r>
      <w:r w:rsidRPr="00CB65BF">
        <w:rPr>
          <w:rFonts w:ascii="仿宋" w:eastAsia="仿宋" w:hAnsi="仿宋"/>
          <w:sz w:val="32"/>
          <w:szCs w:val="30"/>
        </w:rPr>
        <w:t>要求，</w:t>
      </w:r>
      <w:r w:rsidRPr="00CB65BF">
        <w:rPr>
          <w:rFonts w:ascii="仿宋" w:eastAsia="仿宋" w:hAnsi="仿宋" w:hint="eastAsia"/>
          <w:sz w:val="32"/>
          <w:szCs w:val="30"/>
        </w:rPr>
        <w:t>一是</w:t>
      </w:r>
      <w:r w:rsidRPr="00CB65BF">
        <w:rPr>
          <w:rFonts w:ascii="仿宋" w:eastAsia="仿宋" w:hAnsi="仿宋"/>
          <w:sz w:val="32"/>
          <w:szCs w:val="30"/>
        </w:rPr>
        <w:t>增加会员</w:t>
      </w:r>
      <w:r w:rsidRPr="00CB65BF">
        <w:rPr>
          <w:rFonts w:ascii="仿宋" w:eastAsia="仿宋" w:hAnsi="仿宋" w:hint="eastAsia"/>
          <w:sz w:val="32"/>
          <w:szCs w:val="30"/>
        </w:rPr>
        <w:t>应当了解投资者相关信息，评估其风险认知及承受能力，</w:t>
      </w:r>
      <w:r w:rsidRPr="00CB65BF">
        <w:rPr>
          <w:rFonts w:ascii="仿宋" w:eastAsia="仿宋" w:hAnsi="仿宋"/>
          <w:sz w:val="32"/>
          <w:szCs w:val="30"/>
        </w:rPr>
        <w:t>并将评估结果及适当性匹配意见告知</w:t>
      </w:r>
      <w:r w:rsidRPr="00CB65BF">
        <w:rPr>
          <w:rFonts w:ascii="仿宋" w:eastAsia="仿宋" w:hAnsi="仿宋" w:hint="eastAsia"/>
          <w:sz w:val="32"/>
          <w:szCs w:val="30"/>
        </w:rPr>
        <w:t>投资者</w:t>
      </w:r>
      <w:r w:rsidRPr="00CB65BF">
        <w:rPr>
          <w:rFonts w:ascii="仿宋" w:eastAsia="仿宋" w:hAnsi="仿宋"/>
          <w:sz w:val="32"/>
          <w:szCs w:val="30"/>
        </w:rPr>
        <w:t>。</w:t>
      </w:r>
      <w:r w:rsidRPr="00CB65BF">
        <w:rPr>
          <w:rFonts w:ascii="仿宋" w:eastAsia="仿宋" w:hAnsi="仿宋" w:hint="eastAsia"/>
          <w:sz w:val="32"/>
          <w:szCs w:val="30"/>
        </w:rPr>
        <w:t>二是对于不配合适当性管理提供相关信息，或提供信息不真实、不准确、不完整的投资者，</w:t>
      </w:r>
      <w:r w:rsidRPr="00CB65BF">
        <w:rPr>
          <w:rFonts w:ascii="仿宋" w:eastAsia="仿宋" w:hAnsi="仿宋"/>
          <w:sz w:val="32"/>
          <w:szCs w:val="30"/>
        </w:rPr>
        <w:t>增加</w:t>
      </w:r>
      <w:r w:rsidRPr="00CB65BF">
        <w:rPr>
          <w:rFonts w:ascii="仿宋" w:eastAsia="仿宋" w:hAnsi="仿宋" w:hint="eastAsia"/>
          <w:sz w:val="32"/>
          <w:szCs w:val="30"/>
        </w:rPr>
        <w:t>会员应当告知其后果，并拒绝为其开通创业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板交易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权限的要求。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仿宋" w:eastAsia="仿宋" w:hAnsi="仿宋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明确创业</w:t>
      </w:r>
      <w:proofErr w:type="gramStart"/>
      <w:r w:rsidRPr="00751C7C">
        <w:rPr>
          <w:rFonts w:ascii="楷体" w:eastAsia="楷体" w:hAnsi="楷体" w:hint="eastAsia"/>
          <w:sz w:val="32"/>
          <w:szCs w:val="30"/>
        </w:rPr>
        <w:t>板适当</w:t>
      </w:r>
      <w:proofErr w:type="gramEnd"/>
      <w:r w:rsidRPr="00751C7C">
        <w:rPr>
          <w:rFonts w:ascii="楷体" w:eastAsia="楷体" w:hAnsi="楷体" w:hint="eastAsia"/>
          <w:sz w:val="32"/>
          <w:szCs w:val="30"/>
        </w:rPr>
        <w:t>性管理的适用范围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/>
          <w:sz w:val="32"/>
          <w:szCs w:val="30"/>
        </w:rPr>
        <w:t>明确股票</w:t>
      </w:r>
      <w:r w:rsidRPr="00CB65BF">
        <w:rPr>
          <w:rFonts w:ascii="仿宋" w:eastAsia="仿宋" w:hAnsi="仿宋" w:hint="eastAsia"/>
          <w:sz w:val="32"/>
          <w:szCs w:val="30"/>
        </w:rPr>
        <w:t>、</w:t>
      </w:r>
      <w:r w:rsidRPr="00CB65BF">
        <w:rPr>
          <w:rFonts w:ascii="仿宋" w:eastAsia="仿宋" w:hAnsi="仿宋"/>
          <w:sz w:val="32"/>
          <w:szCs w:val="30"/>
        </w:rPr>
        <w:t>存托凭证的申购、交易</w:t>
      </w:r>
      <w:r w:rsidRPr="00CB65BF">
        <w:rPr>
          <w:rFonts w:ascii="仿宋" w:eastAsia="仿宋" w:hAnsi="仿宋" w:hint="eastAsia"/>
          <w:sz w:val="32"/>
          <w:szCs w:val="30"/>
        </w:rPr>
        <w:t>适用</w:t>
      </w:r>
      <w:r w:rsidRPr="00CB65BF">
        <w:rPr>
          <w:rFonts w:ascii="仿宋" w:eastAsia="仿宋" w:hAnsi="仿宋"/>
          <w:sz w:val="32"/>
          <w:szCs w:val="30"/>
        </w:rPr>
        <w:t>创业</w:t>
      </w:r>
      <w:proofErr w:type="gramStart"/>
      <w:r w:rsidRPr="00CB65BF">
        <w:rPr>
          <w:rFonts w:ascii="仿宋" w:eastAsia="仿宋" w:hAnsi="仿宋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/>
          <w:sz w:val="32"/>
          <w:szCs w:val="30"/>
        </w:rPr>
        <w:t>性管理要求。</w:t>
      </w:r>
      <w:r w:rsidRPr="00CB65BF">
        <w:rPr>
          <w:rFonts w:ascii="仿宋" w:eastAsia="仿宋" w:hAnsi="仿宋" w:hint="eastAsia"/>
          <w:sz w:val="32"/>
          <w:szCs w:val="30"/>
        </w:rPr>
        <w:t>同时，在本所债券已有专门的适当性办法规范债券认购、交易的基础上，部分吸纳</w:t>
      </w:r>
      <w:r w:rsidRPr="00CB65BF">
        <w:rPr>
          <w:rFonts w:ascii="仿宋" w:eastAsia="仿宋" w:hAnsi="仿宋"/>
          <w:sz w:val="32"/>
          <w:szCs w:val="30"/>
        </w:rPr>
        <w:t>本所2016年发布的《关于做好创业板上市公司可转换公司债券适当性管理工作的通知》</w:t>
      </w:r>
      <w:r w:rsidRPr="00CB65BF">
        <w:rPr>
          <w:rFonts w:ascii="仿宋" w:eastAsia="仿宋" w:hAnsi="仿宋" w:hint="eastAsia"/>
          <w:sz w:val="32"/>
          <w:szCs w:val="30"/>
        </w:rPr>
        <w:t>内容，将相关可转债转股、可交债换股纳入</w:t>
      </w:r>
      <w:r w:rsidRPr="00CB65BF">
        <w:rPr>
          <w:rFonts w:ascii="仿宋" w:eastAsia="仿宋" w:hAnsi="仿宋"/>
          <w:sz w:val="32"/>
          <w:szCs w:val="30"/>
        </w:rPr>
        <w:t>创业</w:t>
      </w:r>
      <w:proofErr w:type="gramStart"/>
      <w:r w:rsidRPr="00CB65BF">
        <w:rPr>
          <w:rFonts w:ascii="仿宋" w:eastAsia="仿宋" w:hAnsi="仿宋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/>
          <w:sz w:val="32"/>
          <w:szCs w:val="30"/>
        </w:rPr>
        <w:t>性管理要求</w:t>
      </w:r>
      <w:r w:rsidRPr="00CB65BF">
        <w:rPr>
          <w:rFonts w:ascii="仿宋" w:eastAsia="仿宋" w:hAnsi="仿宋" w:hint="eastAsia"/>
          <w:sz w:val="32"/>
          <w:szCs w:val="30"/>
        </w:rPr>
        <w:t>范围。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楷体" w:eastAsia="楷体" w:hAnsi="楷体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梳理整合相关规则，完善制度体系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sz w:val="32"/>
          <w:szCs w:val="30"/>
        </w:rPr>
        <w:t>为使创业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板适当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性管理制度体系更加清晰简明，本所对现有规则体系进行了简化，将《业务指引》和相关《通知》中，有关动态跟踪评估投资者、持续进行风险提示等内容纳入《实施办法》，《业务指引》和相关《通知》予以废止。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楷体" w:eastAsia="楷体" w:hAnsi="楷体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调整已不再适用的投资者交易行为管理等内容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sz w:val="32"/>
          <w:szCs w:val="30"/>
        </w:rPr>
        <w:t>一是新近发布的</w:t>
      </w:r>
      <w:r w:rsidRPr="00CB65BF">
        <w:rPr>
          <w:rFonts w:ascii="仿宋" w:eastAsia="仿宋" w:hAnsi="仿宋"/>
          <w:sz w:val="32"/>
          <w:szCs w:val="30"/>
        </w:rPr>
        <w:t>《会员管理规则（2019年</w:t>
      </w:r>
      <w:r w:rsidRPr="00CB65BF">
        <w:rPr>
          <w:rFonts w:ascii="仿宋" w:eastAsia="仿宋" w:hAnsi="仿宋" w:hint="eastAsia"/>
          <w:sz w:val="32"/>
          <w:szCs w:val="30"/>
        </w:rPr>
        <w:t>修订</w:t>
      </w:r>
      <w:r w:rsidRPr="00CB65BF">
        <w:rPr>
          <w:rFonts w:ascii="仿宋" w:eastAsia="仿宋" w:hAnsi="仿宋"/>
          <w:sz w:val="32"/>
          <w:szCs w:val="30"/>
        </w:rPr>
        <w:t>）》《关于加强重点监控账户管理工作的通知》</w:t>
      </w:r>
      <w:r w:rsidRPr="00CB65BF">
        <w:rPr>
          <w:rFonts w:ascii="仿宋" w:eastAsia="仿宋" w:hAnsi="仿宋" w:hint="eastAsia"/>
          <w:sz w:val="32"/>
          <w:szCs w:val="30"/>
        </w:rPr>
        <w:t>，对投资者交易行为管理</w:t>
      </w:r>
      <w:r w:rsidRPr="00CB65BF">
        <w:rPr>
          <w:rFonts w:ascii="仿宋" w:eastAsia="仿宋" w:hAnsi="仿宋"/>
          <w:sz w:val="32"/>
          <w:szCs w:val="30"/>
        </w:rPr>
        <w:t>有</w:t>
      </w:r>
      <w:r w:rsidRPr="00CB65BF">
        <w:rPr>
          <w:rFonts w:ascii="仿宋" w:eastAsia="仿宋" w:hAnsi="仿宋" w:hint="eastAsia"/>
          <w:sz w:val="32"/>
          <w:szCs w:val="30"/>
        </w:rPr>
        <w:lastRenderedPageBreak/>
        <w:t>了</w:t>
      </w:r>
      <w:r w:rsidRPr="00CB65BF">
        <w:rPr>
          <w:rFonts w:ascii="仿宋" w:eastAsia="仿宋" w:hAnsi="仿宋"/>
          <w:sz w:val="32"/>
          <w:szCs w:val="30"/>
        </w:rPr>
        <w:t>新</w:t>
      </w:r>
      <w:r w:rsidRPr="00CB65BF">
        <w:rPr>
          <w:rFonts w:ascii="仿宋" w:eastAsia="仿宋" w:hAnsi="仿宋" w:hint="eastAsia"/>
          <w:sz w:val="32"/>
          <w:szCs w:val="30"/>
        </w:rPr>
        <w:t>的更有针对性的</w:t>
      </w:r>
      <w:r w:rsidRPr="00CB65BF">
        <w:rPr>
          <w:rFonts w:ascii="仿宋" w:eastAsia="仿宋" w:hAnsi="仿宋"/>
          <w:sz w:val="32"/>
          <w:szCs w:val="30"/>
        </w:rPr>
        <w:t>要求</w:t>
      </w:r>
      <w:r w:rsidRPr="00CB65BF">
        <w:rPr>
          <w:rFonts w:ascii="仿宋" w:eastAsia="仿宋" w:hAnsi="仿宋" w:hint="eastAsia"/>
          <w:sz w:val="32"/>
          <w:szCs w:val="30"/>
        </w:rPr>
        <w:t>，原</w:t>
      </w:r>
      <w:r w:rsidRPr="00CB65BF">
        <w:rPr>
          <w:rFonts w:ascii="仿宋" w:eastAsia="仿宋" w:hAnsi="仿宋"/>
          <w:sz w:val="32"/>
          <w:szCs w:val="30"/>
        </w:rPr>
        <w:t>《实施办法》</w:t>
      </w:r>
      <w:r w:rsidRPr="00CB65BF">
        <w:rPr>
          <w:rFonts w:ascii="仿宋" w:eastAsia="仿宋" w:hAnsi="仿宋" w:hint="eastAsia"/>
          <w:sz w:val="32"/>
          <w:szCs w:val="30"/>
        </w:rPr>
        <w:t>相关内容已不再适用，予以删除</w:t>
      </w:r>
      <w:r w:rsidRPr="00CB65BF">
        <w:rPr>
          <w:rFonts w:ascii="仿宋" w:eastAsia="仿宋" w:hAnsi="仿宋"/>
          <w:sz w:val="32"/>
          <w:szCs w:val="30"/>
        </w:rPr>
        <w:t>。</w:t>
      </w:r>
      <w:r w:rsidRPr="00CB65BF">
        <w:rPr>
          <w:rFonts w:ascii="仿宋" w:eastAsia="仿宋" w:hAnsi="仿宋" w:hint="eastAsia"/>
          <w:sz w:val="32"/>
          <w:szCs w:val="30"/>
        </w:rPr>
        <w:t>二是删除会员受理投诉纠纷、本所监督检查、</w:t>
      </w:r>
      <w:r w:rsidRPr="00CB65BF">
        <w:rPr>
          <w:rFonts w:ascii="仿宋" w:eastAsia="仿宋" w:hAnsi="仿宋"/>
          <w:sz w:val="32"/>
          <w:szCs w:val="30"/>
        </w:rPr>
        <w:t>会员监管具体措施</w:t>
      </w:r>
      <w:r w:rsidRPr="00CB65BF">
        <w:rPr>
          <w:rFonts w:ascii="仿宋" w:eastAsia="仿宋" w:hAnsi="仿宋" w:hint="eastAsia"/>
          <w:sz w:val="32"/>
          <w:szCs w:val="30"/>
        </w:rPr>
        <w:t>相关表述，《会员管理规则（</w:t>
      </w:r>
      <w:r w:rsidRPr="00CB65BF">
        <w:rPr>
          <w:rFonts w:ascii="仿宋" w:eastAsia="仿宋" w:hAnsi="仿宋"/>
          <w:sz w:val="32"/>
          <w:szCs w:val="30"/>
        </w:rPr>
        <w:t>2019年修订）》已有</w:t>
      </w:r>
      <w:r w:rsidRPr="00CB65BF">
        <w:rPr>
          <w:rFonts w:ascii="仿宋" w:eastAsia="仿宋" w:hAnsi="仿宋" w:hint="eastAsia"/>
          <w:sz w:val="32"/>
          <w:szCs w:val="30"/>
        </w:rPr>
        <w:t>相关条款进行明确。</w:t>
      </w:r>
    </w:p>
    <w:p w:rsidR="003553A1" w:rsidRPr="00751C7C" w:rsidRDefault="003553A1" w:rsidP="003553A1">
      <w:pPr>
        <w:pStyle w:val="a5"/>
        <w:numPr>
          <w:ilvl w:val="0"/>
          <w:numId w:val="1"/>
        </w:numPr>
        <w:spacing w:line="560" w:lineRule="exact"/>
        <w:ind w:left="0" w:firstLine="640"/>
        <w:rPr>
          <w:rFonts w:ascii="楷体" w:eastAsia="楷体" w:hAnsi="楷体"/>
          <w:sz w:val="32"/>
          <w:szCs w:val="30"/>
        </w:rPr>
      </w:pPr>
      <w:r w:rsidRPr="00751C7C">
        <w:rPr>
          <w:rFonts w:ascii="楷体" w:eastAsia="楷体" w:hAnsi="楷体" w:hint="eastAsia"/>
          <w:sz w:val="32"/>
          <w:szCs w:val="30"/>
        </w:rPr>
        <w:t>修订《风险揭示书必备条款》并作为规则附件</w:t>
      </w:r>
    </w:p>
    <w:p w:rsidR="003553A1" w:rsidRPr="00CB65BF" w:rsidRDefault="003553A1" w:rsidP="003553A1">
      <w:pPr>
        <w:spacing w:line="560" w:lineRule="exact"/>
        <w:ind w:firstLineChars="200" w:firstLine="640"/>
        <w:rPr>
          <w:rFonts w:ascii="仿宋" w:eastAsia="仿宋" w:hAnsi="仿宋"/>
          <w:sz w:val="32"/>
          <w:szCs w:val="30"/>
        </w:rPr>
      </w:pPr>
      <w:r w:rsidRPr="00CB65BF">
        <w:rPr>
          <w:rFonts w:ascii="仿宋" w:eastAsia="仿宋" w:hAnsi="仿宋" w:hint="eastAsia"/>
          <w:sz w:val="32"/>
          <w:szCs w:val="30"/>
        </w:rPr>
        <w:t>为使投资者充分了解创业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板相关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风险，要求会员充分揭示以下内容：创业板上市公司定位及特点，特殊的发行机制、交易机制及退市安排，可能存在的未盈利情形、协议控制架构及表决权差异安排，红</w:t>
      </w:r>
      <w:proofErr w:type="gramStart"/>
      <w:r w:rsidRPr="00CB65BF">
        <w:rPr>
          <w:rFonts w:ascii="仿宋" w:eastAsia="仿宋" w:hAnsi="仿宋" w:hint="eastAsia"/>
          <w:sz w:val="32"/>
          <w:szCs w:val="30"/>
        </w:rPr>
        <w:t>筹企业</w:t>
      </w:r>
      <w:proofErr w:type="gramEnd"/>
      <w:r w:rsidRPr="00CB65BF">
        <w:rPr>
          <w:rFonts w:ascii="仿宋" w:eastAsia="仿宋" w:hAnsi="仿宋" w:hint="eastAsia"/>
          <w:sz w:val="32"/>
          <w:szCs w:val="30"/>
        </w:rPr>
        <w:t>与境内注册上市企业在信息披露、分红派息等方面存在的差异等。</w:t>
      </w:r>
    </w:p>
    <w:p w:rsidR="002A4224" w:rsidRPr="003553A1" w:rsidRDefault="005C75F8">
      <w:bookmarkStart w:id="0" w:name="_GoBack"/>
      <w:bookmarkEnd w:id="0"/>
    </w:p>
    <w:sectPr w:rsidR="002A4224" w:rsidRPr="003553A1">
      <w:footerReference w:type="even" r:id="rId7"/>
      <w:footerReference w:type="default" r:id="rId8"/>
      <w:pgSz w:w="11907" w:h="16840" w:code="9"/>
      <w:pgMar w:top="2098" w:right="1588" w:bottom="1985" w:left="1701" w:header="0" w:footer="141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5F8" w:rsidRDefault="005C75F8" w:rsidP="003553A1">
      <w:r>
        <w:separator/>
      </w:r>
    </w:p>
  </w:endnote>
  <w:endnote w:type="continuationSeparator" w:id="0">
    <w:p w:rsidR="005C75F8" w:rsidRDefault="005C75F8" w:rsidP="0035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5BF" w:rsidRPr="003E5AD5" w:rsidRDefault="005C75F8" w:rsidP="00CB65BF">
    <w:pPr>
      <w:framePr w:wrap="around" w:vAnchor="text" w:hAnchor="page" w:x="1966" w:y="-34"/>
      <w:tabs>
        <w:tab w:val="center" w:pos="4153"/>
        <w:tab w:val="right" w:pos="8306"/>
      </w:tabs>
      <w:snapToGrid w:val="0"/>
      <w:ind w:left="440" w:hanging="440"/>
      <w:jc w:val="left"/>
      <w:rPr>
        <w:rFonts w:ascii="宋体" w:hAnsi="宋体"/>
        <w:sz w:val="28"/>
        <w:szCs w:val="28"/>
      </w:rPr>
    </w:pPr>
    <w:r w:rsidRPr="003E5AD5">
      <w:rPr>
        <w:rFonts w:ascii="宋体" w:hAnsi="宋体" w:hint="eastAsia"/>
        <w:sz w:val="28"/>
        <w:szCs w:val="28"/>
      </w:rPr>
      <w:t>—</w:t>
    </w:r>
    <w:r w:rsidRPr="003E5AD5">
      <w:rPr>
        <w:rFonts w:ascii="宋体" w:hAnsi="宋体" w:hint="eastAsia"/>
        <w:sz w:val="28"/>
        <w:szCs w:val="28"/>
      </w:rPr>
      <w:t xml:space="preserve"> </w:t>
    </w:r>
    <w:r w:rsidRPr="003E5AD5">
      <w:rPr>
        <w:rFonts w:ascii="宋体" w:hAnsi="宋体"/>
        <w:sz w:val="28"/>
        <w:szCs w:val="28"/>
      </w:rPr>
      <w:fldChar w:fldCharType="begin"/>
    </w:r>
    <w:r w:rsidRPr="003E5AD5">
      <w:rPr>
        <w:rFonts w:ascii="宋体" w:hAnsi="宋体"/>
        <w:sz w:val="28"/>
        <w:szCs w:val="28"/>
      </w:rPr>
      <w:instrText xml:space="preserve">PAGE  </w:instrText>
    </w:r>
    <w:r w:rsidRPr="003E5AD5"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noProof/>
        <w:sz w:val="28"/>
        <w:szCs w:val="28"/>
      </w:rPr>
      <w:t>12</w:t>
    </w:r>
    <w:r w:rsidRPr="003E5AD5">
      <w:rPr>
        <w:rFonts w:ascii="宋体" w:hAnsi="宋体"/>
        <w:sz w:val="28"/>
        <w:szCs w:val="28"/>
      </w:rPr>
      <w:fldChar w:fldCharType="end"/>
    </w:r>
    <w:r w:rsidRPr="003E5AD5">
      <w:rPr>
        <w:rFonts w:ascii="宋体" w:hAnsi="宋体" w:hint="eastAsia"/>
        <w:sz w:val="28"/>
        <w:szCs w:val="28"/>
      </w:rPr>
      <w:t xml:space="preserve"> </w:t>
    </w:r>
    <w:r w:rsidRPr="003E5AD5">
      <w:rPr>
        <w:rFonts w:ascii="宋体" w:hAnsi="宋体" w:hint="eastAsia"/>
        <w:sz w:val="28"/>
        <w:szCs w:val="28"/>
      </w:rPr>
      <w:t>—</w:t>
    </w:r>
  </w:p>
  <w:p w:rsidR="000D588C" w:rsidRDefault="005C75F8" w:rsidP="00726F9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5BF" w:rsidRPr="003E5AD5" w:rsidRDefault="005C75F8" w:rsidP="00CB65BF">
    <w:pPr>
      <w:framePr w:wrap="around" w:vAnchor="text" w:hAnchor="page" w:x="9061" w:y="1"/>
      <w:tabs>
        <w:tab w:val="center" w:pos="4153"/>
        <w:tab w:val="right" w:pos="8306"/>
      </w:tabs>
      <w:snapToGrid w:val="0"/>
      <w:ind w:left="440" w:hanging="20"/>
      <w:jc w:val="left"/>
      <w:rPr>
        <w:rFonts w:ascii="宋体" w:hAnsi="宋体"/>
        <w:sz w:val="28"/>
        <w:szCs w:val="28"/>
      </w:rPr>
    </w:pPr>
    <w:r w:rsidRPr="003E5AD5">
      <w:rPr>
        <w:rFonts w:ascii="宋体" w:hAnsi="宋体" w:hint="eastAsia"/>
        <w:sz w:val="28"/>
        <w:szCs w:val="28"/>
      </w:rPr>
      <w:t>—</w:t>
    </w:r>
    <w:r w:rsidRPr="003E5AD5">
      <w:rPr>
        <w:rFonts w:ascii="宋体" w:hAnsi="宋体" w:hint="eastAsia"/>
        <w:sz w:val="28"/>
        <w:szCs w:val="28"/>
      </w:rPr>
      <w:t xml:space="preserve"> </w:t>
    </w:r>
    <w:r w:rsidRPr="003E5AD5">
      <w:rPr>
        <w:rFonts w:ascii="宋体" w:hAnsi="宋体"/>
        <w:sz w:val="28"/>
        <w:szCs w:val="28"/>
      </w:rPr>
      <w:fldChar w:fldCharType="begin"/>
    </w:r>
    <w:r w:rsidRPr="003E5AD5">
      <w:rPr>
        <w:rFonts w:ascii="宋体" w:hAnsi="宋体"/>
        <w:sz w:val="28"/>
        <w:szCs w:val="28"/>
      </w:rPr>
      <w:instrText xml:space="preserve">PAGE  </w:instrText>
    </w:r>
    <w:r w:rsidRPr="003E5AD5">
      <w:rPr>
        <w:rFonts w:ascii="宋体" w:hAnsi="宋体"/>
        <w:sz w:val="28"/>
        <w:szCs w:val="28"/>
      </w:rPr>
      <w:fldChar w:fldCharType="separate"/>
    </w:r>
    <w:r w:rsidR="003553A1">
      <w:rPr>
        <w:rFonts w:ascii="宋体" w:hAnsi="宋体"/>
        <w:noProof/>
        <w:sz w:val="28"/>
        <w:szCs w:val="28"/>
      </w:rPr>
      <w:t>3</w:t>
    </w:r>
    <w:r w:rsidRPr="003E5AD5">
      <w:rPr>
        <w:rFonts w:ascii="宋体" w:hAnsi="宋体"/>
        <w:sz w:val="28"/>
        <w:szCs w:val="28"/>
      </w:rPr>
      <w:fldChar w:fldCharType="end"/>
    </w:r>
    <w:r w:rsidRPr="003E5AD5">
      <w:rPr>
        <w:rFonts w:ascii="宋体" w:hAnsi="宋体" w:hint="eastAsia"/>
        <w:sz w:val="28"/>
        <w:szCs w:val="28"/>
      </w:rPr>
      <w:t xml:space="preserve"> </w:t>
    </w:r>
    <w:r w:rsidRPr="003E5AD5">
      <w:rPr>
        <w:rFonts w:ascii="宋体" w:hAnsi="宋体" w:hint="eastAsia"/>
        <w:sz w:val="28"/>
        <w:szCs w:val="28"/>
      </w:rPr>
      <w:t>—</w:t>
    </w:r>
  </w:p>
  <w:p w:rsidR="000D588C" w:rsidRDefault="005C75F8" w:rsidP="00726F9E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5F8" w:rsidRDefault="005C75F8" w:rsidP="003553A1">
      <w:r>
        <w:separator/>
      </w:r>
    </w:p>
  </w:footnote>
  <w:footnote w:type="continuationSeparator" w:id="0">
    <w:p w:rsidR="005C75F8" w:rsidRDefault="005C75F8" w:rsidP="0035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F27C8"/>
    <w:multiLevelType w:val="hybridMultilevel"/>
    <w:tmpl w:val="C4240CAE"/>
    <w:lvl w:ilvl="0" w:tplc="27B0DFAE">
      <w:start w:val="1"/>
      <w:numFmt w:val="chineseCountingThousand"/>
      <w:lvlText w:val="（%1）"/>
      <w:lvlJc w:val="left"/>
      <w:pPr>
        <w:ind w:left="1063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33"/>
    <w:rsid w:val="000217BC"/>
    <w:rsid w:val="003553A1"/>
    <w:rsid w:val="00553E74"/>
    <w:rsid w:val="005C75F8"/>
    <w:rsid w:val="00D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AC4E38-C4CE-47F8-8660-072AFCCE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3A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5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53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5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53A1"/>
    <w:rPr>
      <w:sz w:val="18"/>
      <w:szCs w:val="18"/>
    </w:rPr>
  </w:style>
  <w:style w:type="paragraph" w:styleId="a5">
    <w:name w:val="List Paragraph"/>
    <w:basedOn w:val="a"/>
    <w:uiPriority w:val="34"/>
    <w:qFormat/>
    <w:rsid w:val="003553A1"/>
    <w:pPr>
      <w:ind w:firstLineChars="200" w:firstLine="420"/>
    </w:pPr>
    <w:rPr>
      <w:rFonts w:ascii="Calibri" w:hAnsi="Calibri"/>
      <w:szCs w:val="22"/>
    </w:rPr>
  </w:style>
  <w:style w:type="paragraph" w:styleId="a6">
    <w:name w:val="Subtitle"/>
    <w:basedOn w:val="a"/>
    <w:next w:val="a"/>
    <w:link w:val="Char1"/>
    <w:uiPriority w:val="11"/>
    <w:qFormat/>
    <w:rsid w:val="003553A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uiPriority w:val="11"/>
    <w:rsid w:val="003553A1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1497</Characters>
  <Application>Microsoft Office Word</Application>
  <DocSecurity>0</DocSecurity>
  <Lines>12</Lines>
  <Paragraphs>3</Paragraphs>
  <ScaleCrop>false</ScaleCrop>
  <Company>Sky123.Org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2</cp:revision>
  <dcterms:created xsi:type="dcterms:W3CDTF">2020-04-27T17:28:00Z</dcterms:created>
  <dcterms:modified xsi:type="dcterms:W3CDTF">2020-04-27T17:28:00Z</dcterms:modified>
</cp:coreProperties>
</file>