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附件</w:t>
      </w:r>
      <w:bookmarkStart w:id="0" w:name="_Toc357532798"/>
      <w:bookmarkStart w:id="1" w:name="_Toc357531537"/>
      <w:bookmarkStart w:id="2" w:name="_Toc357537494"/>
      <w:r>
        <w:rPr>
          <w:rFonts w:hint="eastAsia" w:asciiTheme="minorEastAsia" w:hAnsiTheme="minorEastAsia" w:eastAsiaTheme="minorEastAsia" w:cstheme="minorEastAsia"/>
          <w:sz w:val="32"/>
          <w:szCs w:val="32"/>
          <w:lang w:val="en-US" w:eastAsia="zh-CN"/>
        </w:rPr>
        <w:t>2</w:t>
      </w:r>
    </w:p>
    <w:p>
      <w:pPr>
        <w:jc w:val="center"/>
        <w:rPr>
          <w:rFonts w:hint="default" w:ascii="微软雅黑" w:hAnsi="微软雅黑" w:eastAsia="宋体" w:cs="微软雅黑"/>
          <w:b/>
          <w:bCs/>
          <w:color w:val="auto"/>
          <w:sz w:val="18"/>
          <w:szCs w:val="18"/>
          <w:vertAlign w:val="baseline"/>
          <w:lang w:val="en-US" w:eastAsia="zh-CN"/>
        </w:rPr>
      </w:pPr>
      <w:r>
        <w:rPr>
          <w:rFonts w:hint="eastAsia"/>
          <w:sz w:val="32"/>
          <w:szCs w:val="32"/>
          <w:lang w:val="en-US" w:eastAsia="zh-CN"/>
        </w:rPr>
        <w:t>《融资融券业务交易风险揭示书</w:t>
      </w:r>
      <w:bookmarkEnd w:id="0"/>
      <w:bookmarkEnd w:id="1"/>
      <w:bookmarkEnd w:id="2"/>
      <w:r>
        <w:rPr>
          <w:rFonts w:hint="eastAsia"/>
          <w:sz w:val="32"/>
          <w:szCs w:val="32"/>
          <w:lang w:val="en-US" w:eastAsia="zh-CN"/>
        </w:rPr>
        <w:t>》修订对照表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261" w:type="dxa"/>
            <w:shd w:val="clear" w:color="auto" w:fill="FFFFFF" w:themeFill="background1"/>
            <w:noWrap w:val="0"/>
            <w:vAlign w:val="top"/>
          </w:tcPr>
          <w:p>
            <w:pPr>
              <w:spacing w:line="240" w:lineRule="auto"/>
              <w:jc w:val="center"/>
              <w:rPr>
                <w:rFonts w:hint="eastAsia" w:asciiTheme="minorEastAsia" w:hAnsiTheme="minorEastAsia" w:eastAsiaTheme="minorEastAsia" w:cstheme="minorEastAsia"/>
                <w:b/>
                <w:bCs/>
                <w:color w:val="auto"/>
                <w:sz w:val="18"/>
                <w:szCs w:val="18"/>
                <w:vertAlign w:val="baseline"/>
                <w:lang w:val="en-US" w:eastAsia="zh-CN"/>
              </w:rPr>
            </w:pPr>
            <w:r>
              <w:rPr>
                <w:rFonts w:hint="eastAsia" w:asciiTheme="minorEastAsia" w:hAnsiTheme="minorEastAsia" w:eastAsiaTheme="minorEastAsia" w:cstheme="minorEastAsia"/>
                <w:b/>
                <w:bCs/>
                <w:color w:val="auto"/>
                <w:sz w:val="18"/>
                <w:szCs w:val="18"/>
                <w:vertAlign w:val="baseline"/>
                <w:lang w:val="en-US" w:eastAsia="zh-CN"/>
              </w:rPr>
              <w:t>202001版风险揭示书</w:t>
            </w:r>
          </w:p>
        </w:tc>
        <w:tc>
          <w:tcPr>
            <w:tcW w:w="4261" w:type="dxa"/>
            <w:shd w:val="clear" w:color="auto" w:fill="FFFFFF" w:themeFill="background1"/>
            <w:noWrap w:val="0"/>
            <w:vAlign w:val="top"/>
          </w:tcPr>
          <w:p>
            <w:pPr>
              <w:spacing w:line="240" w:lineRule="auto"/>
              <w:jc w:val="center"/>
              <w:rPr>
                <w:rFonts w:hint="eastAsia" w:asciiTheme="minorEastAsia" w:hAnsiTheme="minorEastAsia" w:eastAsiaTheme="minorEastAsia" w:cstheme="minorEastAsia"/>
                <w:b/>
                <w:bCs/>
                <w:color w:val="auto"/>
                <w:sz w:val="18"/>
                <w:szCs w:val="18"/>
                <w:vertAlign w:val="baseline"/>
                <w:lang w:val="en-US" w:eastAsia="zh-CN"/>
              </w:rPr>
            </w:pPr>
            <w:r>
              <w:rPr>
                <w:rFonts w:hint="eastAsia" w:asciiTheme="minorEastAsia" w:hAnsiTheme="minorEastAsia" w:eastAsiaTheme="minorEastAsia" w:cstheme="minorEastAsia"/>
                <w:b/>
                <w:bCs/>
                <w:color w:val="auto"/>
                <w:sz w:val="18"/>
                <w:szCs w:val="18"/>
                <w:vertAlign w:val="baseline"/>
                <w:lang w:val="en-US" w:eastAsia="zh-CN"/>
              </w:rPr>
              <w:t>修订后风险揭示书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4261" w:type="dxa"/>
            <w:noWrap w:val="0"/>
            <w:vAlign w:val="top"/>
          </w:tcPr>
          <w:p>
            <w:pPr>
              <w:numPr>
                <w:ilvl w:val="0"/>
                <w:numId w:val="0"/>
              </w:numPr>
              <w:spacing w:line="240" w:lineRule="auto"/>
              <w:jc w:val="both"/>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lang w:val="en-US" w:eastAsia="zh-CN"/>
              </w:rPr>
              <w:t>三、</w:t>
            </w:r>
            <w:r>
              <w:rPr>
                <w:rFonts w:hint="eastAsia" w:asciiTheme="minorEastAsia" w:hAnsiTheme="minorEastAsia" w:eastAsiaTheme="minorEastAsia" w:cstheme="minorEastAsia"/>
                <w:b/>
                <w:sz w:val="18"/>
                <w:szCs w:val="18"/>
              </w:rPr>
              <w:t xml:space="preserve">强制平仓风险 </w:t>
            </w:r>
          </w:p>
          <w:p>
            <w:pPr>
              <w:tabs>
                <w:tab w:val="left" w:pos="709"/>
              </w:tabs>
              <w:spacing w:line="240" w:lineRule="auto"/>
              <w:ind w:firstLine="361" w:firstLineChars="200"/>
              <w:jc w:val="both"/>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b/>
                <w:sz w:val="18"/>
                <w:szCs w:val="18"/>
              </w:rPr>
              <w:t>7、投资者在从事融资融券交易期间，如果其信用账户中的资产被全部强制平仓后仍不足以清偿所负债务或无法提高至约定的维持担保比例，或信用账户内的证券因减持规则、停牌、暂停上市、终止上市等因素导致强制平仓全部或部分未成交的，或发生《融资融券业务合同》约定的其他情形的，证券公司将有权对投资者在证券公司处开立的全部账户内的资产采取限制转出、限制交易，并有权通过处置证券等方式以实现债权。</w:t>
            </w:r>
          </w:p>
        </w:tc>
        <w:tc>
          <w:tcPr>
            <w:tcW w:w="4261" w:type="dxa"/>
            <w:noWrap w:val="0"/>
            <w:vAlign w:val="top"/>
          </w:tcPr>
          <w:p>
            <w:pPr>
              <w:tabs>
                <w:tab w:val="left" w:pos="709"/>
              </w:tabs>
              <w:spacing w:line="240" w:lineRule="auto"/>
              <w:jc w:val="both"/>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lang w:val="en-US" w:eastAsia="zh-CN"/>
              </w:rPr>
              <w:t>三、</w:t>
            </w:r>
            <w:r>
              <w:rPr>
                <w:rFonts w:hint="eastAsia" w:asciiTheme="minorEastAsia" w:hAnsiTheme="minorEastAsia" w:eastAsiaTheme="minorEastAsia" w:cstheme="minorEastAsia"/>
                <w:b/>
                <w:sz w:val="18"/>
                <w:szCs w:val="18"/>
              </w:rPr>
              <w:t xml:space="preserve">强制平仓风险 </w:t>
            </w:r>
          </w:p>
          <w:p>
            <w:pPr>
              <w:tabs>
                <w:tab w:val="left" w:pos="709"/>
              </w:tabs>
              <w:spacing w:line="240" w:lineRule="auto"/>
              <w:ind w:firstLine="361" w:firstLineChars="200"/>
              <w:jc w:val="both"/>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b/>
                <w:sz w:val="18"/>
                <w:szCs w:val="18"/>
              </w:rPr>
              <w:t>7、投资者在从事融资融券交易期间，如果其信用账户中的资产被全部强制平仓后仍不足以清偿所负债务或无法提高至约定的维持担保比例，或信用账户内的证券因减持规则、停牌、终止上市等因素导致强制平仓全部或部分未成交的，或发生《融资融券业务合同》约定的其他情形的，证券公司将有权对投资者在证券公司处开立的全部账户内的资产采取限制转出、限制交易，并有权通过处置证券等方式以实现债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top"/>
          </w:tcPr>
          <w:p>
            <w:pPr>
              <w:numPr>
                <w:ilvl w:val="0"/>
                <w:numId w:val="0"/>
              </w:numPr>
              <w:spacing w:line="240" w:lineRule="auto"/>
              <w:jc w:val="both"/>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lang w:val="en-US" w:eastAsia="zh-CN"/>
              </w:rPr>
              <w:t>四、</w:t>
            </w:r>
            <w:r>
              <w:rPr>
                <w:rFonts w:hint="eastAsia" w:asciiTheme="minorEastAsia" w:hAnsiTheme="minorEastAsia" w:eastAsiaTheme="minorEastAsia" w:cstheme="minorEastAsia"/>
                <w:b/>
                <w:sz w:val="18"/>
                <w:szCs w:val="18"/>
              </w:rPr>
              <w:t>信用资质、各项业务指标的调整风险</w:t>
            </w:r>
          </w:p>
          <w:p>
            <w:pPr>
              <w:numPr>
                <w:ilvl w:val="0"/>
                <w:numId w:val="0"/>
              </w:numPr>
              <w:spacing w:line="240" w:lineRule="auto"/>
              <w:ind w:firstLine="361" w:firstLineChars="200"/>
              <w:jc w:val="both"/>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ab/>
            </w:r>
            <w:r>
              <w:rPr>
                <w:rFonts w:hint="eastAsia" w:asciiTheme="minorEastAsia" w:hAnsiTheme="minorEastAsia" w:eastAsiaTheme="minorEastAsia" w:cstheme="minorEastAsia"/>
                <w:b/>
                <w:sz w:val="18"/>
                <w:szCs w:val="18"/>
              </w:rPr>
              <w:t>投资者在从事融资融券交易期间，如果其信用资质状况降低，证券公司会相应降低对其的授信额度。</w:t>
            </w:r>
          </w:p>
          <w:p>
            <w:pPr>
              <w:numPr>
                <w:ilvl w:val="0"/>
                <w:numId w:val="0"/>
              </w:numPr>
              <w:spacing w:line="240" w:lineRule="auto"/>
              <w:ind w:firstLine="361" w:firstLineChars="200"/>
              <w:jc w:val="both"/>
              <w:rPr>
                <w:rFonts w:hint="eastAsia" w:asciiTheme="minorEastAsia" w:hAnsiTheme="minorEastAsia" w:eastAsiaTheme="minorEastAsia" w:cstheme="minorEastAsia"/>
                <w:b/>
                <w:sz w:val="18"/>
                <w:szCs w:val="18"/>
                <w:lang w:val="en-US" w:eastAsia="zh-CN"/>
              </w:rPr>
            </w:pPr>
          </w:p>
          <w:p>
            <w:pPr>
              <w:spacing w:line="240" w:lineRule="auto"/>
              <w:jc w:val="both"/>
              <w:rPr>
                <w:rFonts w:hint="eastAsia" w:asciiTheme="minorEastAsia" w:hAnsiTheme="minorEastAsia" w:eastAsiaTheme="minorEastAsia" w:cstheme="minorEastAsia"/>
                <w:sz w:val="18"/>
                <w:szCs w:val="18"/>
                <w:vertAlign w:val="baseline"/>
                <w:lang w:val="en-US" w:eastAsia="zh-CN"/>
              </w:rPr>
            </w:pPr>
          </w:p>
        </w:tc>
        <w:tc>
          <w:tcPr>
            <w:tcW w:w="4261" w:type="dxa"/>
            <w:noWrap w:val="0"/>
            <w:vAlign w:val="top"/>
          </w:tcPr>
          <w:p>
            <w:pPr>
              <w:numPr>
                <w:ilvl w:val="0"/>
                <w:numId w:val="0"/>
              </w:numPr>
              <w:spacing w:line="240" w:lineRule="auto"/>
              <w:jc w:val="both"/>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lang w:val="en-US" w:eastAsia="zh-CN"/>
              </w:rPr>
              <w:t>四、</w:t>
            </w:r>
            <w:r>
              <w:rPr>
                <w:rFonts w:hint="eastAsia" w:asciiTheme="minorEastAsia" w:hAnsiTheme="minorEastAsia" w:eastAsiaTheme="minorEastAsia" w:cstheme="minorEastAsia"/>
                <w:b/>
                <w:sz w:val="18"/>
                <w:szCs w:val="18"/>
              </w:rPr>
              <w:t>信用资质、各项业务指标的调整风险</w:t>
            </w:r>
          </w:p>
          <w:p>
            <w:pPr>
              <w:numPr>
                <w:ilvl w:val="0"/>
                <w:numId w:val="0"/>
              </w:numPr>
              <w:spacing w:line="240" w:lineRule="auto"/>
              <w:ind w:firstLine="361" w:firstLineChars="200"/>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sz w:val="18"/>
                <w:szCs w:val="18"/>
              </w:rPr>
              <w:t>投资者在从事融资融券交易期间，如果其信用资质状况降低，证券公司</w:t>
            </w:r>
            <w:r>
              <w:rPr>
                <w:rFonts w:hint="eastAsia" w:asciiTheme="minorEastAsia" w:hAnsiTheme="minorEastAsia" w:eastAsiaTheme="minorEastAsia" w:cstheme="minorEastAsia"/>
                <w:b/>
                <w:sz w:val="18"/>
                <w:szCs w:val="18"/>
                <w:lang w:val="en-US"/>
              </w:rPr>
              <w:t>会</w:t>
            </w:r>
            <w:r>
              <w:rPr>
                <w:rFonts w:hint="eastAsia" w:asciiTheme="minorEastAsia" w:hAnsiTheme="minorEastAsia" w:eastAsiaTheme="minorEastAsia" w:cstheme="minorEastAsia"/>
                <w:b/>
                <w:sz w:val="18"/>
                <w:szCs w:val="18"/>
              </w:rPr>
              <w:t>相应降低对其的授信额度。</w:t>
            </w:r>
            <w:r>
              <w:rPr>
                <w:rFonts w:hint="eastAsia" w:asciiTheme="minorEastAsia" w:hAnsiTheme="minorEastAsia" w:eastAsiaTheme="minorEastAsia" w:cstheme="minorEastAsia"/>
                <w:b/>
                <w:sz w:val="18"/>
                <w:szCs w:val="18"/>
                <w:lang w:val="en-US" w:eastAsia="zh-CN"/>
              </w:rPr>
              <w:t>证券公司授予投资者的授信额度，投资者可在授信期内循环使用，但受市场影响证券公司并不保证投资者需要时即能融到资金或者证券。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top"/>
          </w:tcPr>
          <w:p>
            <w:pPr>
              <w:spacing w:line="240" w:lineRule="auto"/>
              <w:jc w:val="both"/>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六、提前了结融资融券交易的风险</w:t>
            </w:r>
          </w:p>
          <w:p>
            <w:pPr>
              <w:spacing w:line="240" w:lineRule="auto"/>
              <w:ind w:firstLine="360" w:firstLineChars="200"/>
              <w:jc w:val="both"/>
              <w:rPr>
                <w:rFonts w:hint="eastAsia" w:asciiTheme="minorEastAsia" w:hAnsiTheme="minorEastAsia" w:eastAsiaTheme="minorEastAsia" w:cstheme="minorEastAsia"/>
                <w:b/>
                <w:sz w:val="18"/>
                <w:szCs w:val="18"/>
                <w:lang w:val="en-US" w:eastAsia="zh-CN"/>
              </w:rPr>
            </w:pPr>
            <w:r>
              <w:rPr>
                <w:rFonts w:hint="eastAsia" w:asciiTheme="minorEastAsia" w:hAnsiTheme="minorEastAsia" w:eastAsiaTheme="minorEastAsia" w:cstheme="minorEastAsia"/>
                <w:b w:val="0"/>
                <w:bCs/>
                <w:sz w:val="18"/>
                <w:szCs w:val="18"/>
                <w:lang w:val="en-US" w:eastAsia="zh-CN"/>
              </w:rPr>
              <w:t>2、投资者在从事融资融券交易期间，</w:t>
            </w:r>
            <w:r>
              <w:rPr>
                <w:rFonts w:hint="eastAsia" w:asciiTheme="minorEastAsia" w:hAnsiTheme="minorEastAsia" w:eastAsiaTheme="minorEastAsia" w:cstheme="minorEastAsia"/>
                <w:b/>
                <w:sz w:val="18"/>
                <w:szCs w:val="18"/>
                <w:lang w:val="en-US" w:eastAsia="zh-CN"/>
              </w:rPr>
              <w:t>如果发生融资融券标的证券范围调整、标的证券暂停交易、被交易所实施风险警示、暂停上市、终止上市等情况或要约收购等情况，投资者有面临被证券公司要求提前了结融资融券交易并可能因此而给投资者带来损失的风险。</w:t>
            </w:r>
          </w:p>
        </w:tc>
        <w:tc>
          <w:tcPr>
            <w:tcW w:w="4261" w:type="dxa"/>
            <w:noWrap w:val="0"/>
            <w:vAlign w:val="top"/>
          </w:tcPr>
          <w:p>
            <w:pPr>
              <w:numPr>
                <w:ilvl w:val="0"/>
                <w:numId w:val="0"/>
              </w:numPr>
              <w:spacing w:line="240" w:lineRule="auto"/>
              <w:ind w:firstLine="0" w:firstLineChars="0"/>
              <w:jc w:val="both"/>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六、提前了结融资融券交易的风险</w:t>
            </w:r>
          </w:p>
          <w:p>
            <w:pPr>
              <w:numPr>
                <w:ilvl w:val="0"/>
                <w:numId w:val="0"/>
              </w:numPr>
              <w:spacing w:line="240" w:lineRule="auto"/>
              <w:ind w:firstLine="360" w:firstLineChars="200"/>
              <w:jc w:val="both"/>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val="0"/>
                <w:bCs/>
                <w:sz w:val="18"/>
                <w:szCs w:val="18"/>
                <w:lang w:val="en-US" w:eastAsia="zh-CN"/>
              </w:rPr>
              <w:t>2、</w:t>
            </w:r>
            <w:r>
              <w:rPr>
                <w:rFonts w:hint="eastAsia" w:asciiTheme="minorEastAsia" w:hAnsiTheme="minorEastAsia" w:eastAsiaTheme="minorEastAsia" w:cstheme="minorEastAsia"/>
                <w:b w:val="0"/>
                <w:bCs/>
                <w:sz w:val="18"/>
                <w:szCs w:val="18"/>
              </w:rPr>
              <w:t>投资者在从事融资融券交易期间，</w:t>
            </w:r>
            <w:r>
              <w:rPr>
                <w:rFonts w:hint="eastAsia" w:asciiTheme="minorEastAsia" w:hAnsiTheme="minorEastAsia" w:eastAsiaTheme="minorEastAsia" w:cstheme="minorEastAsia"/>
                <w:b/>
                <w:sz w:val="18"/>
                <w:szCs w:val="18"/>
              </w:rPr>
              <w:t>如果发生融资融券标的证券范围调整、标的证券暂停交易、被交易所实施风险警示、终止上市等情况或要约收购等情况，投资者有面临被证券公司要求提前了结融资融券交易并可能因此而给投资者带来损失的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61" w:type="dxa"/>
            <w:noWrap w:val="0"/>
            <w:vAlign w:val="top"/>
          </w:tcPr>
          <w:p>
            <w:pPr>
              <w:numPr>
                <w:ilvl w:val="0"/>
                <w:numId w:val="0"/>
              </w:numPr>
              <w:spacing w:line="240" w:lineRule="auto"/>
              <w:jc w:val="both"/>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lang w:val="en-US" w:eastAsia="zh-CN"/>
              </w:rPr>
              <w:t>十、</w:t>
            </w:r>
            <w:r>
              <w:rPr>
                <w:rFonts w:hint="eastAsia" w:asciiTheme="minorEastAsia" w:hAnsiTheme="minorEastAsia" w:eastAsiaTheme="minorEastAsia" w:cstheme="minorEastAsia"/>
                <w:b/>
                <w:sz w:val="18"/>
                <w:szCs w:val="18"/>
              </w:rPr>
              <w:t>被限制或取消交易资格的风险</w:t>
            </w:r>
          </w:p>
          <w:p>
            <w:pPr>
              <w:numPr>
                <w:ilvl w:val="0"/>
                <w:numId w:val="0"/>
              </w:numPr>
              <w:spacing w:line="240" w:lineRule="auto"/>
              <w:ind w:firstLine="360" w:firstLineChars="200"/>
              <w:jc w:val="both"/>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val="0"/>
                <w:bCs/>
                <w:sz w:val="18"/>
                <w:szCs w:val="18"/>
                <w:lang w:val="en-US" w:eastAsia="zh-CN"/>
              </w:rPr>
              <w:t>10、</w:t>
            </w:r>
            <w:r>
              <w:rPr>
                <w:rFonts w:hint="eastAsia" w:asciiTheme="minorEastAsia" w:hAnsiTheme="minorEastAsia" w:eastAsiaTheme="minorEastAsia" w:cstheme="minorEastAsia"/>
                <w:b/>
                <w:sz w:val="18"/>
                <w:szCs w:val="18"/>
              </w:rPr>
              <w:t>如违法违规使用账户，或存在严重影响正常交易秩序的异常交易行为的，投资者将有被限制或取消融资融券交易资格并可能因此而带来损失的风险。</w:t>
            </w:r>
          </w:p>
          <w:p>
            <w:pPr>
              <w:numPr>
                <w:ilvl w:val="0"/>
                <w:numId w:val="0"/>
              </w:numPr>
              <w:spacing w:line="240" w:lineRule="auto"/>
              <w:ind w:firstLine="361" w:firstLineChars="200"/>
              <w:jc w:val="both"/>
              <w:rPr>
                <w:rFonts w:hint="eastAsia" w:asciiTheme="minorEastAsia" w:hAnsiTheme="minorEastAsia" w:eastAsiaTheme="minorEastAsia" w:cstheme="minorEastAsia"/>
                <w:b/>
                <w:sz w:val="18"/>
                <w:szCs w:val="18"/>
                <w:lang w:val="en-US" w:eastAsia="zh-CN"/>
              </w:rPr>
            </w:pPr>
          </w:p>
          <w:p>
            <w:pPr>
              <w:numPr>
                <w:ilvl w:val="0"/>
                <w:numId w:val="0"/>
              </w:numPr>
              <w:spacing w:line="240" w:lineRule="auto"/>
              <w:ind w:firstLine="361" w:firstLineChars="200"/>
              <w:jc w:val="both"/>
              <w:rPr>
                <w:rFonts w:hint="eastAsia" w:asciiTheme="minorEastAsia" w:hAnsiTheme="minorEastAsia" w:eastAsiaTheme="minorEastAsia" w:cstheme="minorEastAsia"/>
                <w:b/>
                <w:sz w:val="18"/>
                <w:szCs w:val="18"/>
                <w:lang w:val="en-US" w:eastAsia="zh-CN"/>
              </w:rPr>
            </w:pPr>
            <w:r>
              <w:rPr>
                <w:rFonts w:hint="eastAsia" w:asciiTheme="minorEastAsia" w:hAnsiTheme="minorEastAsia" w:eastAsiaTheme="minorEastAsia" w:cstheme="minorEastAsia"/>
                <w:b/>
                <w:sz w:val="18"/>
                <w:szCs w:val="18"/>
                <w:lang w:val="en-US" w:eastAsia="zh-CN"/>
              </w:rPr>
              <w:t>11、证券公司有权根据投资者的违约情况及信用情况，调整该投资者融资融券业务的信用等级、授信额度，调整该投资者在证券公司其他信用业务的信用等级、授信额度，将投资者列入证券公司重点关注投资者名单、投资者黑名单，同时有权视情节将相关信息上传至行业类黑名单、人行征信中心等诚信管理机构，由此造成的后果由投资者自行承担。</w:t>
            </w:r>
          </w:p>
          <w:p>
            <w:pPr>
              <w:numPr>
                <w:ilvl w:val="0"/>
                <w:numId w:val="0"/>
              </w:numPr>
              <w:spacing w:line="240" w:lineRule="auto"/>
              <w:ind w:firstLine="361" w:firstLineChars="200"/>
              <w:jc w:val="both"/>
              <w:rPr>
                <w:rFonts w:hint="eastAsia" w:asciiTheme="minorEastAsia" w:hAnsiTheme="minorEastAsia" w:eastAsiaTheme="minorEastAsia" w:cstheme="minorEastAsia"/>
                <w:b/>
                <w:sz w:val="18"/>
                <w:szCs w:val="18"/>
                <w:lang w:val="en-US" w:eastAsia="zh-CN"/>
              </w:rPr>
            </w:pPr>
          </w:p>
        </w:tc>
        <w:tc>
          <w:tcPr>
            <w:tcW w:w="4261" w:type="dxa"/>
            <w:noWrap w:val="0"/>
            <w:vAlign w:val="top"/>
          </w:tcPr>
          <w:p>
            <w:pPr>
              <w:numPr>
                <w:ilvl w:val="0"/>
                <w:numId w:val="0"/>
              </w:numPr>
              <w:spacing w:line="240" w:lineRule="auto"/>
              <w:jc w:val="both"/>
              <w:rPr>
                <w:rFonts w:hint="eastAsia" w:asciiTheme="minorEastAsia" w:hAnsiTheme="minorEastAsia" w:eastAsiaTheme="minorEastAsia" w:cstheme="minorEastAsia"/>
                <w:b/>
                <w:sz w:val="18"/>
                <w:szCs w:val="18"/>
                <w:lang w:val="en-US" w:eastAsia="zh-CN"/>
              </w:rPr>
            </w:pPr>
            <w:r>
              <w:rPr>
                <w:rFonts w:hint="eastAsia" w:asciiTheme="minorEastAsia" w:hAnsiTheme="minorEastAsia" w:eastAsiaTheme="minorEastAsia" w:cstheme="minorEastAsia"/>
                <w:b/>
                <w:sz w:val="18"/>
                <w:szCs w:val="18"/>
                <w:lang w:val="en-US" w:eastAsia="zh-CN"/>
              </w:rPr>
              <w:t>十、被限制或取消交易资格的风险</w:t>
            </w:r>
          </w:p>
          <w:p>
            <w:pPr>
              <w:tabs>
                <w:tab w:val="left" w:pos="709"/>
              </w:tabs>
              <w:spacing w:line="240" w:lineRule="auto"/>
              <w:ind w:firstLine="360" w:firstLineChars="20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bCs/>
                <w:sz w:val="18"/>
                <w:szCs w:val="18"/>
                <w:lang w:val="en-US" w:eastAsia="zh-CN"/>
              </w:rPr>
              <w:t>10、</w:t>
            </w:r>
            <w:r>
              <w:rPr>
                <w:rFonts w:hint="eastAsia" w:asciiTheme="minorEastAsia" w:hAnsiTheme="minorEastAsia" w:eastAsiaTheme="minorEastAsia" w:cstheme="minorEastAsia"/>
                <w:b/>
                <w:sz w:val="18"/>
                <w:szCs w:val="18"/>
                <w:lang w:val="en-US" w:eastAsia="zh-CN"/>
              </w:rPr>
              <w:t>如违法违规使用账户、存在严重影响正常交易秩序的异常交易行为的、受到交易所处罚或收到交易所各类警示函件的，投资者将有被限制或取消融资融券交易资格并可能因此而带来损失的风险。</w:t>
            </w:r>
          </w:p>
          <w:p>
            <w:pPr>
              <w:tabs>
                <w:tab w:val="left" w:pos="709"/>
              </w:tabs>
              <w:spacing w:line="240" w:lineRule="auto"/>
              <w:ind w:firstLine="361" w:firstLineChars="200"/>
              <w:rPr>
                <w:rFonts w:hint="eastAsia" w:asciiTheme="minorEastAsia" w:hAnsiTheme="minorEastAsia" w:eastAsiaTheme="minorEastAsia" w:cstheme="minorEastAsia"/>
                <w:b/>
                <w:sz w:val="18"/>
                <w:szCs w:val="18"/>
                <w:lang w:val="en-US" w:eastAsia="zh-CN"/>
              </w:rPr>
            </w:pPr>
            <w:r>
              <w:rPr>
                <w:rFonts w:hint="eastAsia" w:asciiTheme="minorEastAsia" w:hAnsiTheme="minorEastAsia" w:eastAsiaTheme="minorEastAsia" w:cstheme="minorEastAsia"/>
                <w:b/>
                <w:sz w:val="18"/>
                <w:szCs w:val="18"/>
                <w:lang w:val="en-US" w:eastAsia="zh-CN"/>
              </w:rPr>
              <w:t>11、证券公司有权根据投资者的违约情况、信用情况及其他对甲方履行本合同项下的义务产生不利影响的事件等因素（包含但不限于涉及经济纠纷、财务状况恶化等），调整该投资者融资融券业务的信用等级和/或授信额度，调整该投资者在证券公司其他信用业务的信用等级和/或授信额度，将投资者列入证券公司重点关注投资者名单、投资者黑名单，同时有权将相关信息向监管部门、中国证券业协会、证券交易所、证券登记结算机构、中国证券金融股份有限公司、中国人民银行金融信用信息基础数据库、依法设立的征信机构等单位报送，由此造成的后果由投资者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4" w:hRule="atLeast"/>
          <w:jc w:val="center"/>
        </w:trPr>
        <w:tc>
          <w:tcPr>
            <w:tcW w:w="4261" w:type="dxa"/>
            <w:noWrap w:val="0"/>
            <w:vAlign w:val="top"/>
          </w:tcPr>
          <w:p>
            <w:pPr>
              <w:spacing w:line="240" w:lineRule="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sz w:val="18"/>
                <w:szCs w:val="18"/>
              </w:rPr>
              <w:t>十五、无法通过市场交易偿还融券负债的风险</w:t>
            </w:r>
          </w:p>
          <w:p>
            <w:pPr>
              <w:spacing w:line="240" w:lineRule="auto"/>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ab/>
            </w:r>
            <w:r>
              <w:rPr>
                <w:rFonts w:hint="eastAsia" w:asciiTheme="minorEastAsia" w:hAnsiTheme="minorEastAsia" w:eastAsiaTheme="minorEastAsia" w:cstheme="minorEastAsia"/>
                <w:sz w:val="18"/>
                <w:szCs w:val="18"/>
              </w:rPr>
              <w:t>投资者在从事融券交易期间，</w:t>
            </w:r>
            <w:r>
              <w:rPr>
                <w:rFonts w:hint="eastAsia" w:asciiTheme="minorEastAsia" w:hAnsiTheme="minorEastAsia" w:eastAsiaTheme="minorEastAsia" w:cstheme="minorEastAsia"/>
                <w:b/>
                <w:sz w:val="18"/>
                <w:szCs w:val="18"/>
              </w:rPr>
              <w:t>如其未了结的融券交易标的证券发生突然停牌、暂停上市或终止上市等情况的，可能会导致投资者无法通过市场交易及时偿还该笔融券负债，同时投资者还需承担期间相应的融券费用，可能会给投资者造成经济损失</w:t>
            </w:r>
            <w:r>
              <w:rPr>
                <w:rFonts w:hint="eastAsia" w:asciiTheme="minorEastAsia" w:hAnsiTheme="minorEastAsia" w:eastAsiaTheme="minorEastAsia" w:cstheme="minorEastAsia"/>
                <w:sz w:val="18"/>
                <w:szCs w:val="18"/>
              </w:rPr>
              <w:t>。</w:t>
            </w:r>
          </w:p>
        </w:tc>
        <w:tc>
          <w:tcPr>
            <w:tcW w:w="4261" w:type="dxa"/>
            <w:noWrap w:val="0"/>
            <w:vAlign w:val="top"/>
          </w:tcPr>
          <w:p>
            <w:pPr>
              <w:spacing w:line="240" w:lineRule="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sz w:val="18"/>
                <w:szCs w:val="18"/>
              </w:rPr>
              <w:t>十五、无法通过市场交易偿还融券负债的风险</w:t>
            </w:r>
          </w:p>
          <w:p>
            <w:pPr>
              <w:spacing w:line="240" w:lineRule="auto"/>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ab/>
            </w:r>
            <w:r>
              <w:rPr>
                <w:rFonts w:hint="eastAsia" w:asciiTheme="minorEastAsia" w:hAnsiTheme="minorEastAsia" w:eastAsiaTheme="minorEastAsia" w:cstheme="minorEastAsia"/>
                <w:sz w:val="18"/>
                <w:szCs w:val="18"/>
              </w:rPr>
              <w:t>投资者在从事融券交易期间，</w:t>
            </w:r>
            <w:r>
              <w:rPr>
                <w:rFonts w:hint="eastAsia" w:asciiTheme="minorEastAsia" w:hAnsiTheme="minorEastAsia" w:eastAsiaTheme="minorEastAsia" w:cstheme="minorEastAsia"/>
                <w:b/>
                <w:sz w:val="18"/>
                <w:szCs w:val="18"/>
              </w:rPr>
              <w:t>如其未了结的融券交易标的证券发生突然停牌、</w:t>
            </w:r>
            <w:r>
              <w:rPr>
                <w:rFonts w:hint="eastAsia" w:asciiTheme="minorEastAsia" w:hAnsiTheme="minorEastAsia" w:eastAsiaTheme="minorEastAsia" w:cstheme="minorEastAsia"/>
                <w:b/>
                <w:sz w:val="18"/>
                <w:szCs w:val="18"/>
                <w:lang w:val="en-US" w:eastAsia="zh-CN"/>
              </w:rPr>
              <w:t>暂停交易</w:t>
            </w:r>
            <w:r>
              <w:rPr>
                <w:rFonts w:hint="eastAsia" w:asciiTheme="minorEastAsia" w:hAnsiTheme="minorEastAsia" w:eastAsiaTheme="minorEastAsia" w:cstheme="minorEastAsia"/>
                <w:b/>
                <w:sz w:val="18"/>
                <w:szCs w:val="18"/>
              </w:rPr>
              <w:t>或终止上市等情况的，可能会导致投资者无法通过市场交易及时偿还该笔融券负债，同时投资者还需承担期间相应的融券费用，可能会给投资者造成经济损失</w:t>
            </w:r>
            <w:r>
              <w:rPr>
                <w:rFonts w:hint="eastAsia" w:asciiTheme="minorEastAsia" w:hAnsiTheme="minorEastAsia" w:eastAsiaTheme="minorEastAsia" w:cs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top"/>
          </w:tcPr>
          <w:p>
            <w:pPr>
              <w:spacing w:line="240" w:lineRule="auto"/>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十九、适当性管理相关风险</w:t>
            </w:r>
          </w:p>
          <w:p>
            <w:pPr>
              <w:spacing w:line="240" w:lineRule="auto"/>
              <w:ind w:firstLine="361" w:firstLineChars="200"/>
              <w:rPr>
                <w:rFonts w:hint="eastAsia" w:asciiTheme="minorEastAsia" w:hAnsiTheme="minorEastAsia" w:eastAsiaTheme="minorEastAsia" w:cstheme="minorEastAsia"/>
                <w:b/>
                <w:bCs/>
                <w:color w:val="FFFFFF"/>
                <w:sz w:val="18"/>
                <w:szCs w:val="18"/>
                <w:vertAlign w:val="baseline"/>
                <w:lang w:val="en-US" w:eastAsia="zh-CN"/>
              </w:rPr>
            </w:pPr>
            <w:r>
              <w:rPr>
                <w:rFonts w:hint="eastAsia" w:asciiTheme="minorEastAsia" w:hAnsiTheme="minorEastAsia" w:eastAsiaTheme="minorEastAsia" w:cstheme="minorEastAsia"/>
                <w:b/>
                <w:sz w:val="18"/>
                <w:szCs w:val="18"/>
              </w:rPr>
              <w:t>投资者在证券公司开展融资融券交易期间，不满足监管机构或证券公司适当性管理要求的，证券公司有权采取禁止投资者融资买入、融券卖出、合约展期申请、取消投资者授信额度或解除融资融券业务合同等措施，由此可能给投资者造成损失</w:t>
            </w:r>
            <w:r>
              <w:rPr>
                <w:rFonts w:hint="eastAsia" w:asciiTheme="minorEastAsia" w:hAnsiTheme="minorEastAsia" w:eastAsiaTheme="minorEastAsia" w:cstheme="minorEastAsia"/>
                <w:sz w:val="18"/>
                <w:szCs w:val="18"/>
              </w:rPr>
              <w:t>。</w:t>
            </w:r>
          </w:p>
        </w:tc>
        <w:tc>
          <w:tcPr>
            <w:tcW w:w="4261" w:type="dxa"/>
            <w:noWrap w:val="0"/>
            <w:vAlign w:val="top"/>
          </w:tcPr>
          <w:p>
            <w:pPr>
              <w:spacing w:line="240" w:lineRule="auto"/>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十九、适当性</w:t>
            </w:r>
            <w:r>
              <w:rPr>
                <w:rFonts w:hint="eastAsia" w:asciiTheme="minorEastAsia" w:hAnsiTheme="minorEastAsia" w:eastAsiaTheme="minorEastAsia" w:cstheme="minorEastAsia"/>
                <w:b/>
                <w:sz w:val="18"/>
                <w:szCs w:val="18"/>
                <w:lang w:val="en-US" w:eastAsia="zh-CN"/>
              </w:rPr>
              <w:t>及反洗钱</w:t>
            </w:r>
            <w:r>
              <w:rPr>
                <w:rFonts w:hint="eastAsia" w:asciiTheme="minorEastAsia" w:hAnsiTheme="minorEastAsia" w:eastAsiaTheme="minorEastAsia" w:cstheme="minorEastAsia"/>
                <w:b/>
                <w:sz w:val="18"/>
                <w:szCs w:val="18"/>
              </w:rPr>
              <w:t>管理相关风险</w:t>
            </w:r>
          </w:p>
          <w:p>
            <w:pPr>
              <w:spacing w:line="240" w:lineRule="auto"/>
              <w:ind w:firstLine="361" w:firstLineChars="200"/>
              <w:rPr>
                <w:rFonts w:hint="eastAsia" w:asciiTheme="minorEastAsia" w:hAnsiTheme="minorEastAsia" w:eastAsiaTheme="minorEastAsia" w:cstheme="minorEastAsia"/>
                <w:b/>
                <w:bCs/>
                <w:color w:val="FFFFFF"/>
                <w:sz w:val="18"/>
                <w:szCs w:val="18"/>
                <w:vertAlign w:val="baseline"/>
                <w:lang w:val="en-US" w:eastAsia="zh-CN"/>
              </w:rPr>
            </w:pPr>
            <w:r>
              <w:rPr>
                <w:rFonts w:hint="eastAsia" w:asciiTheme="minorEastAsia" w:hAnsiTheme="minorEastAsia" w:eastAsiaTheme="minorEastAsia" w:cstheme="minorEastAsia"/>
                <w:b/>
                <w:sz w:val="18"/>
                <w:szCs w:val="18"/>
              </w:rPr>
              <w:t>投资者在证券公司开展融资融券交易期间，不满足监管机构或证券公司适当性管理</w:t>
            </w:r>
            <w:r>
              <w:rPr>
                <w:rFonts w:hint="eastAsia" w:asciiTheme="minorEastAsia" w:hAnsiTheme="minorEastAsia" w:eastAsiaTheme="minorEastAsia" w:cstheme="minorEastAsia"/>
                <w:b/>
                <w:sz w:val="18"/>
                <w:szCs w:val="18"/>
                <w:lang w:val="en-US" w:eastAsia="zh-CN"/>
              </w:rPr>
              <w:t>或反洗钱相关</w:t>
            </w:r>
            <w:r>
              <w:rPr>
                <w:rFonts w:hint="eastAsia" w:asciiTheme="minorEastAsia" w:hAnsiTheme="minorEastAsia" w:eastAsiaTheme="minorEastAsia" w:cstheme="minorEastAsia"/>
                <w:b/>
                <w:sz w:val="18"/>
                <w:szCs w:val="18"/>
              </w:rPr>
              <w:t>要求的，证券公司有权采取禁止投资者</w:t>
            </w:r>
            <w:r>
              <w:rPr>
                <w:rFonts w:hint="eastAsia" w:asciiTheme="minorEastAsia" w:hAnsiTheme="minorEastAsia" w:eastAsiaTheme="minorEastAsia" w:cstheme="minorEastAsia"/>
                <w:b/>
                <w:sz w:val="18"/>
                <w:szCs w:val="18"/>
                <w:lang w:val="en-US" w:eastAsia="zh-CN"/>
              </w:rPr>
              <w:t>新股申购、普通买入、</w:t>
            </w:r>
            <w:r>
              <w:rPr>
                <w:rFonts w:hint="eastAsia" w:asciiTheme="minorEastAsia" w:hAnsiTheme="minorEastAsia" w:eastAsiaTheme="minorEastAsia" w:cstheme="minorEastAsia"/>
                <w:b/>
                <w:sz w:val="18"/>
                <w:szCs w:val="18"/>
              </w:rPr>
              <w:t>融资买入、融券卖出、合约展期申请、取消投资者授信额度或解除融资融券业务合同等措施，由此可能给投资者造成损失</w:t>
            </w:r>
            <w:r>
              <w:rPr>
                <w:rFonts w:hint="eastAsia" w:asciiTheme="minorEastAsia" w:hAnsiTheme="minorEastAsia" w:eastAsiaTheme="minorEastAsia" w:cs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top"/>
          </w:tcPr>
          <w:p>
            <w:pPr>
              <w:spacing w:line="240" w:lineRule="auto"/>
              <w:ind w:firstLine="361" w:firstLineChars="200"/>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本人已经详细阅读本风险揭示书，并已准确理解其确切含义和融资融券业务相关交易规则，具有相应的风险承受能力，清楚认识融资融券交易的全部风险，并自愿承担融资融券交易带来的全部风险和损失。</w:t>
            </w:r>
          </w:p>
        </w:tc>
        <w:tc>
          <w:tcPr>
            <w:tcW w:w="4261" w:type="dxa"/>
            <w:noWrap w:val="0"/>
            <w:vAlign w:val="top"/>
          </w:tcPr>
          <w:p>
            <w:pPr>
              <w:spacing w:line="240" w:lineRule="auto"/>
              <w:ind w:firstLine="361" w:firstLineChars="200"/>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本人/本机构已经详细阅读本风险揭示书，并已准确理解其确切含义和融资融券业务相关交易规则，具有相应的风险承受能力，清楚认识融资融券交易的全部风险，并自愿承担融资融券交易带来的全部风险和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top"/>
          </w:tcPr>
          <w:p>
            <w:pPr>
              <w:spacing w:line="240" w:lineRule="auto"/>
              <w:ind w:firstLine="0" w:firstLineChars="0"/>
              <w:rPr>
                <w:rFonts w:hint="eastAsia" w:asciiTheme="minorEastAsia" w:hAnsiTheme="minorEastAsia" w:eastAsiaTheme="minorEastAsia" w:cstheme="minorEastAsia"/>
                <w:b w:val="0"/>
                <w:bCs/>
                <w:sz w:val="18"/>
                <w:szCs w:val="18"/>
              </w:rPr>
            </w:pPr>
            <w:r>
              <w:rPr>
                <w:rFonts w:hint="eastAsia" w:asciiTheme="minorEastAsia" w:hAnsiTheme="minorEastAsia" w:eastAsiaTheme="minorEastAsia" w:cstheme="minorEastAsia"/>
                <w:b w:val="0"/>
                <w:bCs/>
                <w:sz w:val="18"/>
                <w:szCs w:val="18"/>
              </w:rPr>
              <w:t>个人投资者（本人）签字：</w:t>
            </w:r>
            <w:r>
              <w:rPr>
                <w:rFonts w:hint="eastAsia" w:asciiTheme="minorEastAsia" w:hAnsiTheme="minorEastAsia" w:eastAsiaTheme="minorEastAsia" w:cstheme="minorEastAsia"/>
                <w:b w:val="0"/>
                <w:bCs/>
                <w:sz w:val="18"/>
                <w:szCs w:val="18"/>
                <w:lang w:val="en-US" w:eastAsia="zh-CN"/>
              </w:rPr>
              <w:t xml:space="preserve">       </w:t>
            </w:r>
            <w:r>
              <w:rPr>
                <w:rFonts w:hint="eastAsia" w:asciiTheme="minorEastAsia" w:hAnsiTheme="minorEastAsia" w:eastAsiaTheme="minorEastAsia" w:cstheme="minorEastAsia"/>
                <w:b w:val="0"/>
                <w:bCs/>
                <w:sz w:val="18"/>
                <w:szCs w:val="18"/>
              </w:rPr>
              <w:t xml:space="preserve"> </w:t>
            </w:r>
          </w:p>
          <w:p>
            <w:pPr>
              <w:spacing w:line="240" w:lineRule="auto"/>
              <w:ind w:firstLine="0" w:firstLineChars="0"/>
              <w:rPr>
                <w:rFonts w:hint="eastAsia" w:asciiTheme="minorEastAsia" w:hAnsiTheme="minorEastAsia" w:eastAsiaTheme="minorEastAsia" w:cstheme="minorEastAsia"/>
                <w:b w:val="0"/>
                <w:bCs/>
                <w:sz w:val="18"/>
                <w:szCs w:val="18"/>
              </w:rPr>
            </w:pPr>
            <w:r>
              <w:rPr>
                <w:rFonts w:hint="eastAsia" w:asciiTheme="minorEastAsia" w:hAnsiTheme="minorEastAsia" w:eastAsiaTheme="minorEastAsia" w:cstheme="minorEastAsia"/>
                <w:b w:val="0"/>
                <w:bCs/>
                <w:sz w:val="18"/>
                <w:szCs w:val="18"/>
              </w:rPr>
              <w:t>身份证号码：</w:t>
            </w:r>
            <w:r>
              <w:rPr>
                <w:rFonts w:hint="eastAsia" w:asciiTheme="minorEastAsia" w:hAnsiTheme="minorEastAsia" w:eastAsiaTheme="minorEastAsia" w:cstheme="minorEastAsia"/>
                <w:b w:val="0"/>
                <w:bCs/>
                <w:sz w:val="18"/>
                <w:szCs w:val="18"/>
                <w:lang w:val="en-US" w:eastAsia="zh-CN"/>
              </w:rPr>
              <w:t xml:space="preserve">                     </w:t>
            </w:r>
            <w:r>
              <w:rPr>
                <w:rFonts w:hint="eastAsia" w:asciiTheme="minorEastAsia" w:hAnsiTheme="minorEastAsia" w:eastAsiaTheme="minorEastAsia" w:cstheme="minorEastAsia"/>
                <w:b w:val="0"/>
                <w:bCs/>
                <w:sz w:val="18"/>
                <w:szCs w:val="18"/>
              </w:rPr>
              <w:t xml:space="preserve">  </w:t>
            </w:r>
          </w:p>
          <w:p>
            <w:pPr>
              <w:spacing w:line="240" w:lineRule="auto"/>
              <w:ind w:firstLine="0" w:firstLineChars="0"/>
              <w:rPr>
                <w:rFonts w:hint="eastAsia" w:asciiTheme="minorEastAsia" w:hAnsiTheme="minorEastAsia" w:eastAsiaTheme="minorEastAsia" w:cstheme="minorEastAsia"/>
                <w:b w:val="0"/>
                <w:bCs/>
                <w:sz w:val="18"/>
                <w:szCs w:val="18"/>
                <w:lang w:val="en-US" w:eastAsia="zh-CN"/>
              </w:rPr>
            </w:pPr>
            <w:r>
              <w:rPr>
                <w:rFonts w:hint="eastAsia" w:asciiTheme="minorEastAsia" w:hAnsiTheme="minorEastAsia" w:eastAsiaTheme="minorEastAsia" w:cstheme="minorEastAsia"/>
                <w:b w:val="0"/>
                <w:bCs/>
                <w:sz w:val="18"/>
                <w:szCs w:val="18"/>
              </w:rPr>
              <w:t>机构投资者法定代表人或授权代理人签字：</w:t>
            </w:r>
            <w:r>
              <w:rPr>
                <w:rFonts w:hint="eastAsia" w:asciiTheme="minorEastAsia" w:hAnsiTheme="minorEastAsia" w:eastAsiaTheme="minorEastAsia" w:cstheme="minorEastAsia"/>
                <w:b w:val="0"/>
                <w:bCs/>
                <w:sz w:val="18"/>
                <w:szCs w:val="18"/>
                <w:lang w:val="en-US" w:eastAsia="zh-CN"/>
              </w:rPr>
              <w:t xml:space="preserve">      </w:t>
            </w:r>
          </w:p>
          <w:p>
            <w:pPr>
              <w:spacing w:line="240" w:lineRule="auto"/>
              <w:ind w:firstLine="0" w:firstLineChars="0"/>
              <w:rPr>
                <w:rFonts w:hint="eastAsia" w:asciiTheme="minorEastAsia" w:hAnsiTheme="minorEastAsia" w:eastAsiaTheme="minorEastAsia" w:cstheme="minorEastAsia"/>
                <w:b w:val="0"/>
                <w:bCs/>
                <w:sz w:val="18"/>
                <w:szCs w:val="18"/>
              </w:rPr>
            </w:pPr>
            <w:r>
              <w:rPr>
                <w:rFonts w:hint="eastAsia" w:asciiTheme="minorEastAsia" w:hAnsiTheme="minorEastAsia" w:eastAsiaTheme="minorEastAsia" w:cstheme="minorEastAsia"/>
                <w:b w:val="0"/>
                <w:bCs/>
                <w:sz w:val="18"/>
                <w:szCs w:val="18"/>
              </w:rPr>
              <w:t xml:space="preserve">机构投资者加盖公章： </w:t>
            </w:r>
          </w:p>
          <w:p>
            <w:pPr>
              <w:spacing w:line="240" w:lineRule="auto"/>
              <w:rPr>
                <w:rFonts w:hint="eastAsia" w:asciiTheme="minorEastAsia" w:hAnsiTheme="minorEastAsia" w:eastAsiaTheme="minorEastAsia" w:cstheme="minorEastAsia"/>
                <w:b w:val="0"/>
                <w:bCs/>
                <w:sz w:val="18"/>
                <w:szCs w:val="18"/>
              </w:rPr>
            </w:pPr>
            <w:r>
              <w:rPr>
                <w:rFonts w:hint="eastAsia" w:asciiTheme="minorEastAsia" w:hAnsiTheme="minorEastAsia" w:eastAsiaTheme="minorEastAsia" w:cstheme="minorEastAsia"/>
                <w:b w:val="0"/>
                <w:bCs/>
                <w:sz w:val="18"/>
                <w:szCs w:val="18"/>
              </w:rPr>
              <w:t>日   期：      年      月      日</w:t>
            </w:r>
          </w:p>
          <w:p>
            <w:pPr>
              <w:spacing w:line="240" w:lineRule="auto"/>
              <w:ind w:firstLine="0" w:firstLineChars="0"/>
              <w:rPr>
                <w:rFonts w:hint="eastAsia" w:asciiTheme="minorEastAsia" w:hAnsiTheme="minorEastAsia" w:eastAsiaTheme="minorEastAsia" w:cstheme="minorEastAsia"/>
                <w:b w:val="0"/>
                <w:bCs/>
                <w:sz w:val="18"/>
                <w:szCs w:val="18"/>
              </w:rPr>
            </w:pPr>
            <w:r>
              <w:rPr>
                <w:rFonts w:hint="eastAsia" w:asciiTheme="minorEastAsia" w:hAnsiTheme="minorEastAsia" w:eastAsiaTheme="minorEastAsia" w:cstheme="minorEastAsia"/>
                <w:b w:val="0"/>
                <w:bCs/>
                <w:sz w:val="18"/>
                <w:szCs w:val="18"/>
              </w:rPr>
              <w:t>东方财富证券股份有限公司</w:t>
            </w:r>
          </w:p>
          <w:p>
            <w:pPr>
              <w:spacing w:line="240" w:lineRule="auto"/>
              <w:ind w:firstLine="0" w:firstLineChars="0"/>
              <w:rPr>
                <w:rFonts w:hint="eastAsia" w:asciiTheme="minorEastAsia" w:hAnsiTheme="minorEastAsia" w:eastAsiaTheme="minorEastAsia" w:cstheme="minorEastAsia"/>
                <w:b w:val="0"/>
                <w:bCs/>
                <w:sz w:val="18"/>
                <w:szCs w:val="18"/>
              </w:rPr>
            </w:pPr>
            <w:r>
              <w:rPr>
                <w:rFonts w:hint="eastAsia" w:asciiTheme="minorEastAsia" w:hAnsiTheme="minorEastAsia" w:eastAsiaTheme="minorEastAsia" w:cstheme="minorEastAsia"/>
                <w:b w:val="0"/>
                <w:bCs/>
                <w:sz w:val="18"/>
                <w:szCs w:val="18"/>
              </w:rPr>
              <w:t>分支机构接待人员签字：              分支机构</w:t>
            </w:r>
          </w:p>
          <w:p>
            <w:pPr>
              <w:spacing w:line="240" w:lineRule="auto"/>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val="0"/>
                <w:bCs/>
                <w:sz w:val="18"/>
                <w:szCs w:val="18"/>
              </w:rPr>
              <w:t>日   期：      年      月      日</w:t>
            </w:r>
            <w:r>
              <w:rPr>
                <w:rFonts w:hint="eastAsia" w:asciiTheme="minorEastAsia" w:hAnsiTheme="minorEastAsia" w:eastAsiaTheme="minorEastAsia" w:cstheme="minorEastAsia"/>
                <w:b/>
                <w:sz w:val="18"/>
                <w:szCs w:val="18"/>
              </w:rPr>
              <w:t xml:space="preserve"> </w:t>
            </w:r>
          </w:p>
        </w:tc>
        <w:tc>
          <w:tcPr>
            <w:tcW w:w="4261" w:type="dxa"/>
            <w:noWrap w:val="0"/>
            <w:vAlign w:val="top"/>
          </w:tcPr>
          <w:p>
            <w:pPr>
              <w:spacing w:line="240" w:lineRule="auto"/>
              <w:ind w:firstLine="0" w:firstLineChars="0"/>
              <w:rPr>
                <w:rFonts w:hint="eastAsia" w:asciiTheme="minorEastAsia" w:hAnsiTheme="minorEastAsia" w:eastAsiaTheme="minorEastAsia" w:cstheme="minorEastAsia"/>
                <w:b w:val="0"/>
                <w:bCs/>
                <w:sz w:val="18"/>
                <w:szCs w:val="18"/>
              </w:rPr>
            </w:pPr>
            <w:r>
              <w:rPr>
                <w:rFonts w:hint="eastAsia" w:asciiTheme="minorEastAsia" w:hAnsiTheme="minorEastAsia" w:eastAsiaTheme="minorEastAsia" w:cstheme="minorEastAsia"/>
                <w:b w:val="0"/>
                <w:bCs/>
                <w:sz w:val="18"/>
                <w:szCs w:val="18"/>
              </w:rPr>
              <w:t xml:space="preserve">个人投资者（本人）签字：        </w:t>
            </w:r>
          </w:p>
          <w:p>
            <w:pPr>
              <w:spacing w:line="240" w:lineRule="auto"/>
              <w:ind w:firstLine="0" w:firstLineChars="0"/>
              <w:rPr>
                <w:rFonts w:hint="eastAsia" w:asciiTheme="minorEastAsia" w:hAnsiTheme="minorEastAsia" w:eastAsiaTheme="minorEastAsia" w:cstheme="minorEastAsia"/>
                <w:b w:val="0"/>
                <w:bCs/>
                <w:sz w:val="18"/>
                <w:szCs w:val="18"/>
              </w:rPr>
            </w:pPr>
            <w:r>
              <w:rPr>
                <w:rFonts w:hint="eastAsia" w:asciiTheme="minorEastAsia" w:hAnsiTheme="minorEastAsia" w:eastAsiaTheme="minorEastAsia" w:cstheme="minorEastAsia"/>
                <w:b w:val="0"/>
                <w:bCs/>
                <w:sz w:val="18"/>
                <w:szCs w:val="18"/>
              </w:rPr>
              <w:t xml:space="preserve">证件号码：                         </w:t>
            </w:r>
          </w:p>
          <w:p>
            <w:pPr>
              <w:spacing w:line="240" w:lineRule="auto"/>
              <w:ind w:firstLine="0" w:firstLineChars="0"/>
              <w:rPr>
                <w:rFonts w:hint="eastAsia" w:asciiTheme="minorEastAsia" w:hAnsiTheme="minorEastAsia" w:eastAsiaTheme="minorEastAsia" w:cstheme="minorEastAsia"/>
                <w:b w:val="0"/>
                <w:bCs/>
                <w:sz w:val="18"/>
                <w:szCs w:val="18"/>
              </w:rPr>
            </w:pPr>
            <w:r>
              <w:rPr>
                <w:rFonts w:hint="eastAsia" w:asciiTheme="minorEastAsia" w:hAnsiTheme="minorEastAsia" w:eastAsiaTheme="minorEastAsia" w:cstheme="minorEastAsia"/>
                <w:b w:val="0"/>
                <w:bCs/>
                <w:sz w:val="18"/>
                <w:szCs w:val="18"/>
              </w:rPr>
              <w:t xml:space="preserve">机构投资者法定代表人或授权代理人签字：      </w:t>
            </w:r>
          </w:p>
          <w:p>
            <w:pPr>
              <w:spacing w:line="240" w:lineRule="auto"/>
              <w:ind w:firstLine="0" w:firstLineChars="0"/>
              <w:rPr>
                <w:rFonts w:hint="eastAsia" w:asciiTheme="minorEastAsia" w:hAnsiTheme="minorEastAsia" w:eastAsiaTheme="minorEastAsia" w:cstheme="minorEastAsia"/>
                <w:b w:val="0"/>
                <w:bCs/>
                <w:sz w:val="18"/>
                <w:szCs w:val="18"/>
              </w:rPr>
            </w:pPr>
            <w:r>
              <w:rPr>
                <w:rFonts w:hint="eastAsia" w:asciiTheme="minorEastAsia" w:hAnsiTheme="minorEastAsia" w:eastAsiaTheme="minorEastAsia" w:cstheme="minorEastAsia"/>
                <w:b w:val="0"/>
                <w:bCs/>
                <w:sz w:val="18"/>
                <w:szCs w:val="18"/>
              </w:rPr>
              <w:t xml:space="preserve">机构投资者加盖公章： </w:t>
            </w:r>
          </w:p>
          <w:p>
            <w:pPr>
              <w:spacing w:line="240" w:lineRule="auto"/>
              <w:rPr>
                <w:rFonts w:hint="eastAsia" w:asciiTheme="minorEastAsia" w:hAnsiTheme="minorEastAsia" w:eastAsiaTheme="minorEastAsia" w:cstheme="minorEastAsia"/>
                <w:b w:val="0"/>
                <w:bCs/>
                <w:sz w:val="18"/>
                <w:szCs w:val="18"/>
                <w:lang w:eastAsia="zh-CN"/>
              </w:rPr>
            </w:pPr>
            <w:r>
              <w:rPr>
                <w:rFonts w:hint="eastAsia" w:asciiTheme="minorEastAsia" w:hAnsiTheme="minorEastAsia" w:eastAsiaTheme="minorEastAsia" w:cstheme="minorEastAsia"/>
                <w:b w:val="0"/>
                <w:bCs/>
                <w:sz w:val="18"/>
                <w:szCs w:val="18"/>
                <w:lang w:eastAsia="zh-CN"/>
              </w:rPr>
              <w:t>日   期：</w:t>
            </w:r>
            <w:r>
              <w:rPr>
                <w:rFonts w:hint="eastAsia" w:asciiTheme="minorEastAsia" w:hAnsiTheme="minorEastAsia" w:eastAsiaTheme="minorEastAsia" w:cstheme="minorEastAsia"/>
                <w:b w:val="0"/>
                <w:bCs/>
                <w:sz w:val="18"/>
                <w:szCs w:val="18"/>
              </w:rPr>
              <w:t xml:space="preserve">      </w:t>
            </w:r>
            <w:r>
              <w:rPr>
                <w:rFonts w:hint="eastAsia" w:asciiTheme="minorEastAsia" w:hAnsiTheme="minorEastAsia" w:eastAsiaTheme="minorEastAsia" w:cstheme="minorEastAsia"/>
                <w:b w:val="0"/>
                <w:bCs/>
                <w:sz w:val="18"/>
                <w:szCs w:val="18"/>
                <w:lang w:eastAsia="zh-CN"/>
              </w:rPr>
              <w:t>年      月      日</w:t>
            </w:r>
          </w:p>
          <w:p>
            <w:pPr>
              <w:spacing w:line="240" w:lineRule="auto"/>
              <w:ind w:firstLine="0" w:firstLineChars="0"/>
              <w:rPr>
                <w:rFonts w:hint="eastAsia" w:asciiTheme="minorEastAsia" w:hAnsiTheme="minorEastAsia" w:eastAsiaTheme="minorEastAsia" w:cstheme="minorEastAsia"/>
                <w:b w:val="0"/>
                <w:bCs/>
                <w:sz w:val="18"/>
                <w:szCs w:val="18"/>
                <w:lang w:eastAsia="zh-CN"/>
              </w:rPr>
            </w:pPr>
            <w:r>
              <w:rPr>
                <w:rFonts w:hint="eastAsia" w:asciiTheme="minorEastAsia" w:hAnsiTheme="minorEastAsia" w:eastAsiaTheme="minorEastAsia" w:cstheme="minorEastAsia"/>
                <w:b w:val="0"/>
                <w:bCs/>
                <w:sz w:val="18"/>
                <w:szCs w:val="18"/>
                <w:lang w:eastAsia="zh-CN"/>
              </w:rPr>
              <w:t>东方财富证券股份有限公司</w:t>
            </w:r>
          </w:p>
          <w:p>
            <w:pPr>
              <w:spacing w:line="240" w:lineRule="auto"/>
              <w:ind w:firstLine="0" w:firstLineChars="0"/>
              <w:rPr>
                <w:rFonts w:hint="eastAsia" w:asciiTheme="minorEastAsia" w:hAnsiTheme="minorEastAsia" w:eastAsiaTheme="minorEastAsia" w:cstheme="minorEastAsia"/>
                <w:b w:val="0"/>
                <w:bCs/>
                <w:sz w:val="18"/>
                <w:szCs w:val="18"/>
                <w:lang w:eastAsia="zh-CN"/>
              </w:rPr>
            </w:pPr>
            <w:r>
              <w:rPr>
                <w:rFonts w:hint="eastAsia" w:asciiTheme="minorEastAsia" w:hAnsiTheme="minorEastAsia" w:eastAsiaTheme="minorEastAsia" w:cstheme="minorEastAsia"/>
                <w:b w:val="0"/>
                <w:bCs/>
                <w:sz w:val="18"/>
                <w:szCs w:val="18"/>
                <w:lang w:eastAsia="zh-CN"/>
              </w:rPr>
              <w:t>分支机构接待人员签字：</w:t>
            </w:r>
          </w:p>
          <w:p>
            <w:pPr>
              <w:spacing w:line="240" w:lineRule="auto"/>
              <w:rPr>
                <w:rFonts w:hint="eastAsia" w:asciiTheme="minorEastAsia" w:hAnsiTheme="minorEastAsia" w:eastAsiaTheme="minorEastAsia" w:cstheme="minorEastAsia"/>
                <w:b/>
                <w:sz w:val="18"/>
                <w:szCs w:val="18"/>
                <w:lang w:eastAsia="zh-CN"/>
              </w:rPr>
            </w:pPr>
            <w:r>
              <w:rPr>
                <w:rFonts w:hint="eastAsia" w:asciiTheme="minorEastAsia" w:hAnsiTheme="minorEastAsia" w:eastAsiaTheme="minorEastAsia" w:cstheme="minorEastAsia"/>
                <w:b w:val="0"/>
                <w:bCs/>
                <w:sz w:val="18"/>
                <w:szCs w:val="18"/>
                <w:lang w:eastAsia="zh-CN"/>
              </w:rPr>
              <w:t>日   期：</w:t>
            </w:r>
            <w:r>
              <w:rPr>
                <w:rFonts w:hint="eastAsia" w:asciiTheme="minorEastAsia" w:hAnsiTheme="minorEastAsia" w:eastAsiaTheme="minorEastAsia" w:cstheme="minorEastAsia"/>
                <w:b w:val="0"/>
                <w:bCs/>
                <w:sz w:val="18"/>
                <w:szCs w:val="18"/>
              </w:rPr>
              <w:t xml:space="preserve">      </w:t>
            </w:r>
            <w:r>
              <w:rPr>
                <w:rFonts w:hint="eastAsia" w:asciiTheme="minorEastAsia" w:hAnsiTheme="minorEastAsia" w:eastAsiaTheme="minorEastAsia" w:cstheme="minorEastAsia"/>
                <w:b w:val="0"/>
                <w:bCs/>
                <w:sz w:val="18"/>
                <w:szCs w:val="18"/>
                <w:lang w:eastAsia="zh-CN"/>
              </w:rPr>
              <w:t>年      月      日</w:t>
            </w:r>
          </w:p>
        </w:tc>
      </w:tr>
    </w:tbl>
    <w:p>
      <w:pPr>
        <w:spacing w:line="240" w:lineRule="auto"/>
        <w:jc w:val="both"/>
        <w:rPr>
          <w:rFonts w:hint="eastAsia"/>
          <w:sz w:val="30"/>
          <w:szCs w:val="30"/>
          <w:lang w:val="en-US" w:eastAsia="zh-CN"/>
        </w:rPr>
      </w:pPr>
    </w:p>
    <w:p>
      <w:pPr>
        <w:spacing w:line="240" w:lineRule="auto"/>
        <w:jc w:val="center"/>
        <w:rPr>
          <w:rFonts w:hint="default" w:ascii="微软雅黑" w:hAnsi="微软雅黑" w:eastAsia="宋体" w:cs="微软雅黑"/>
          <w:b/>
          <w:bCs/>
          <w:color w:val="auto"/>
          <w:sz w:val="30"/>
          <w:szCs w:val="30"/>
          <w:vertAlign w:val="baseline"/>
          <w:lang w:val="en-US" w:eastAsia="zh-CN"/>
        </w:rPr>
      </w:pPr>
      <w:r>
        <w:rPr>
          <w:rFonts w:hint="eastAsia"/>
          <w:sz w:val="30"/>
          <w:szCs w:val="30"/>
          <w:lang w:val="en-US" w:eastAsia="zh-CN"/>
        </w:rPr>
        <w:t>《</w:t>
      </w:r>
      <w:r>
        <w:rPr>
          <w:rFonts w:hint="default"/>
          <w:sz w:val="30"/>
          <w:szCs w:val="30"/>
          <w:lang w:val="en-US" w:eastAsia="zh-CN"/>
        </w:rPr>
        <w:t>东方财富证券股份有限公司融资融券业务合同</w:t>
      </w:r>
      <w:r>
        <w:rPr>
          <w:rFonts w:hint="eastAsia"/>
          <w:sz w:val="30"/>
          <w:szCs w:val="30"/>
          <w:lang w:val="en-US" w:eastAsia="zh-CN"/>
        </w:rPr>
        <w:t>》修订对照表</w:t>
      </w:r>
    </w:p>
    <w:tbl>
      <w:tblPr>
        <w:tblStyle w:val="4"/>
        <w:tblW w:w="48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54"/>
        <w:gridCol w:w="4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shd w:val="clear" w:color="auto" w:fill="FFFFFF" w:themeFill="background1"/>
            <w:noWrap w:val="0"/>
            <w:vAlign w:val="top"/>
          </w:tcPr>
          <w:p>
            <w:pPr>
              <w:spacing w:line="240" w:lineRule="auto"/>
              <w:jc w:val="center"/>
              <w:rPr>
                <w:rFonts w:hint="eastAsia" w:asciiTheme="minorEastAsia" w:hAnsiTheme="minorEastAsia" w:eastAsiaTheme="minorEastAsia" w:cstheme="minorEastAsia"/>
                <w:b/>
                <w:bCs/>
                <w:color w:val="auto"/>
                <w:sz w:val="18"/>
                <w:szCs w:val="18"/>
                <w:vertAlign w:val="baseline"/>
                <w:lang w:val="en-US" w:eastAsia="zh-CN"/>
              </w:rPr>
            </w:pPr>
            <w:r>
              <w:rPr>
                <w:rFonts w:hint="eastAsia" w:asciiTheme="minorEastAsia" w:hAnsiTheme="minorEastAsia" w:eastAsiaTheme="minorEastAsia" w:cstheme="minorEastAsia"/>
                <w:b/>
                <w:bCs/>
                <w:color w:val="auto"/>
                <w:sz w:val="18"/>
                <w:szCs w:val="18"/>
                <w:vertAlign w:val="baseline"/>
                <w:lang w:val="en-US" w:eastAsia="zh-CN"/>
              </w:rPr>
              <w:t>202001</w:t>
            </w:r>
            <w:bookmarkStart w:id="7" w:name="_GoBack"/>
            <w:bookmarkEnd w:id="7"/>
            <w:r>
              <w:rPr>
                <w:rFonts w:hint="eastAsia" w:asciiTheme="minorEastAsia" w:hAnsiTheme="minorEastAsia" w:eastAsiaTheme="minorEastAsia" w:cstheme="minorEastAsia"/>
                <w:b/>
                <w:bCs/>
                <w:color w:val="auto"/>
                <w:sz w:val="18"/>
                <w:szCs w:val="18"/>
                <w:vertAlign w:val="baseline"/>
                <w:lang w:val="en-US" w:eastAsia="zh-CN"/>
              </w:rPr>
              <w:t>版合同</w:t>
            </w:r>
          </w:p>
        </w:tc>
        <w:tc>
          <w:tcPr>
            <w:tcW w:w="2500" w:type="pct"/>
            <w:shd w:val="clear" w:color="auto" w:fill="FFFFFF" w:themeFill="background1"/>
            <w:noWrap w:val="0"/>
            <w:vAlign w:val="top"/>
          </w:tcPr>
          <w:p>
            <w:pPr>
              <w:spacing w:line="240" w:lineRule="auto"/>
              <w:jc w:val="center"/>
              <w:rPr>
                <w:rFonts w:hint="eastAsia" w:asciiTheme="minorEastAsia" w:hAnsiTheme="minorEastAsia" w:eastAsiaTheme="minorEastAsia" w:cstheme="minorEastAsia"/>
                <w:b/>
                <w:bCs/>
                <w:color w:val="auto"/>
                <w:sz w:val="18"/>
                <w:szCs w:val="18"/>
                <w:vertAlign w:val="baseline"/>
                <w:lang w:val="en-US" w:eastAsia="zh-CN"/>
              </w:rPr>
            </w:pPr>
            <w:r>
              <w:rPr>
                <w:rFonts w:hint="eastAsia" w:asciiTheme="minorEastAsia" w:hAnsiTheme="minorEastAsia" w:eastAsiaTheme="minorEastAsia" w:cstheme="minorEastAsia"/>
                <w:b/>
                <w:bCs/>
                <w:color w:val="auto"/>
                <w:sz w:val="18"/>
                <w:szCs w:val="18"/>
                <w:vertAlign w:val="baseline"/>
                <w:lang w:val="en-US" w:eastAsia="zh-CN"/>
              </w:rPr>
              <w:t>修订后合同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2499" w:type="pct"/>
            <w:noWrap w:val="0"/>
            <w:vAlign w:val="top"/>
          </w:tcPr>
          <w:p>
            <w:pPr>
              <w:spacing w:line="240" w:lineRule="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甲方：投资者</w:t>
            </w:r>
          </w:p>
          <w:p>
            <w:pPr>
              <w:spacing w:line="240" w:lineRule="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姓名（名称）：</w:t>
            </w:r>
          </w:p>
          <w:p>
            <w:pPr>
              <w:spacing w:line="240" w:lineRule="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证件号码（统一社会信用代码）：     </w:t>
            </w:r>
          </w:p>
          <w:p>
            <w:pPr>
              <w:spacing w:line="240" w:lineRule="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乙方：东方财富证券股份有限公司</w:t>
            </w:r>
          </w:p>
          <w:p>
            <w:pPr>
              <w:spacing w:line="240" w:lineRule="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住所地：上海市徐汇区宛平南路88号金座</w:t>
            </w:r>
          </w:p>
          <w:p>
            <w:pPr>
              <w:spacing w:line="240" w:lineRule="auto"/>
              <w:jc w:val="center"/>
              <w:rPr>
                <w:rFonts w:hint="eastAsia" w:asciiTheme="minorEastAsia" w:hAnsiTheme="minorEastAsia" w:eastAsiaTheme="minorEastAsia" w:cstheme="minorEastAsia"/>
                <w:b/>
                <w:bCs/>
                <w:kern w:val="2"/>
                <w:sz w:val="18"/>
                <w:szCs w:val="18"/>
                <w:vertAlign w:val="baseline"/>
                <w:lang w:val="en-US" w:eastAsia="zh-CN" w:bidi="ar-SA"/>
              </w:rPr>
            </w:pPr>
          </w:p>
        </w:tc>
        <w:tc>
          <w:tcPr>
            <w:tcW w:w="2500" w:type="pct"/>
            <w:noWrap w:val="0"/>
            <w:vAlign w:val="top"/>
          </w:tcPr>
          <w:p>
            <w:pPr>
              <w:spacing w:line="240" w:lineRule="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甲方（</w:t>
            </w:r>
            <w:r>
              <w:rPr>
                <w:rFonts w:hint="eastAsia" w:asciiTheme="minorEastAsia" w:hAnsiTheme="minorEastAsia" w:eastAsiaTheme="minorEastAsia" w:cstheme="minorEastAsia"/>
                <w:sz w:val="18"/>
                <w:szCs w:val="18"/>
                <w:lang w:val="en-US" w:eastAsia="zh-CN"/>
              </w:rPr>
              <w:t>个人/</w:t>
            </w:r>
            <w:r>
              <w:rPr>
                <w:rFonts w:hint="eastAsia" w:asciiTheme="minorEastAsia" w:hAnsiTheme="minorEastAsia" w:eastAsiaTheme="minorEastAsia" w:cstheme="minorEastAsia"/>
                <w:sz w:val="18"/>
                <w:szCs w:val="18"/>
              </w:rPr>
              <w:t xml:space="preserve">机构投资者）： </w:t>
            </w:r>
          </w:p>
          <w:p>
            <w:pPr>
              <w:spacing w:line="240" w:lineRule="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证件类型及证件号码：</w:t>
            </w:r>
          </w:p>
          <w:p>
            <w:pPr>
              <w:spacing w:line="240" w:lineRule="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住所：</w:t>
            </w:r>
          </w:p>
          <w:p>
            <w:pPr>
              <w:spacing w:line="240" w:lineRule="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联系方式：</w:t>
            </w:r>
          </w:p>
          <w:p>
            <w:pPr>
              <w:spacing w:line="240" w:lineRule="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法定代表人：</w:t>
            </w:r>
          </w:p>
          <w:p>
            <w:pPr>
              <w:spacing w:line="240" w:lineRule="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乙方：东方财富证券股份有限公司</w:t>
            </w:r>
          </w:p>
          <w:p>
            <w:pPr>
              <w:spacing w:line="240" w:lineRule="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住所：上海市徐汇区宛平南路88号金座</w:t>
            </w:r>
          </w:p>
          <w:p>
            <w:pPr>
              <w:spacing w:line="240" w:lineRule="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法定代表人：戴彦</w:t>
            </w:r>
          </w:p>
          <w:p>
            <w:pPr>
              <w:spacing w:line="240" w:lineRule="auto"/>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sz w:val="18"/>
                <w:szCs w:val="18"/>
                <w:lang w:val="en-US" w:eastAsia="zh-CN"/>
              </w:rPr>
              <w:t>联系方式：95357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2499" w:type="pct"/>
            <w:noWrap w:val="0"/>
            <w:vAlign w:val="top"/>
          </w:tcPr>
          <w:p>
            <w:pPr>
              <w:spacing w:line="240" w:lineRule="auto"/>
              <w:ind w:firstLine="360" w:firstLineChars="200"/>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依据《中华人民共和国证券法》、《中华人民共和国合同法》、《证券公司监督管理条例》、《证券公司融资融券业务管理办法》等法律、法规、中国证监会部门规章及其他规范性文件，证券业协会、证券交易所和证券登记结算机构制定并实施的相关业务规则</w:t>
            </w:r>
          </w:p>
        </w:tc>
        <w:tc>
          <w:tcPr>
            <w:tcW w:w="2500" w:type="pct"/>
            <w:noWrap w:val="0"/>
            <w:vAlign w:val="top"/>
          </w:tcPr>
          <w:p>
            <w:pPr>
              <w:spacing w:line="240" w:lineRule="auto"/>
              <w:ind w:firstLine="360" w:firstLineChars="200"/>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依据《中华人民共和国</w:t>
            </w:r>
            <w:r>
              <w:rPr>
                <w:rFonts w:hint="eastAsia" w:asciiTheme="minorEastAsia" w:hAnsiTheme="minorEastAsia" w:eastAsiaTheme="minorEastAsia" w:cstheme="minorEastAsia"/>
                <w:sz w:val="18"/>
                <w:szCs w:val="18"/>
                <w:lang w:val="en-US" w:eastAsia="zh-CN"/>
              </w:rPr>
              <w:t>民法典</w:t>
            </w:r>
            <w:r>
              <w:rPr>
                <w:rFonts w:hint="eastAsia" w:asciiTheme="minorEastAsia" w:hAnsiTheme="minorEastAsia" w:eastAsiaTheme="minorEastAsia" w:cstheme="minorEastAsia"/>
                <w:sz w:val="18"/>
                <w:szCs w:val="18"/>
              </w:rPr>
              <w:t>》《中华人民共和国证券法》《证券公司监督管理条例》《证券公司融资融券业务管理办法》等法律、法规、</w:t>
            </w:r>
            <w:r>
              <w:rPr>
                <w:rFonts w:hint="eastAsia" w:asciiTheme="minorEastAsia" w:hAnsiTheme="minorEastAsia" w:eastAsiaTheme="minorEastAsia" w:cstheme="minorEastAsia"/>
                <w:sz w:val="18"/>
                <w:szCs w:val="18"/>
                <w:lang w:val="en-US" w:eastAsia="zh-CN"/>
              </w:rPr>
              <w:t>中国证券监督管理委员会（以下简称“</w:t>
            </w:r>
            <w:r>
              <w:rPr>
                <w:rFonts w:hint="eastAsia" w:asciiTheme="minorEastAsia" w:hAnsiTheme="minorEastAsia" w:eastAsiaTheme="minorEastAsia" w:cstheme="minorEastAsia"/>
                <w:sz w:val="18"/>
                <w:szCs w:val="18"/>
              </w:rPr>
              <w:t>中国证监会</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rPr>
              <w:t>部门规章及其他规范性文件，证券业协会、证券交易所和证券登记结算机构制定并实施的相关业务规则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2499" w:type="pct"/>
            <w:noWrap w:val="0"/>
            <w:vAlign w:val="top"/>
          </w:tcPr>
          <w:p>
            <w:pPr>
              <w:spacing w:line="240" w:lineRule="auto"/>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b/>
                <w:bCs/>
                <w:sz w:val="18"/>
                <w:szCs w:val="18"/>
                <w:vertAlign w:val="baseline"/>
                <w:lang w:val="en-US" w:eastAsia="zh-CN"/>
              </w:rPr>
              <w:t>第一章　释义和定义</w:t>
            </w:r>
          </w:p>
        </w:tc>
        <w:tc>
          <w:tcPr>
            <w:tcW w:w="2500" w:type="pct"/>
            <w:noWrap w:val="0"/>
            <w:vAlign w:val="top"/>
          </w:tcPr>
          <w:p>
            <w:pPr>
              <w:spacing w:line="240" w:lineRule="auto"/>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b/>
                <w:bCs/>
                <w:sz w:val="18"/>
                <w:szCs w:val="18"/>
                <w:vertAlign w:val="baseline"/>
                <w:lang w:val="en-US" w:eastAsia="zh-CN"/>
              </w:rPr>
              <w:t>第一章　释义和定义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noWrap w:val="0"/>
            <w:vAlign w:val="top"/>
          </w:tcPr>
          <w:p>
            <w:pPr>
              <w:numPr>
                <w:ilvl w:val="0"/>
                <w:numId w:val="0"/>
              </w:numPr>
              <w:spacing w:line="240" w:lineRule="auto"/>
              <w:ind w:leftChars="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bCs w:val="0"/>
                <w:sz w:val="18"/>
                <w:szCs w:val="18"/>
                <w:lang w:val="en-US" w:eastAsia="zh-CN"/>
              </w:rPr>
              <w:t>第一条</w:t>
            </w:r>
            <w:r>
              <w:rPr>
                <w:rFonts w:hint="eastAsia" w:asciiTheme="minorEastAsia" w:hAnsiTheme="minorEastAsia" w:eastAsiaTheme="minorEastAsia" w:cstheme="minorEastAsia"/>
                <w:b w:val="0"/>
                <w:bCs/>
                <w:sz w:val="18"/>
                <w:szCs w:val="18"/>
                <w:lang w:eastAsia="zh-CN"/>
              </w:rPr>
              <w:t>（</w:t>
            </w:r>
            <w:r>
              <w:rPr>
                <w:rFonts w:hint="eastAsia" w:asciiTheme="minorEastAsia" w:hAnsiTheme="minorEastAsia" w:eastAsiaTheme="minorEastAsia" w:cstheme="minorEastAsia"/>
                <w:b w:val="0"/>
                <w:bCs/>
                <w:sz w:val="18"/>
                <w:szCs w:val="18"/>
                <w:lang w:val="en-US" w:eastAsia="zh-CN"/>
              </w:rPr>
              <w:t>二十</w:t>
            </w:r>
            <w:r>
              <w:rPr>
                <w:rFonts w:hint="eastAsia" w:asciiTheme="minorEastAsia" w:hAnsiTheme="minorEastAsia" w:eastAsiaTheme="minorEastAsia" w:cstheme="minorEastAsia"/>
                <w:b w:val="0"/>
                <w:bCs/>
                <w:sz w:val="18"/>
                <w:szCs w:val="18"/>
                <w:lang w:eastAsia="zh-CN"/>
              </w:rPr>
              <w:t>）</w:t>
            </w:r>
            <w:r>
              <w:rPr>
                <w:rFonts w:hint="eastAsia" w:asciiTheme="minorEastAsia" w:hAnsiTheme="minorEastAsia" w:eastAsiaTheme="minorEastAsia" w:cstheme="minorEastAsia"/>
                <w:b/>
                <w:sz w:val="18"/>
                <w:szCs w:val="18"/>
              </w:rPr>
              <w:t>维持担保比例</w:t>
            </w:r>
            <w:r>
              <w:rPr>
                <w:rFonts w:hint="eastAsia" w:asciiTheme="minorEastAsia" w:hAnsiTheme="minorEastAsia" w:eastAsiaTheme="minorEastAsia" w:cstheme="minorEastAsia"/>
                <w:sz w:val="18"/>
                <w:szCs w:val="18"/>
              </w:rPr>
              <w:t>：是指甲方担保物价值与其融资融券债务之和的比例。其计算公式为：维持担保比例=（现金＋信用证券账户内证券市值）/(融资买入金额＋融券卖出证券数量×市价＋利息及费用)。</w:t>
            </w:r>
          </w:p>
          <w:p>
            <w:pPr>
              <w:numPr>
                <w:ilvl w:val="0"/>
                <w:numId w:val="0"/>
              </w:numPr>
              <w:spacing w:line="240" w:lineRule="auto"/>
              <w:ind w:firstLine="0"/>
              <w:jc w:val="both"/>
              <w:rPr>
                <w:rFonts w:hint="eastAsia" w:asciiTheme="minorEastAsia" w:hAnsiTheme="minorEastAsia" w:eastAsiaTheme="minorEastAsia" w:cstheme="minorEastAsia"/>
                <w:sz w:val="18"/>
                <w:szCs w:val="18"/>
                <w:lang w:val="en-US" w:eastAsia="zh-CN"/>
              </w:rPr>
            </w:pPr>
          </w:p>
          <w:p>
            <w:pPr>
              <w:numPr>
                <w:ilvl w:val="0"/>
                <w:numId w:val="0"/>
              </w:numPr>
              <w:spacing w:line="240" w:lineRule="auto"/>
              <w:ind w:leftChars="0"/>
              <w:jc w:val="both"/>
              <w:rPr>
                <w:rFonts w:hint="eastAsia" w:asciiTheme="minorEastAsia" w:hAnsiTheme="minorEastAsia" w:eastAsiaTheme="minorEastAsia" w:cstheme="minorEastAsia"/>
                <w:b/>
                <w:sz w:val="18"/>
                <w:szCs w:val="18"/>
                <w:lang w:eastAsia="zh-CN"/>
              </w:rPr>
            </w:pPr>
          </w:p>
          <w:p>
            <w:pPr>
              <w:numPr>
                <w:ilvl w:val="0"/>
                <w:numId w:val="0"/>
              </w:numPr>
              <w:spacing w:line="240" w:lineRule="auto"/>
              <w:ind w:leftChars="0"/>
              <w:jc w:val="both"/>
              <w:rPr>
                <w:rFonts w:hint="eastAsia" w:asciiTheme="minorEastAsia" w:hAnsiTheme="minorEastAsia" w:eastAsiaTheme="minorEastAsia" w:cstheme="minorEastAsia"/>
                <w:b/>
                <w:sz w:val="18"/>
                <w:szCs w:val="18"/>
                <w:lang w:eastAsia="zh-CN"/>
              </w:rPr>
            </w:pPr>
          </w:p>
          <w:p>
            <w:pPr>
              <w:numPr>
                <w:ilvl w:val="0"/>
                <w:numId w:val="0"/>
              </w:numPr>
              <w:spacing w:line="240" w:lineRule="auto"/>
              <w:ind w:leftChars="0"/>
              <w:jc w:val="both"/>
              <w:rPr>
                <w:rFonts w:hint="eastAsia" w:asciiTheme="minorEastAsia" w:hAnsiTheme="minorEastAsia" w:eastAsiaTheme="minorEastAsia" w:cstheme="minorEastAsia"/>
                <w:b/>
                <w:sz w:val="18"/>
                <w:szCs w:val="18"/>
                <w:lang w:eastAsia="zh-CN"/>
              </w:rPr>
            </w:pPr>
          </w:p>
          <w:p>
            <w:pPr>
              <w:numPr>
                <w:ilvl w:val="0"/>
                <w:numId w:val="0"/>
              </w:numPr>
              <w:spacing w:line="240" w:lineRule="auto"/>
              <w:ind w:leftChars="0"/>
              <w:jc w:val="both"/>
              <w:rPr>
                <w:rFonts w:hint="eastAsia" w:asciiTheme="minorEastAsia" w:hAnsiTheme="minorEastAsia" w:eastAsiaTheme="minorEastAsia" w:cstheme="minorEastAsia"/>
                <w:b/>
                <w:sz w:val="18"/>
                <w:szCs w:val="18"/>
                <w:lang w:eastAsia="zh-CN"/>
              </w:rPr>
            </w:pPr>
          </w:p>
          <w:p>
            <w:pPr>
              <w:numPr>
                <w:ilvl w:val="0"/>
                <w:numId w:val="0"/>
              </w:numPr>
              <w:spacing w:line="240" w:lineRule="auto"/>
              <w:ind w:leftChars="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bCs/>
                <w:sz w:val="18"/>
                <w:szCs w:val="18"/>
                <w:lang w:eastAsia="zh-CN"/>
              </w:rPr>
              <w:t>（</w:t>
            </w:r>
            <w:r>
              <w:rPr>
                <w:rFonts w:hint="eastAsia" w:asciiTheme="minorEastAsia" w:hAnsiTheme="minorEastAsia" w:eastAsiaTheme="minorEastAsia" w:cstheme="minorEastAsia"/>
                <w:b w:val="0"/>
                <w:bCs/>
                <w:sz w:val="18"/>
                <w:szCs w:val="18"/>
                <w:lang w:val="en-US" w:eastAsia="zh-CN"/>
              </w:rPr>
              <w:t>二十七</w:t>
            </w:r>
            <w:r>
              <w:rPr>
                <w:rFonts w:hint="eastAsia" w:asciiTheme="minorEastAsia" w:hAnsiTheme="minorEastAsia" w:eastAsiaTheme="minorEastAsia" w:cstheme="minorEastAsia"/>
                <w:b w:val="0"/>
                <w:bCs/>
                <w:sz w:val="18"/>
                <w:szCs w:val="18"/>
                <w:lang w:eastAsia="zh-CN"/>
              </w:rPr>
              <w:t>）</w:t>
            </w:r>
            <w:r>
              <w:rPr>
                <w:rFonts w:hint="eastAsia" w:asciiTheme="minorEastAsia" w:hAnsiTheme="minorEastAsia" w:eastAsiaTheme="minorEastAsia" w:cstheme="minorEastAsia"/>
                <w:b/>
                <w:sz w:val="18"/>
                <w:szCs w:val="18"/>
              </w:rPr>
              <w:t>融资专用头寸</w:t>
            </w:r>
            <w:r>
              <w:rPr>
                <w:rFonts w:hint="eastAsia" w:asciiTheme="minorEastAsia" w:hAnsiTheme="minorEastAsia" w:eastAsiaTheme="minorEastAsia" w:cstheme="minorEastAsia"/>
                <w:sz w:val="18"/>
                <w:szCs w:val="18"/>
              </w:rPr>
              <w:t>：指甲方申请的专属融资头寸，仅供甲方融资买入使用，该头寸将收取融资专项费用，计算公式为：融资专项费用=专用资金头寸×专用头寸费率×占用天数/360。</w:t>
            </w:r>
          </w:p>
          <w:p>
            <w:pPr>
              <w:numPr>
                <w:ilvl w:val="0"/>
                <w:numId w:val="0"/>
              </w:numPr>
              <w:spacing w:line="240" w:lineRule="auto"/>
              <w:jc w:val="both"/>
              <w:rPr>
                <w:rFonts w:hint="eastAsia" w:asciiTheme="minorEastAsia" w:hAnsiTheme="minorEastAsia" w:eastAsiaTheme="minorEastAsia" w:cstheme="minorEastAsia"/>
                <w:b/>
                <w:color w:val="auto"/>
                <w:sz w:val="18"/>
                <w:szCs w:val="18"/>
                <w:lang w:eastAsia="zh-CN"/>
              </w:rPr>
            </w:pPr>
          </w:p>
          <w:p>
            <w:pPr>
              <w:numPr>
                <w:ilvl w:val="0"/>
                <w:numId w:val="0"/>
              </w:numPr>
              <w:spacing w:line="240" w:lineRule="auto"/>
              <w:jc w:val="both"/>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b w:val="0"/>
                <w:bCs/>
                <w:color w:val="auto"/>
                <w:sz w:val="18"/>
                <w:szCs w:val="18"/>
                <w:lang w:eastAsia="zh-CN"/>
              </w:rPr>
              <w:t>（</w:t>
            </w:r>
            <w:r>
              <w:rPr>
                <w:rFonts w:hint="eastAsia" w:asciiTheme="minorEastAsia" w:hAnsiTheme="minorEastAsia" w:eastAsiaTheme="minorEastAsia" w:cstheme="minorEastAsia"/>
                <w:b w:val="0"/>
                <w:bCs/>
                <w:color w:val="auto"/>
                <w:sz w:val="18"/>
                <w:szCs w:val="18"/>
                <w:lang w:val="en-US" w:eastAsia="zh-CN"/>
              </w:rPr>
              <w:t>二十九</w:t>
            </w:r>
            <w:r>
              <w:rPr>
                <w:rFonts w:hint="eastAsia" w:asciiTheme="minorEastAsia" w:hAnsiTheme="minorEastAsia" w:eastAsiaTheme="minorEastAsia" w:cstheme="minorEastAsia"/>
                <w:b w:val="0"/>
                <w:bCs/>
                <w:color w:val="auto"/>
                <w:sz w:val="18"/>
                <w:szCs w:val="18"/>
                <w:lang w:eastAsia="zh-CN"/>
              </w:rPr>
              <w:t>）</w:t>
            </w:r>
            <w:r>
              <w:rPr>
                <w:rFonts w:hint="eastAsia" w:asciiTheme="minorEastAsia" w:hAnsiTheme="minorEastAsia" w:eastAsiaTheme="minorEastAsia" w:cstheme="minorEastAsia"/>
                <w:b/>
                <w:color w:val="auto"/>
                <w:sz w:val="18"/>
                <w:szCs w:val="18"/>
              </w:rPr>
              <w:t>公允价格</w:t>
            </w:r>
            <w:r>
              <w:rPr>
                <w:rFonts w:hint="eastAsia" w:asciiTheme="minorEastAsia" w:hAnsiTheme="minorEastAsia" w:eastAsiaTheme="minorEastAsia" w:cstheme="minorEastAsia"/>
                <w:color w:val="auto"/>
                <w:sz w:val="18"/>
                <w:szCs w:val="18"/>
              </w:rPr>
              <w:t>：是指甲方信用证券账户内的证券发生暂停交易、涉及</w:t>
            </w:r>
            <w:r>
              <w:rPr>
                <w:rFonts w:hint="eastAsia" w:asciiTheme="minorEastAsia" w:hAnsiTheme="minorEastAsia" w:eastAsiaTheme="minorEastAsia" w:cstheme="minorEastAsia"/>
                <w:color w:val="auto"/>
                <w:sz w:val="18"/>
                <w:szCs w:val="18"/>
                <w:lang w:val="en-US" w:eastAsia="zh-CN"/>
              </w:rPr>
              <w:t>暂停上市、</w:t>
            </w:r>
            <w:r>
              <w:rPr>
                <w:rFonts w:hint="eastAsia" w:asciiTheme="minorEastAsia" w:hAnsiTheme="minorEastAsia" w:eastAsiaTheme="minorEastAsia" w:cstheme="minorEastAsia"/>
                <w:color w:val="auto"/>
                <w:sz w:val="18"/>
                <w:szCs w:val="18"/>
              </w:rPr>
              <w:t>终止上市、被实施风险警示的或发生其他重大风险事项时，乙方有权对信用证券账户内的证券重新进行估值，对其公允价格进行调整，并通过乙方官方网站、乙方APP、乙方PC交易客户端、交易系统或乙方营业场所中的任意一种方式进行公告。</w:t>
            </w:r>
          </w:p>
          <w:p>
            <w:pPr>
              <w:numPr>
                <w:ilvl w:val="0"/>
                <w:numId w:val="0"/>
              </w:numPr>
              <w:spacing w:line="240" w:lineRule="auto"/>
              <w:ind w:leftChars="0" w:firstLine="360" w:firstLineChars="200"/>
              <w:jc w:val="both"/>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color w:val="auto"/>
                <w:sz w:val="18"/>
                <w:szCs w:val="18"/>
              </w:rPr>
              <w:t>甲方信用证券账户内的证券发生暂停交易时，该证券公允价格计算方法一般按照“指数收益法”逐日折算，市价=停牌时收盘价×（当日该证券所上市的交易所行业分类指数中对应的行业指数收盘价/停牌前一交易日该证券所上市的交易所行业分类指数中对应的行业指数收盘价）。若信用账户证券涉及</w:t>
            </w:r>
            <w:r>
              <w:rPr>
                <w:rFonts w:hint="eastAsia" w:asciiTheme="minorEastAsia" w:hAnsiTheme="minorEastAsia" w:eastAsiaTheme="minorEastAsia" w:cstheme="minorEastAsia"/>
                <w:color w:val="auto"/>
                <w:sz w:val="18"/>
                <w:szCs w:val="18"/>
                <w:lang w:val="en-US" w:eastAsia="zh-CN"/>
              </w:rPr>
              <w:t>暂停上市、</w:t>
            </w:r>
            <w:r>
              <w:rPr>
                <w:rFonts w:hint="eastAsia" w:asciiTheme="minorEastAsia" w:hAnsiTheme="minorEastAsia" w:eastAsiaTheme="minorEastAsia" w:cstheme="minorEastAsia"/>
                <w:color w:val="auto"/>
                <w:sz w:val="18"/>
                <w:szCs w:val="18"/>
              </w:rPr>
              <w:t>终止上市、被实施风险警示或其他重大风险事项时，乙方有权对该证券的公允价格另行进行调整，并通过乙方官方网站、乙方APP、乙方PC交易客户端、交易系统或乙方营业场所中的任意一种方式进行公告。</w:t>
            </w:r>
          </w:p>
        </w:tc>
        <w:tc>
          <w:tcPr>
            <w:tcW w:w="2500" w:type="pct"/>
            <w:noWrap w:val="0"/>
            <w:vAlign w:val="top"/>
          </w:tcPr>
          <w:p>
            <w:pPr>
              <w:numPr>
                <w:ilvl w:val="0"/>
                <w:numId w:val="0"/>
              </w:numPr>
              <w:spacing w:line="240" w:lineRule="auto"/>
              <w:ind w:leftChars="0"/>
              <w:jc w:val="both"/>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b/>
                <w:bCs w:val="0"/>
                <w:sz w:val="18"/>
                <w:szCs w:val="18"/>
                <w:lang w:val="en-US" w:eastAsia="zh-CN"/>
              </w:rPr>
              <w:t>第一条</w:t>
            </w:r>
            <w:r>
              <w:rPr>
                <w:rFonts w:hint="eastAsia" w:asciiTheme="minorEastAsia" w:hAnsiTheme="minorEastAsia" w:eastAsiaTheme="minorEastAsia" w:cstheme="minorEastAsia"/>
                <w:b w:val="0"/>
                <w:bCs/>
                <w:color w:val="auto"/>
                <w:sz w:val="18"/>
                <w:szCs w:val="18"/>
                <w:lang w:eastAsia="zh-CN"/>
              </w:rPr>
              <w:t>（</w:t>
            </w:r>
            <w:r>
              <w:rPr>
                <w:rFonts w:hint="eastAsia" w:asciiTheme="minorEastAsia" w:hAnsiTheme="minorEastAsia" w:eastAsiaTheme="minorEastAsia" w:cstheme="minorEastAsia"/>
                <w:b w:val="0"/>
                <w:bCs/>
                <w:color w:val="auto"/>
                <w:sz w:val="18"/>
                <w:szCs w:val="18"/>
                <w:lang w:val="en-US" w:eastAsia="zh-CN"/>
              </w:rPr>
              <w:t>二十</w:t>
            </w:r>
            <w:r>
              <w:rPr>
                <w:rFonts w:hint="eastAsia" w:asciiTheme="minorEastAsia" w:hAnsiTheme="minorEastAsia" w:eastAsiaTheme="minorEastAsia" w:cstheme="minorEastAsia"/>
                <w:b w:val="0"/>
                <w:bCs/>
                <w:color w:val="auto"/>
                <w:sz w:val="18"/>
                <w:szCs w:val="18"/>
                <w:lang w:eastAsia="zh-CN"/>
              </w:rPr>
              <w:t>）</w:t>
            </w:r>
            <w:r>
              <w:rPr>
                <w:rFonts w:hint="eastAsia" w:asciiTheme="minorEastAsia" w:hAnsiTheme="minorEastAsia" w:eastAsiaTheme="minorEastAsia" w:cstheme="minorEastAsia"/>
                <w:b/>
                <w:color w:val="auto"/>
                <w:sz w:val="18"/>
                <w:szCs w:val="18"/>
              </w:rPr>
              <w:t>维持担保比例</w:t>
            </w:r>
            <w:r>
              <w:rPr>
                <w:rFonts w:hint="eastAsia" w:asciiTheme="minorEastAsia" w:hAnsiTheme="minorEastAsia" w:eastAsiaTheme="minorEastAsia" w:cstheme="minorEastAsia"/>
                <w:color w:val="auto"/>
                <w:sz w:val="18"/>
                <w:szCs w:val="18"/>
              </w:rPr>
              <w:t>：是指甲方担保物价值与其融资融券债务之和的比例。其计算公式为：维持担保比例=（现金＋信用证券账户内证券市值+其他担保物价值）/(融资买入金额＋融券卖出证券数量×市价＋利息及费用)。</w:t>
            </w:r>
          </w:p>
          <w:p>
            <w:pPr>
              <w:numPr>
                <w:ilvl w:val="0"/>
                <w:numId w:val="0"/>
              </w:numPr>
              <w:spacing w:line="240" w:lineRule="auto"/>
              <w:ind w:firstLine="360"/>
              <w:jc w:val="both"/>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公式中，其他担保物是指甲方维持担保比例低于最低维持担保比例时，甲方经乙方认可后提交的除现金及信用证券账户内证券以外的其他担保物，其价值根据乙方与甲方约定的估值方式计算或双方认可的估值结果确定；</w:t>
            </w:r>
          </w:p>
          <w:p>
            <w:pPr>
              <w:numPr>
                <w:ilvl w:val="0"/>
                <w:numId w:val="0"/>
              </w:numPr>
              <w:spacing w:line="240" w:lineRule="auto"/>
              <w:ind w:leftChars="0"/>
              <w:jc w:val="both"/>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b w:val="0"/>
                <w:bCs/>
                <w:color w:val="auto"/>
                <w:sz w:val="18"/>
                <w:szCs w:val="18"/>
                <w:lang w:eastAsia="zh-CN"/>
              </w:rPr>
              <w:t>（</w:t>
            </w:r>
            <w:r>
              <w:rPr>
                <w:rFonts w:hint="eastAsia" w:asciiTheme="minorEastAsia" w:hAnsiTheme="minorEastAsia" w:eastAsiaTheme="minorEastAsia" w:cstheme="minorEastAsia"/>
                <w:b w:val="0"/>
                <w:bCs/>
                <w:color w:val="auto"/>
                <w:sz w:val="18"/>
                <w:szCs w:val="18"/>
                <w:lang w:val="en-US" w:eastAsia="zh-CN"/>
              </w:rPr>
              <w:t>二十七</w:t>
            </w:r>
            <w:r>
              <w:rPr>
                <w:rFonts w:hint="eastAsia" w:asciiTheme="minorEastAsia" w:hAnsiTheme="minorEastAsia" w:eastAsiaTheme="minorEastAsia" w:cstheme="minorEastAsia"/>
                <w:b w:val="0"/>
                <w:bCs/>
                <w:color w:val="auto"/>
                <w:sz w:val="18"/>
                <w:szCs w:val="18"/>
                <w:lang w:eastAsia="zh-CN"/>
              </w:rPr>
              <w:t>）</w:t>
            </w:r>
            <w:r>
              <w:rPr>
                <w:rFonts w:hint="eastAsia" w:asciiTheme="minorEastAsia" w:hAnsiTheme="minorEastAsia" w:eastAsiaTheme="minorEastAsia" w:cstheme="minorEastAsia"/>
                <w:b/>
                <w:color w:val="auto"/>
                <w:sz w:val="18"/>
                <w:szCs w:val="18"/>
              </w:rPr>
              <w:t>融资专用头寸</w:t>
            </w:r>
            <w:r>
              <w:rPr>
                <w:rFonts w:hint="eastAsia" w:asciiTheme="minorEastAsia" w:hAnsiTheme="minorEastAsia" w:eastAsiaTheme="minorEastAsia" w:cstheme="minorEastAsia"/>
                <w:color w:val="auto"/>
                <w:sz w:val="18"/>
                <w:szCs w:val="18"/>
              </w:rPr>
              <w:t>：指甲方申请的专属融资头寸，仅供甲方融资买入使用，该头寸将收取融资专项费用，以头寸占用的自然日天数计收</w:t>
            </w:r>
            <w:r>
              <w:rPr>
                <w:rFonts w:hint="eastAsia" w:asciiTheme="minorEastAsia" w:hAnsiTheme="minorEastAsia" w:eastAsiaTheme="minorEastAsia" w:cstheme="minorEastAsia"/>
                <w:color w:val="auto"/>
                <w:sz w:val="18"/>
                <w:szCs w:val="18"/>
                <w:lang w:eastAsia="zh-CN"/>
              </w:rPr>
              <w:t>，</w:t>
            </w:r>
            <w:r>
              <w:rPr>
                <w:rFonts w:hint="eastAsia" w:asciiTheme="minorEastAsia" w:hAnsiTheme="minorEastAsia" w:eastAsiaTheme="minorEastAsia" w:cstheme="minorEastAsia"/>
                <w:color w:val="auto"/>
                <w:sz w:val="18"/>
                <w:szCs w:val="18"/>
              </w:rPr>
              <w:t>计算公式为：融资专项费用=专用资金头寸×专用头寸费率×占用天数/360。</w:t>
            </w:r>
          </w:p>
          <w:p>
            <w:pPr>
              <w:numPr>
                <w:ilvl w:val="0"/>
                <w:numId w:val="0"/>
              </w:numPr>
              <w:spacing w:line="240" w:lineRule="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bCs/>
                <w:color w:val="auto"/>
                <w:sz w:val="18"/>
                <w:szCs w:val="18"/>
                <w:lang w:eastAsia="zh-CN"/>
              </w:rPr>
              <w:t>（</w:t>
            </w:r>
            <w:r>
              <w:rPr>
                <w:rFonts w:hint="eastAsia" w:asciiTheme="minorEastAsia" w:hAnsiTheme="minorEastAsia" w:eastAsiaTheme="minorEastAsia" w:cstheme="minorEastAsia"/>
                <w:b w:val="0"/>
                <w:bCs/>
                <w:color w:val="auto"/>
                <w:sz w:val="18"/>
                <w:szCs w:val="18"/>
                <w:lang w:val="en-US" w:eastAsia="zh-CN"/>
              </w:rPr>
              <w:t>二十九</w:t>
            </w:r>
            <w:r>
              <w:rPr>
                <w:rFonts w:hint="eastAsia" w:asciiTheme="minorEastAsia" w:hAnsiTheme="minorEastAsia" w:eastAsiaTheme="minorEastAsia" w:cstheme="minorEastAsia"/>
                <w:b w:val="0"/>
                <w:bCs/>
                <w:color w:val="auto"/>
                <w:sz w:val="18"/>
                <w:szCs w:val="18"/>
                <w:lang w:eastAsia="zh-CN"/>
              </w:rPr>
              <w:t>）</w:t>
            </w:r>
            <w:r>
              <w:rPr>
                <w:rFonts w:hint="eastAsia" w:asciiTheme="minorEastAsia" w:hAnsiTheme="minorEastAsia" w:eastAsiaTheme="minorEastAsia" w:cstheme="minorEastAsia"/>
                <w:b/>
                <w:sz w:val="18"/>
                <w:szCs w:val="18"/>
              </w:rPr>
              <w:t>公允价格</w:t>
            </w:r>
            <w:r>
              <w:rPr>
                <w:rFonts w:hint="eastAsia" w:asciiTheme="minorEastAsia" w:hAnsiTheme="minorEastAsia" w:eastAsiaTheme="minorEastAsia" w:cstheme="minorEastAsia"/>
                <w:sz w:val="18"/>
                <w:szCs w:val="18"/>
              </w:rPr>
              <w:t>：是指甲方信用证券账户内的证券发生暂停交易、涉及终止上市、被实施风险警示的或发生其他重大风险事项时，乙方有权对信用证券账户内的证券重新进行估值，对其公允价格进行调整，并通过乙方官方网站、乙方APP、乙方PC交易客户端、交易系统或乙方营业场所中的任意一种方式进行公告。</w:t>
            </w:r>
          </w:p>
          <w:p>
            <w:pPr>
              <w:spacing w:line="240" w:lineRule="auto"/>
              <w:ind w:firstLine="360" w:firstLineChars="200"/>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sz w:val="18"/>
                <w:szCs w:val="18"/>
              </w:rPr>
              <w:t>甲方信用证券账户内的证券发生暂停交易时，该证券公允价格计算方法一般按照“指数收益法”逐日折算，市价=停牌时收盘价×（当日该证券所上市的交易所行业分类指数中对应的行业指数收盘价/停牌前一交易日该证券所上市的交易所行业分类指数中对应的行业指数收盘价）。若信用账户证券涉及终止上市、被实施风险警示或其他重大风险事项时，乙方有权对该证券的公允价格另行进行调整，并通过乙方官方网站、乙方APP、乙方PC交易客户端、交易系统或乙方营业场所中的任意一种方式进行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99" w:type="pct"/>
            <w:noWrap w:val="0"/>
            <w:vAlign w:val="top"/>
          </w:tcPr>
          <w:p>
            <w:pPr>
              <w:spacing w:line="240" w:lineRule="auto"/>
              <w:jc w:val="center"/>
              <w:rPr>
                <w:rFonts w:hint="eastAsia" w:asciiTheme="minorEastAsia" w:hAnsiTheme="minorEastAsia" w:eastAsiaTheme="minorEastAsia" w:cstheme="minorEastAsia"/>
                <w:b/>
                <w:bCs/>
                <w:color w:val="auto"/>
                <w:sz w:val="18"/>
                <w:szCs w:val="18"/>
                <w:vertAlign w:val="baseline"/>
                <w:lang w:val="en-US" w:eastAsia="zh-CN"/>
              </w:rPr>
            </w:pPr>
            <w:r>
              <w:rPr>
                <w:rFonts w:hint="eastAsia" w:asciiTheme="minorEastAsia" w:hAnsiTheme="minorEastAsia" w:eastAsiaTheme="minorEastAsia" w:cstheme="minorEastAsia"/>
                <w:b/>
                <w:bCs/>
                <w:color w:val="auto"/>
                <w:sz w:val="18"/>
                <w:szCs w:val="18"/>
                <w:vertAlign w:val="baseline"/>
                <w:lang w:val="en-US" w:eastAsia="zh-CN"/>
              </w:rPr>
              <w:t>第三章 声明和保证</w:t>
            </w:r>
          </w:p>
        </w:tc>
        <w:tc>
          <w:tcPr>
            <w:tcW w:w="2500" w:type="pct"/>
            <w:noWrap w:val="0"/>
            <w:vAlign w:val="top"/>
          </w:tcPr>
          <w:p>
            <w:pPr>
              <w:spacing w:line="240" w:lineRule="auto"/>
              <w:jc w:val="center"/>
              <w:rPr>
                <w:rFonts w:hint="eastAsia" w:asciiTheme="minorEastAsia" w:hAnsiTheme="minorEastAsia" w:eastAsiaTheme="minorEastAsia" w:cstheme="minorEastAsia"/>
                <w:b/>
                <w:bCs/>
                <w:color w:val="auto"/>
                <w:sz w:val="18"/>
                <w:szCs w:val="18"/>
                <w:vertAlign w:val="baseline"/>
                <w:lang w:val="en-US" w:eastAsia="zh-CN"/>
              </w:rPr>
            </w:pPr>
            <w:r>
              <w:rPr>
                <w:rFonts w:hint="eastAsia" w:asciiTheme="minorEastAsia" w:hAnsiTheme="minorEastAsia" w:eastAsiaTheme="minorEastAsia" w:cstheme="minorEastAsia"/>
                <w:b/>
                <w:bCs/>
                <w:color w:val="auto"/>
                <w:sz w:val="18"/>
                <w:szCs w:val="18"/>
                <w:vertAlign w:val="baseline"/>
                <w:lang w:val="en-US" w:eastAsia="zh-CN"/>
              </w:rPr>
              <w:t>第三章 声明和保证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jc w:val="center"/>
        </w:trPr>
        <w:tc>
          <w:tcPr>
            <w:tcW w:w="2499" w:type="pct"/>
            <w:noWrap w:val="0"/>
            <w:vAlign w:val="top"/>
          </w:tcPr>
          <w:p>
            <w:pPr>
              <w:spacing w:line="240" w:lineRule="auto"/>
              <w:jc w:val="both"/>
              <w:rPr>
                <w:rFonts w:hint="eastAsia" w:asciiTheme="minorEastAsia" w:hAnsiTheme="minorEastAsia" w:eastAsiaTheme="minorEastAsia" w:cstheme="minorEastAsia"/>
                <w:b/>
                <w:bCs/>
                <w:color w:val="auto"/>
                <w:sz w:val="18"/>
                <w:szCs w:val="18"/>
                <w:vertAlign w:val="baseline"/>
                <w:lang w:val="en-US" w:eastAsia="zh-CN"/>
              </w:rPr>
            </w:pPr>
            <w:r>
              <w:rPr>
                <w:rFonts w:hint="eastAsia" w:asciiTheme="minorEastAsia" w:hAnsiTheme="minorEastAsia" w:eastAsiaTheme="minorEastAsia" w:cstheme="minorEastAsia"/>
                <w:b/>
                <w:bCs/>
                <w:color w:val="auto"/>
                <w:sz w:val="18"/>
                <w:szCs w:val="18"/>
                <w:vertAlign w:val="baseline"/>
                <w:lang w:val="en-US" w:eastAsia="zh-CN"/>
              </w:rPr>
              <w:t>第四条</w:t>
            </w:r>
            <w:r>
              <w:rPr>
                <w:rFonts w:hint="eastAsia" w:asciiTheme="minorEastAsia" w:hAnsiTheme="minorEastAsia" w:eastAsiaTheme="minorEastAsia" w:cstheme="minorEastAsia"/>
                <w:b w:val="0"/>
                <w:bCs w:val="0"/>
                <w:color w:val="auto"/>
                <w:sz w:val="18"/>
                <w:szCs w:val="18"/>
                <w:vertAlign w:val="baseline"/>
                <w:lang w:val="en-US" w:eastAsia="zh-CN"/>
              </w:rPr>
              <w:t>（四）</w:t>
            </w:r>
            <w:r>
              <w:rPr>
                <w:rFonts w:hint="eastAsia" w:asciiTheme="minorEastAsia" w:hAnsiTheme="minorEastAsia" w:eastAsiaTheme="minorEastAsia" w:cstheme="minorEastAsia"/>
                <w:b/>
                <w:bCs/>
                <w:color w:val="auto"/>
                <w:sz w:val="18"/>
                <w:szCs w:val="18"/>
                <w:vertAlign w:val="baseline"/>
                <w:lang w:val="en-US" w:eastAsia="zh-CN"/>
              </w:rPr>
              <w:t>甲方用于融资融券交易的资产来源合法、并保证遵守国家反洗钱的相关规定权属清晰，甲方向乙方提供担保的资产未设定其他担保或其他第三方权利，无任何权属争议或权利瑕疵。</w:t>
            </w:r>
          </w:p>
          <w:p>
            <w:pPr>
              <w:spacing w:line="240" w:lineRule="auto"/>
              <w:jc w:val="both"/>
              <w:rPr>
                <w:rFonts w:hint="eastAsia" w:asciiTheme="minorEastAsia" w:hAnsiTheme="minorEastAsia" w:eastAsiaTheme="minorEastAsia" w:cstheme="minorEastAsia"/>
                <w:b/>
                <w:bCs/>
                <w:color w:val="auto"/>
                <w:sz w:val="18"/>
                <w:szCs w:val="18"/>
                <w:vertAlign w:val="baseline"/>
                <w:lang w:val="en-US" w:eastAsia="zh-CN"/>
              </w:rPr>
            </w:pPr>
          </w:p>
          <w:p>
            <w:pPr>
              <w:spacing w:line="240" w:lineRule="auto"/>
              <w:jc w:val="both"/>
              <w:rPr>
                <w:rFonts w:hint="eastAsia" w:asciiTheme="minorEastAsia" w:hAnsiTheme="minorEastAsia" w:eastAsiaTheme="minorEastAsia" w:cstheme="minorEastAsia"/>
                <w:b/>
                <w:color w:val="auto"/>
                <w:sz w:val="18"/>
                <w:szCs w:val="18"/>
                <w:lang w:val="en-US" w:eastAsia="zh-CN"/>
              </w:rPr>
            </w:pPr>
            <w:r>
              <w:rPr>
                <w:rFonts w:hint="eastAsia" w:asciiTheme="minorEastAsia" w:hAnsiTheme="minorEastAsia" w:eastAsiaTheme="minorEastAsia" w:cstheme="minorEastAsia"/>
                <w:b w:val="0"/>
                <w:bCs w:val="0"/>
                <w:color w:val="auto"/>
                <w:sz w:val="18"/>
                <w:szCs w:val="18"/>
                <w:vertAlign w:val="baseline"/>
                <w:lang w:val="en-US" w:eastAsia="zh-CN"/>
              </w:rPr>
              <w:t>（七）</w:t>
            </w:r>
            <w:r>
              <w:rPr>
                <w:rFonts w:hint="eastAsia" w:asciiTheme="minorEastAsia" w:hAnsiTheme="minorEastAsia" w:eastAsiaTheme="minorEastAsia" w:cstheme="minorEastAsia"/>
                <w:b/>
                <w:bCs/>
                <w:color w:val="auto"/>
                <w:sz w:val="18"/>
                <w:szCs w:val="18"/>
                <w:vertAlign w:val="baseline"/>
                <w:lang w:val="en-US" w:eastAsia="zh-CN"/>
              </w:rPr>
              <w:t>甲方承诺如向乙方提供的联络方式发生变更时，保证在变更时及时通知乙方。</w:t>
            </w:r>
          </w:p>
        </w:tc>
        <w:tc>
          <w:tcPr>
            <w:tcW w:w="2500" w:type="pct"/>
            <w:noWrap w:val="0"/>
            <w:vAlign w:val="top"/>
          </w:tcPr>
          <w:p>
            <w:pPr>
              <w:spacing w:line="240" w:lineRule="auto"/>
              <w:jc w:val="both"/>
              <w:rPr>
                <w:rFonts w:hint="eastAsia" w:asciiTheme="minorEastAsia" w:hAnsiTheme="minorEastAsia" w:eastAsiaTheme="minorEastAsia" w:cstheme="minorEastAsia"/>
                <w:b/>
                <w:bCs/>
                <w:color w:val="auto"/>
                <w:sz w:val="18"/>
                <w:szCs w:val="18"/>
                <w:vertAlign w:val="baseline"/>
                <w:lang w:val="en-US" w:eastAsia="zh-CN"/>
              </w:rPr>
            </w:pPr>
            <w:r>
              <w:rPr>
                <w:rFonts w:hint="eastAsia" w:asciiTheme="minorEastAsia" w:hAnsiTheme="minorEastAsia" w:eastAsiaTheme="minorEastAsia" w:cstheme="minorEastAsia"/>
                <w:b/>
                <w:bCs/>
                <w:color w:val="auto"/>
                <w:sz w:val="18"/>
                <w:szCs w:val="18"/>
                <w:vertAlign w:val="baseline"/>
                <w:lang w:val="en-US" w:eastAsia="zh-CN"/>
              </w:rPr>
              <w:t>第四条</w:t>
            </w:r>
            <w:r>
              <w:rPr>
                <w:rFonts w:hint="eastAsia" w:asciiTheme="minorEastAsia" w:hAnsiTheme="minorEastAsia" w:eastAsiaTheme="minorEastAsia" w:cstheme="minorEastAsia"/>
                <w:b w:val="0"/>
                <w:bCs w:val="0"/>
                <w:color w:val="auto"/>
                <w:sz w:val="18"/>
                <w:szCs w:val="18"/>
                <w:vertAlign w:val="baseline"/>
                <w:lang w:val="en-US" w:eastAsia="zh-CN"/>
              </w:rPr>
              <w:t>（四）</w:t>
            </w:r>
            <w:r>
              <w:rPr>
                <w:rFonts w:hint="eastAsia" w:asciiTheme="minorEastAsia" w:hAnsiTheme="minorEastAsia" w:eastAsiaTheme="minorEastAsia" w:cstheme="minorEastAsia"/>
                <w:b/>
                <w:bCs/>
                <w:color w:val="auto"/>
                <w:sz w:val="18"/>
                <w:szCs w:val="18"/>
                <w:vertAlign w:val="baseline"/>
                <w:lang w:val="en-US" w:eastAsia="zh-CN"/>
              </w:rPr>
              <w:t>甲方用于融资融券交易的资产（包括资金和证券）来源合法、并保证遵守国家反洗钱的相关规定权属清晰，甲方向乙方提供担保的资产未设定其他担保或其他第三方权利，无任何权属争议或权利瑕疵。</w:t>
            </w:r>
          </w:p>
          <w:p>
            <w:pPr>
              <w:spacing w:line="240" w:lineRule="auto"/>
              <w:jc w:val="both"/>
              <w:rPr>
                <w:rFonts w:hint="eastAsia" w:asciiTheme="minorEastAsia" w:hAnsiTheme="minorEastAsia" w:eastAsiaTheme="minorEastAsia" w:cstheme="minorEastAsia"/>
                <w:b/>
                <w:color w:val="auto"/>
                <w:sz w:val="18"/>
                <w:szCs w:val="18"/>
                <w:lang w:val="en-US" w:eastAsia="zh-CN"/>
              </w:rPr>
            </w:pPr>
            <w:r>
              <w:rPr>
                <w:rFonts w:hint="eastAsia" w:asciiTheme="minorEastAsia" w:hAnsiTheme="minorEastAsia" w:eastAsiaTheme="minorEastAsia" w:cstheme="minorEastAsia"/>
                <w:b w:val="0"/>
                <w:bCs w:val="0"/>
                <w:color w:val="auto"/>
                <w:sz w:val="18"/>
                <w:szCs w:val="18"/>
                <w:vertAlign w:val="baseline"/>
                <w:lang w:val="en-US" w:eastAsia="zh-CN"/>
              </w:rPr>
              <w:t>（七）</w:t>
            </w:r>
            <w:r>
              <w:rPr>
                <w:rFonts w:hint="eastAsia" w:asciiTheme="minorEastAsia" w:hAnsiTheme="minorEastAsia" w:eastAsiaTheme="minorEastAsia" w:cstheme="minorEastAsia"/>
                <w:b/>
                <w:bCs/>
                <w:color w:val="auto"/>
                <w:sz w:val="18"/>
                <w:szCs w:val="18"/>
                <w:vertAlign w:val="baseline"/>
                <w:lang w:val="en-US" w:eastAsia="zh-CN"/>
              </w:rPr>
              <w:t>甲方承诺如向乙方提供的联络方式发生变更时，及时通知乙方。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noWrap w:val="0"/>
            <w:vAlign w:val="top"/>
          </w:tcPr>
          <w:p>
            <w:pPr>
              <w:spacing w:line="240" w:lineRule="auto"/>
              <w:jc w:val="center"/>
              <w:rPr>
                <w:rFonts w:hint="eastAsia" w:asciiTheme="minorEastAsia" w:hAnsiTheme="minorEastAsia" w:eastAsiaTheme="minorEastAsia" w:cstheme="minorEastAsia"/>
                <w:color w:val="auto"/>
                <w:sz w:val="18"/>
                <w:szCs w:val="18"/>
                <w:vertAlign w:val="baseline"/>
                <w:lang w:val="en-US" w:eastAsia="zh-CN"/>
              </w:rPr>
            </w:pPr>
            <w:r>
              <w:rPr>
                <w:rFonts w:hint="eastAsia" w:asciiTheme="minorEastAsia" w:hAnsiTheme="minorEastAsia" w:eastAsiaTheme="minorEastAsia" w:cstheme="minorEastAsia"/>
                <w:b/>
                <w:bCs/>
                <w:color w:val="auto"/>
                <w:sz w:val="18"/>
                <w:szCs w:val="18"/>
                <w:vertAlign w:val="baseline"/>
                <w:lang w:val="en-US" w:eastAsia="zh-CN"/>
              </w:rPr>
              <w:t>第四章 双方的权利与义务</w:t>
            </w:r>
          </w:p>
        </w:tc>
        <w:tc>
          <w:tcPr>
            <w:tcW w:w="2500" w:type="pct"/>
            <w:noWrap w:val="0"/>
            <w:vAlign w:val="top"/>
          </w:tcPr>
          <w:p>
            <w:pPr>
              <w:spacing w:line="240" w:lineRule="auto"/>
              <w:jc w:val="center"/>
              <w:rPr>
                <w:rFonts w:hint="eastAsia" w:asciiTheme="minorEastAsia" w:hAnsiTheme="minorEastAsia" w:eastAsiaTheme="minorEastAsia" w:cstheme="minorEastAsia"/>
                <w:color w:val="auto"/>
                <w:sz w:val="18"/>
                <w:szCs w:val="18"/>
                <w:vertAlign w:val="baseline"/>
                <w:lang w:val="en-US" w:eastAsia="zh-CN"/>
              </w:rPr>
            </w:pPr>
            <w:r>
              <w:rPr>
                <w:rFonts w:hint="eastAsia" w:asciiTheme="minorEastAsia" w:hAnsiTheme="minorEastAsia" w:eastAsiaTheme="minorEastAsia" w:cstheme="minorEastAsia"/>
                <w:b/>
                <w:bCs/>
                <w:color w:val="auto"/>
                <w:sz w:val="18"/>
                <w:szCs w:val="18"/>
                <w:vertAlign w:val="baseline"/>
                <w:lang w:val="en-US" w:eastAsia="zh-CN"/>
              </w:rPr>
              <w:t>第四章 双方的权利与义务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noWrap w:val="0"/>
            <w:vAlign w:val="top"/>
          </w:tcPr>
          <w:p>
            <w:pPr>
              <w:numPr>
                <w:ilvl w:val="0"/>
                <w:numId w:val="0"/>
              </w:numPr>
              <w:spacing w:line="240" w:lineRule="auto"/>
              <w:jc w:val="both"/>
              <w:rPr>
                <w:rFonts w:hint="eastAsia" w:asciiTheme="minorEastAsia" w:hAnsiTheme="minorEastAsia" w:eastAsiaTheme="minorEastAsia" w:cstheme="minorEastAsia"/>
                <w:b/>
                <w:color w:val="auto"/>
                <w:sz w:val="18"/>
                <w:szCs w:val="18"/>
                <w:lang w:val="en-US" w:eastAsia="zh-CN"/>
              </w:rPr>
            </w:pPr>
          </w:p>
          <w:p>
            <w:pPr>
              <w:numPr>
                <w:ilvl w:val="0"/>
                <w:numId w:val="0"/>
              </w:numPr>
              <w:spacing w:line="240" w:lineRule="auto"/>
              <w:jc w:val="both"/>
              <w:rPr>
                <w:rFonts w:hint="eastAsia" w:asciiTheme="minorEastAsia" w:hAnsiTheme="minorEastAsia" w:eastAsiaTheme="minorEastAsia" w:cstheme="minorEastAsia"/>
                <w:b/>
                <w:color w:val="auto"/>
                <w:sz w:val="18"/>
                <w:szCs w:val="18"/>
                <w:lang w:val="en-US" w:eastAsia="zh-CN"/>
              </w:rPr>
            </w:pPr>
          </w:p>
          <w:p>
            <w:pPr>
              <w:numPr>
                <w:ilvl w:val="0"/>
                <w:numId w:val="0"/>
              </w:numPr>
              <w:spacing w:line="240" w:lineRule="auto"/>
              <w:jc w:val="both"/>
              <w:rPr>
                <w:rFonts w:hint="eastAsia" w:asciiTheme="minorEastAsia" w:hAnsiTheme="minorEastAsia" w:eastAsiaTheme="minorEastAsia" w:cstheme="minorEastAsia"/>
                <w:b/>
                <w:bCs/>
                <w:color w:val="auto"/>
                <w:sz w:val="18"/>
                <w:szCs w:val="18"/>
                <w:vertAlign w:val="baseline"/>
                <w:lang w:val="en-US" w:eastAsia="zh-CN"/>
              </w:rPr>
            </w:pPr>
          </w:p>
        </w:tc>
        <w:tc>
          <w:tcPr>
            <w:tcW w:w="2500" w:type="pct"/>
            <w:noWrap w:val="0"/>
            <w:vAlign w:val="top"/>
          </w:tcPr>
          <w:p>
            <w:pPr>
              <w:spacing w:line="240" w:lineRule="auto"/>
              <w:jc w:val="both"/>
              <w:rPr>
                <w:rFonts w:hint="eastAsia" w:asciiTheme="minorEastAsia" w:hAnsiTheme="minorEastAsia" w:eastAsiaTheme="minorEastAsia" w:cstheme="minorEastAsia"/>
                <w:b/>
                <w:bCs/>
                <w:color w:val="auto"/>
                <w:sz w:val="18"/>
                <w:szCs w:val="18"/>
                <w:vertAlign w:val="baseline"/>
                <w:lang w:val="en-US" w:eastAsia="zh-CN"/>
              </w:rPr>
            </w:pPr>
            <w:r>
              <w:rPr>
                <w:rFonts w:hint="eastAsia" w:asciiTheme="minorEastAsia" w:hAnsiTheme="minorEastAsia" w:eastAsiaTheme="minorEastAsia" w:cstheme="minorEastAsia"/>
                <w:b/>
                <w:bCs/>
                <w:color w:val="auto"/>
                <w:sz w:val="18"/>
                <w:szCs w:val="18"/>
                <w:vertAlign w:val="baseline"/>
                <w:lang w:val="en-US" w:eastAsia="zh-CN"/>
              </w:rPr>
              <w:t>第六条</w:t>
            </w:r>
            <w:r>
              <w:rPr>
                <w:rFonts w:hint="eastAsia" w:asciiTheme="minorEastAsia" w:hAnsiTheme="minorEastAsia" w:eastAsiaTheme="minorEastAsia" w:cstheme="minorEastAsia"/>
                <w:b w:val="0"/>
                <w:bCs w:val="0"/>
                <w:color w:val="auto"/>
                <w:sz w:val="18"/>
                <w:szCs w:val="18"/>
                <w:vertAlign w:val="baseline"/>
                <w:lang w:val="en-US" w:eastAsia="zh-CN"/>
              </w:rPr>
              <w:t>（二）甲方的义务</w:t>
            </w:r>
          </w:p>
          <w:p>
            <w:pPr>
              <w:numPr>
                <w:ilvl w:val="0"/>
                <w:numId w:val="0"/>
              </w:numPr>
              <w:spacing w:line="240" w:lineRule="auto"/>
              <w:jc w:val="both"/>
              <w:rPr>
                <w:rFonts w:hint="eastAsia" w:asciiTheme="minorEastAsia" w:hAnsiTheme="minorEastAsia" w:eastAsiaTheme="minorEastAsia" w:cstheme="minorEastAsia"/>
                <w:b/>
                <w:color w:val="auto"/>
                <w:sz w:val="18"/>
                <w:szCs w:val="18"/>
                <w:lang w:val="en-US" w:eastAsia="zh-CN"/>
              </w:rPr>
            </w:pPr>
            <w:r>
              <w:rPr>
                <w:rFonts w:hint="eastAsia" w:asciiTheme="minorEastAsia" w:hAnsiTheme="minorEastAsia" w:eastAsiaTheme="minorEastAsia" w:cstheme="minorEastAsia"/>
                <w:b w:val="0"/>
                <w:bCs w:val="0"/>
                <w:color w:val="auto"/>
                <w:sz w:val="18"/>
                <w:szCs w:val="18"/>
                <w:lang w:val="en-US" w:eastAsia="zh-CN"/>
              </w:rPr>
              <w:t>7、</w:t>
            </w:r>
            <w:r>
              <w:rPr>
                <w:rFonts w:hint="eastAsia" w:asciiTheme="minorEastAsia" w:hAnsiTheme="minorEastAsia" w:eastAsiaTheme="minorEastAsia" w:cstheme="minorEastAsia"/>
                <w:b/>
                <w:bCs/>
                <w:color w:val="auto"/>
                <w:sz w:val="18"/>
                <w:szCs w:val="18"/>
                <w:lang w:val="en-US" w:eastAsia="zh-CN"/>
              </w:rPr>
              <w:t>甲方应配合乙方根据中国证监会、证券交易所、中国证券业协会等市场监管部门、自律组织及乙方相关规定完成回访事项。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noWrap w:val="0"/>
            <w:vAlign w:val="top"/>
          </w:tcPr>
          <w:p>
            <w:pPr>
              <w:spacing w:line="240" w:lineRule="auto"/>
              <w:jc w:val="both"/>
              <w:rPr>
                <w:rFonts w:hint="eastAsia" w:asciiTheme="minorEastAsia" w:hAnsiTheme="minorEastAsia" w:eastAsiaTheme="minorEastAsia" w:cstheme="minorEastAsia"/>
                <w:b/>
                <w:bCs/>
                <w:color w:val="auto"/>
                <w:sz w:val="18"/>
                <w:szCs w:val="18"/>
                <w:vertAlign w:val="baseline"/>
                <w:lang w:val="en-US" w:eastAsia="zh-CN"/>
              </w:rPr>
            </w:pPr>
            <w:r>
              <w:rPr>
                <w:rFonts w:hint="eastAsia" w:asciiTheme="minorEastAsia" w:hAnsiTheme="minorEastAsia" w:eastAsiaTheme="minorEastAsia" w:cstheme="minorEastAsia"/>
                <w:b/>
                <w:bCs/>
                <w:color w:val="auto"/>
                <w:sz w:val="18"/>
                <w:szCs w:val="18"/>
                <w:vertAlign w:val="baseline"/>
                <w:lang w:val="en-US" w:eastAsia="zh-CN"/>
              </w:rPr>
              <w:t>第六条</w:t>
            </w:r>
            <w:r>
              <w:rPr>
                <w:rFonts w:hint="eastAsia" w:asciiTheme="minorEastAsia" w:hAnsiTheme="minorEastAsia" w:eastAsiaTheme="minorEastAsia" w:cstheme="minorEastAsia"/>
                <w:b w:val="0"/>
                <w:bCs w:val="0"/>
                <w:color w:val="auto"/>
                <w:sz w:val="18"/>
                <w:szCs w:val="18"/>
                <w:vertAlign w:val="baseline"/>
                <w:lang w:val="en-US" w:eastAsia="zh-CN"/>
              </w:rPr>
              <w:t>（二）甲方的义务</w:t>
            </w:r>
          </w:p>
          <w:p>
            <w:pPr>
              <w:numPr>
                <w:ilvl w:val="0"/>
                <w:numId w:val="0"/>
              </w:numPr>
              <w:spacing w:line="240" w:lineRule="auto"/>
              <w:jc w:val="both"/>
              <w:rPr>
                <w:rFonts w:hint="eastAsia" w:asciiTheme="minorEastAsia" w:hAnsiTheme="minorEastAsia" w:eastAsiaTheme="minorEastAsia" w:cstheme="minorEastAsia"/>
                <w:b/>
                <w:color w:val="auto"/>
                <w:sz w:val="18"/>
                <w:szCs w:val="18"/>
                <w:lang w:val="en-US" w:eastAsia="zh-CN"/>
              </w:rPr>
            </w:pPr>
            <w:r>
              <w:rPr>
                <w:rFonts w:hint="eastAsia" w:asciiTheme="minorEastAsia" w:hAnsiTheme="minorEastAsia" w:eastAsiaTheme="minorEastAsia" w:cstheme="minorEastAsia"/>
                <w:b w:val="0"/>
                <w:bCs/>
                <w:color w:val="auto"/>
                <w:sz w:val="18"/>
                <w:szCs w:val="18"/>
                <w:lang w:val="en-US" w:eastAsia="zh-CN"/>
              </w:rPr>
              <w:t>10、</w:t>
            </w:r>
            <w:r>
              <w:rPr>
                <w:rFonts w:hint="eastAsia" w:asciiTheme="minorEastAsia" w:hAnsiTheme="minorEastAsia" w:eastAsiaTheme="minorEastAsia" w:cstheme="minorEastAsia"/>
                <w:b/>
                <w:color w:val="auto"/>
                <w:sz w:val="18"/>
                <w:szCs w:val="18"/>
              </w:rPr>
              <w:t>甲方应随时关注其信用账户维持担保比例变化情况，并保证本合同约定的通讯方式畅通；甲方应随时关注乙方确定及调整标的证券范围、可充抵保证金的证券范围及折算率、融资（融券）保证金比例与维持担保比例、集中度指标、公允价格调整、展期规则、还款规则等业务相关事项的通知或公告。甲方应当随时关注乙方通知及公告，并及时追加担保物及履行本合同约定相关义务。因未尽上述注意义务而造成的损失，由甲方自行承担。</w:t>
            </w:r>
          </w:p>
        </w:tc>
        <w:tc>
          <w:tcPr>
            <w:tcW w:w="2500" w:type="pct"/>
            <w:noWrap w:val="0"/>
            <w:vAlign w:val="top"/>
          </w:tcPr>
          <w:p>
            <w:pPr>
              <w:spacing w:line="240" w:lineRule="auto"/>
              <w:jc w:val="both"/>
              <w:rPr>
                <w:rFonts w:hint="eastAsia" w:asciiTheme="minorEastAsia" w:hAnsiTheme="minorEastAsia" w:eastAsiaTheme="minorEastAsia" w:cstheme="minorEastAsia"/>
                <w:b/>
                <w:bCs/>
                <w:color w:val="auto"/>
                <w:sz w:val="18"/>
                <w:szCs w:val="18"/>
                <w:vertAlign w:val="baseline"/>
                <w:lang w:val="en-US" w:eastAsia="zh-CN"/>
              </w:rPr>
            </w:pPr>
            <w:r>
              <w:rPr>
                <w:rFonts w:hint="eastAsia" w:asciiTheme="minorEastAsia" w:hAnsiTheme="minorEastAsia" w:eastAsiaTheme="minorEastAsia" w:cstheme="minorEastAsia"/>
                <w:b/>
                <w:bCs/>
                <w:color w:val="auto"/>
                <w:sz w:val="18"/>
                <w:szCs w:val="18"/>
                <w:vertAlign w:val="baseline"/>
                <w:lang w:val="en-US" w:eastAsia="zh-CN"/>
              </w:rPr>
              <w:t>第六条</w:t>
            </w:r>
            <w:r>
              <w:rPr>
                <w:rFonts w:hint="eastAsia" w:asciiTheme="minorEastAsia" w:hAnsiTheme="minorEastAsia" w:eastAsiaTheme="minorEastAsia" w:cstheme="minorEastAsia"/>
                <w:b w:val="0"/>
                <w:bCs w:val="0"/>
                <w:color w:val="auto"/>
                <w:sz w:val="18"/>
                <w:szCs w:val="18"/>
                <w:vertAlign w:val="baseline"/>
                <w:lang w:val="en-US" w:eastAsia="zh-CN"/>
              </w:rPr>
              <w:t>（二）甲方的义务</w:t>
            </w:r>
          </w:p>
          <w:p>
            <w:pPr>
              <w:numPr>
                <w:ilvl w:val="0"/>
                <w:numId w:val="0"/>
              </w:numPr>
              <w:spacing w:line="240" w:lineRule="auto"/>
              <w:jc w:val="both"/>
              <w:rPr>
                <w:rFonts w:hint="eastAsia" w:asciiTheme="minorEastAsia" w:hAnsiTheme="minorEastAsia" w:eastAsiaTheme="minorEastAsia" w:cstheme="minorEastAsia"/>
                <w:b/>
                <w:color w:val="auto"/>
                <w:sz w:val="18"/>
                <w:szCs w:val="18"/>
                <w:lang w:val="en-US" w:eastAsia="zh-CN"/>
              </w:rPr>
            </w:pPr>
            <w:r>
              <w:rPr>
                <w:rFonts w:hint="eastAsia" w:asciiTheme="minorEastAsia" w:hAnsiTheme="minorEastAsia" w:eastAsiaTheme="minorEastAsia" w:cstheme="minorEastAsia"/>
                <w:b w:val="0"/>
                <w:bCs/>
                <w:color w:val="auto"/>
                <w:sz w:val="18"/>
                <w:szCs w:val="18"/>
                <w:lang w:val="en-US" w:eastAsia="zh-CN"/>
              </w:rPr>
              <w:t>11、</w:t>
            </w:r>
            <w:r>
              <w:rPr>
                <w:rFonts w:hint="eastAsia" w:asciiTheme="minorEastAsia" w:hAnsiTheme="minorEastAsia" w:eastAsiaTheme="minorEastAsia" w:cstheme="minorEastAsia"/>
                <w:b/>
                <w:color w:val="auto"/>
                <w:sz w:val="18"/>
                <w:szCs w:val="18"/>
              </w:rPr>
              <w:t>甲方应随时关注其信用账户维持担保比例变化情况，并保证本合同约定的通讯方式畅通；甲方应随时关注乙方确定及调整标的证券范围、可充抵保证金的证券范围及折算率、融资（融券）保证金比例与维持担保比例、集中度指标、公允价格调整、展期规则、还款规则</w:t>
            </w:r>
            <w:r>
              <w:rPr>
                <w:rFonts w:hint="eastAsia" w:asciiTheme="minorEastAsia" w:hAnsiTheme="minorEastAsia" w:eastAsiaTheme="minorEastAsia" w:cstheme="minorEastAsia"/>
                <w:b/>
                <w:color w:val="auto"/>
                <w:sz w:val="18"/>
                <w:szCs w:val="18"/>
                <w:lang w:eastAsia="zh-CN"/>
              </w:rPr>
              <w:t>、</w:t>
            </w:r>
            <w:r>
              <w:rPr>
                <w:rFonts w:hint="eastAsia" w:asciiTheme="minorEastAsia" w:hAnsiTheme="minorEastAsia" w:eastAsiaTheme="minorEastAsia" w:cstheme="minorEastAsia"/>
                <w:b/>
                <w:color w:val="auto"/>
                <w:sz w:val="18"/>
                <w:szCs w:val="18"/>
                <w:lang w:val="en-US" w:eastAsia="zh-CN"/>
              </w:rPr>
              <w:t>补充担保物期限</w:t>
            </w:r>
            <w:r>
              <w:rPr>
                <w:rFonts w:hint="eastAsia" w:asciiTheme="minorEastAsia" w:hAnsiTheme="minorEastAsia" w:eastAsiaTheme="minorEastAsia" w:cstheme="minorEastAsia"/>
                <w:b/>
                <w:color w:val="auto"/>
                <w:sz w:val="18"/>
                <w:szCs w:val="18"/>
              </w:rPr>
              <w:t>等业务相关事项的通知或公告。甲方应当随时关注乙方通知及公告，并及时追加担保物及履行本合同约定相关义务。因未尽上述注意义务而造成的损失，由甲方自行承担。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noWrap w:val="0"/>
            <w:vAlign w:val="top"/>
          </w:tcPr>
          <w:p>
            <w:pPr>
              <w:numPr>
                <w:ilvl w:val="0"/>
                <w:numId w:val="0"/>
              </w:numPr>
              <w:spacing w:line="240" w:lineRule="auto"/>
              <w:jc w:val="both"/>
              <w:rPr>
                <w:rFonts w:hint="eastAsia" w:asciiTheme="minorEastAsia" w:hAnsiTheme="minorEastAsia" w:eastAsiaTheme="minorEastAsia" w:cstheme="minorEastAsia"/>
                <w:b/>
                <w:color w:val="auto"/>
                <w:sz w:val="18"/>
                <w:szCs w:val="18"/>
                <w:lang w:val="en-US" w:eastAsia="zh-CN"/>
              </w:rPr>
            </w:pPr>
          </w:p>
        </w:tc>
        <w:tc>
          <w:tcPr>
            <w:tcW w:w="2500" w:type="pct"/>
            <w:noWrap w:val="0"/>
            <w:vAlign w:val="top"/>
          </w:tcPr>
          <w:p>
            <w:pPr>
              <w:spacing w:line="240" w:lineRule="auto"/>
              <w:jc w:val="both"/>
              <w:rPr>
                <w:rFonts w:hint="eastAsia" w:asciiTheme="minorEastAsia" w:hAnsiTheme="minorEastAsia" w:eastAsiaTheme="minorEastAsia" w:cstheme="minorEastAsia"/>
                <w:b/>
                <w:bCs/>
                <w:color w:val="auto"/>
                <w:sz w:val="18"/>
                <w:szCs w:val="18"/>
                <w:vertAlign w:val="baseline"/>
                <w:lang w:val="en-US" w:eastAsia="zh-CN"/>
              </w:rPr>
            </w:pPr>
            <w:r>
              <w:rPr>
                <w:rFonts w:hint="eastAsia" w:asciiTheme="minorEastAsia" w:hAnsiTheme="minorEastAsia" w:eastAsiaTheme="minorEastAsia" w:cstheme="minorEastAsia"/>
                <w:b/>
                <w:bCs/>
                <w:color w:val="auto"/>
                <w:sz w:val="18"/>
                <w:szCs w:val="18"/>
                <w:vertAlign w:val="baseline"/>
                <w:lang w:val="en-US" w:eastAsia="zh-CN"/>
              </w:rPr>
              <w:t>第六条</w:t>
            </w:r>
            <w:r>
              <w:rPr>
                <w:rFonts w:hint="eastAsia" w:asciiTheme="minorEastAsia" w:hAnsiTheme="minorEastAsia" w:eastAsiaTheme="minorEastAsia" w:cstheme="minorEastAsia"/>
                <w:b w:val="0"/>
                <w:bCs w:val="0"/>
                <w:color w:val="auto"/>
                <w:sz w:val="18"/>
                <w:szCs w:val="18"/>
                <w:vertAlign w:val="baseline"/>
                <w:lang w:val="en-US" w:eastAsia="zh-CN"/>
              </w:rPr>
              <w:t>（二）甲方的义务</w:t>
            </w:r>
          </w:p>
          <w:p>
            <w:pPr>
              <w:numPr>
                <w:ilvl w:val="0"/>
                <w:numId w:val="0"/>
              </w:numPr>
              <w:spacing w:line="240" w:lineRule="auto"/>
              <w:jc w:val="both"/>
              <w:rPr>
                <w:rFonts w:hint="eastAsia" w:asciiTheme="minorEastAsia" w:hAnsiTheme="minorEastAsia" w:eastAsiaTheme="minorEastAsia" w:cstheme="minorEastAsia"/>
                <w:b/>
                <w:color w:val="auto"/>
                <w:sz w:val="18"/>
                <w:szCs w:val="18"/>
                <w:lang w:val="en-US" w:eastAsia="zh-CN"/>
              </w:rPr>
            </w:pPr>
            <w:r>
              <w:rPr>
                <w:rFonts w:hint="eastAsia" w:asciiTheme="minorEastAsia" w:hAnsiTheme="minorEastAsia" w:eastAsiaTheme="minorEastAsia" w:cstheme="minorEastAsia"/>
                <w:b w:val="0"/>
                <w:bCs/>
                <w:color w:val="auto"/>
                <w:sz w:val="18"/>
                <w:szCs w:val="18"/>
                <w:lang w:val="en-US" w:eastAsia="zh-CN"/>
              </w:rPr>
              <w:t>13、</w:t>
            </w:r>
            <w:r>
              <w:rPr>
                <w:rFonts w:hint="eastAsia" w:asciiTheme="minorEastAsia" w:hAnsiTheme="minorEastAsia" w:eastAsiaTheme="minorEastAsia" w:cstheme="minorEastAsia"/>
                <w:b/>
                <w:color w:val="auto"/>
                <w:sz w:val="18"/>
                <w:szCs w:val="18"/>
                <w:lang w:val="en-US" w:eastAsia="zh-CN"/>
              </w:rPr>
              <w:t>若甲方为资产管理计划及相关产品，甲方应根据相关法律法规、部门规章以及资产管理计划或金融产品相关合同的约定向产品委托人履行通知及信息披露义务。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noWrap w:val="0"/>
            <w:vAlign w:val="top"/>
          </w:tcPr>
          <w:p>
            <w:pPr>
              <w:numPr>
                <w:ilvl w:val="0"/>
                <w:numId w:val="0"/>
              </w:numPr>
              <w:spacing w:line="240" w:lineRule="auto"/>
              <w:jc w:val="both"/>
              <w:rPr>
                <w:rFonts w:hint="eastAsia" w:asciiTheme="minorEastAsia" w:hAnsiTheme="minorEastAsia" w:eastAsiaTheme="minorEastAsia" w:cstheme="minorEastAsia"/>
                <w:b/>
                <w:color w:val="auto"/>
                <w:sz w:val="18"/>
                <w:szCs w:val="18"/>
                <w:lang w:val="en-US" w:eastAsia="zh-CN"/>
              </w:rPr>
            </w:pPr>
          </w:p>
        </w:tc>
        <w:tc>
          <w:tcPr>
            <w:tcW w:w="2500" w:type="pct"/>
            <w:noWrap w:val="0"/>
            <w:vAlign w:val="top"/>
          </w:tcPr>
          <w:p>
            <w:pPr>
              <w:spacing w:line="240" w:lineRule="auto"/>
              <w:jc w:val="both"/>
              <w:rPr>
                <w:rFonts w:hint="eastAsia" w:asciiTheme="minorEastAsia" w:hAnsiTheme="minorEastAsia" w:eastAsiaTheme="minorEastAsia" w:cstheme="minorEastAsia"/>
                <w:b/>
                <w:bCs/>
                <w:color w:val="auto"/>
                <w:sz w:val="18"/>
                <w:szCs w:val="18"/>
                <w:vertAlign w:val="baseline"/>
                <w:lang w:val="en-US" w:eastAsia="zh-CN"/>
              </w:rPr>
            </w:pPr>
            <w:r>
              <w:rPr>
                <w:rFonts w:hint="eastAsia" w:asciiTheme="minorEastAsia" w:hAnsiTheme="minorEastAsia" w:eastAsiaTheme="minorEastAsia" w:cstheme="minorEastAsia"/>
                <w:b/>
                <w:bCs/>
                <w:color w:val="auto"/>
                <w:sz w:val="18"/>
                <w:szCs w:val="18"/>
                <w:vertAlign w:val="baseline"/>
                <w:lang w:val="en-US" w:eastAsia="zh-CN"/>
              </w:rPr>
              <w:t>第七条</w:t>
            </w:r>
            <w:r>
              <w:rPr>
                <w:rFonts w:hint="eastAsia" w:asciiTheme="minorEastAsia" w:hAnsiTheme="minorEastAsia" w:eastAsiaTheme="minorEastAsia" w:cstheme="minorEastAsia"/>
                <w:b w:val="0"/>
                <w:bCs w:val="0"/>
                <w:color w:val="auto"/>
                <w:sz w:val="18"/>
                <w:szCs w:val="18"/>
                <w:vertAlign w:val="baseline"/>
                <w:lang w:val="en-US" w:eastAsia="zh-CN"/>
              </w:rPr>
              <w:t>（一）乙方的权利</w:t>
            </w:r>
          </w:p>
          <w:p>
            <w:pPr>
              <w:numPr>
                <w:ilvl w:val="0"/>
                <w:numId w:val="0"/>
              </w:numPr>
              <w:spacing w:line="240" w:lineRule="auto"/>
              <w:jc w:val="both"/>
              <w:rPr>
                <w:rFonts w:hint="eastAsia" w:asciiTheme="minorEastAsia" w:hAnsiTheme="minorEastAsia" w:eastAsiaTheme="minorEastAsia" w:cstheme="minorEastAsia"/>
                <w:b/>
                <w:color w:val="auto"/>
                <w:sz w:val="18"/>
                <w:szCs w:val="18"/>
                <w:lang w:val="en-US" w:eastAsia="zh-CN"/>
              </w:rPr>
            </w:pPr>
            <w:r>
              <w:rPr>
                <w:rFonts w:hint="eastAsia" w:asciiTheme="minorEastAsia" w:hAnsiTheme="minorEastAsia" w:eastAsiaTheme="minorEastAsia" w:cstheme="minorEastAsia"/>
                <w:b w:val="0"/>
                <w:bCs/>
                <w:color w:val="auto"/>
                <w:sz w:val="18"/>
                <w:szCs w:val="18"/>
                <w:lang w:val="en-US" w:eastAsia="zh-CN"/>
              </w:rPr>
              <w:t>2、</w:t>
            </w:r>
            <w:r>
              <w:rPr>
                <w:rFonts w:hint="eastAsia" w:asciiTheme="minorEastAsia" w:hAnsiTheme="minorEastAsia" w:eastAsiaTheme="minorEastAsia" w:cstheme="minorEastAsia"/>
                <w:b/>
                <w:color w:val="auto"/>
                <w:sz w:val="18"/>
                <w:szCs w:val="18"/>
                <w:lang w:val="en-US" w:eastAsia="zh-CN"/>
              </w:rPr>
              <w:t>如甲方</w:t>
            </w:r>
            <w:r>
              <w:rPr>
                <w:rFonts w:hint="eastAsia" w:asciiTheme="minorEastAsia" w:hAnsiTheme="minorEastAsia" w:eastAsiaTheme="minorEastAsia" w:cstheme="minorEastAsia"/>
                <w:b/>
                <w:color w:val="auto"/>
                <w:sz w:val="18"/>
                <w:szCs w:val="18"/>
              </w:rPr>
              <w:t>将信用账户、身份证件、交易密码等出借给他人使用</w:t>
            </w:r>
            <w:r>
              <w:rPr>
                <w:rFonts w:hint="eastAsia" w:asciiTheme="minorEastAsia" w:hAnsiTheme="minorEastAsia" w:eastAsiaTheme="minorEastAsia" w:cstheme="minorEastAsia"/>
                <w:b/>
                <w:color w:val="auto"/>
                <w:sz w:val="18"/>
                <w:szCs w:val="18"/>
                <w:lang w:eastAsia="zh-CN"/>
              </w:rPr>
              <w:t>，</w:t>
            </w:r>
            <w:r>
              <w:rPr>
                <w:rFonts w:hint="eastAsia" w:asciiTheme="minorEastAsia" w:hAnsiTheme="minorEastAsia" w:eastAsiaTheme="minorEastAsia" w:cstheme="minorEastAsia"/>
                <w:b/>
                <w:color w:val="auto"/>
                <w:sz w:val="18"/>
                <w:szCs w:val="18"/>
                <w:lang w:val="en-US" w:eastAsia="zh-CN"/>
              </w:rPr>
              <w:t>乙方有权对甲方采取限制交易、限制展期、调整授信额度、强制平仓等相关措施。</w:t>
            </w:r>
          </w:p>
          <w:p>
            <w:pPr>
              <w:numPr>
                <w:ilvl w:val="0"/>
                <w:numId w:val="0"/>
              </w:numPr>
              <w:spacing w:line="240" w:lineRule="auto"/>
              <w:jc w:val="both"/>
              <w:rPr>
                <w:rFonts w:hint="eastAsia" w:asciiTheme="minorEastAsia" w:hAnsiTheme="minorEastAsia" w:eastAsiaTheme="minorEastAsia" w:cstheme="minorEastAsia"/>
                <w:b/>
                <w:color w:val="auto"/>
                <w:sz w:val="18"/>
                <w:szCs w:val="18"/>
                <w:lang w:val="en-US" w:eastAsia="zh-CN"/>
              </w:rPr>
            </w:pPr>
            <w:r>
              <w:rPr>
                <w:rFonts w:hint="eastAsia" w:asciiTheme="minorEastAsia" w:hAnsiTheme="minorEastAsia" w:eastAsiaTheme="minorEastAsia" w:cstheme="minorEastAsia"/>
                <w:b w:val="0"/>
                <w:bCs/>
                <w:color w:val="auto"/>
                <w:sz w:val="18"/>
                <w:szCs w:val="18"/>
                <w:lang w:val="en-US" w:eastAsia="zh-CN"/>
              </w:rPr>
              <w:t>8、</w:t>
            </w:r>
            <w:r>
              <w:rPr>
                <w:rFonts w:hint="eastAsia" w:asciiTheme="minorEastAsia" w:hAnsiTheme="minorEastAsia" w:eastAsiaTheme="minorEastAsia" w:cstheme="minorEastAsia"/>
                <w:b/>
                <w:bCs w:val="0"/>
                <w:color w:val="auto"/>
                <w:sz w:val="18"/>
                <w:szCs w:val="18"/>
                <w:lang w:val="en-US" w:eastAsia="zh-CN"/>
              </w:rPr>
              <w:t>如果甲方未配合乙方根据中国证监会、证券交易所、中国证券业协会等市场监管部门、自律组织及乙方相关规定完成回访事项，乙方有权限制其相关交易委托。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noWrap w:val="0"/>
            <w:vAlign w:val="top"/>
          </w:tcPr>
          <w:p>
            <w:pPr>
              <w:spacing w:line="240" w:lineRule="auto"/>
              <w:jc w:val="both"/>
              <w:rPr>
                <w:rFonts w:hint="eastAsia" w:asciiTheme="minorEastAsia" w:hAnsiTheme="minorEastAsia" w:eastAsiaTheme="minorEastAsia" w:cstheme="minorEastAsia"/>
                <w:b/>
                <w:color w:val="auto"/>
                <w:sz w:val="18"/>
                <w:szCs w:val="18"/>
                <w:lang w:val="en-US" w:eastAsia="zh-CN"/>
              </w:rPr>
            </w:pPr>
            <w:r>
              <w:rPr>
                <w:rFonts w:hint="eastAsia" w:asciiTheme="minorEastAsia" w:hAnsiTheme="minorEastAsia" w:eastAsiaTheme="minorEastAsia" w:cstheme="minorEastAsia"/>
                <w:b/>
                <w:bCs/>
                <w:color w:val="auto"/>
                <w:sz w:val="18"/>
                <w:szCs w:val="18"/>
                <w:vertAlign w:val="baseline"/>
                <w:lang w:val="en-US" w:eastAsia="zh-CN"/>
              </w:rPr>
              <w:t>第七条</w:t>
            </w:r>
            <w:r>
              <w:rPr>
                <w:rFonts w:hint="eastAsia" w:asciiTheme="minorEastAsia" w:hAnsiTheme="minorEastAsia" w:eastAsiaTheme="minorEastAsia" w:cstheme="minorEastAsia"/>
                <w:b w:val="0"/>
                <w:bCs w:val="0"/>
                <w:color w:val="auto"/>
                <w:sz w:val="18"/>
                <w:szCs w:val="18"/>
                <w:vertAlign w:val="baseline"/>
                <w:lang w:val="en-US" w:eastAsia="zh-CN"/>
              </w:rPr>
              <w:t>（一）乙方的权利</w:t>
            </w:r>
          </w:p>
          <w:p>
            <w:pPr>
              <w:numPr>
                <w:ilvl w:val="0"/>
                <w:numId w:val="1"/>
              </w:numPr>
              <w:spacing w:line="240" w:lineRule="auto"/>
              <w:jc w:val="both"/>
              <w:rPr>
                <w:rFonts w:hint="eastAsia" w:asciiTheme="minorEastAsia" w:hAnsiTheme="minorEastAsia" w:eastAsiaTheme="minorEastAsia" w:cstheme="minorEastAsia"/>
                <w:b/>
                <w:color w:val="auto"/>
                <w:sz w:val="18"/>
                <w:szCs w:val="18"/>
              </w:rPr>
            </w:pPr>
            <w:r>
              <w:rPr>
                <w:rFonts w:hint="eastAsia" w:asciiTheme="minorEastAsia" w:hAnsiTheme="minorEastAsia" w:eastAsiaTheme="minorEastAsia" w:cstheme="minorEastAsia"/>
                <w:b/>
                <w:color w:val="auto"/>
                <w:sz w:val="18"/>
                <w:szCs w:val="18"/>
              </w:rPr>
              <w:t>甲方开展融资融券交易期间，不满足监管机构或乙方适当性管理要求的，乙方有权采取禁止甲方融资买入、融券卖出、合约展期申请、取消其授信额度或解除本合同等措施。</w:t>
            </w:r>
          </w:p>
          <w:p>
            <w:pPr>
              <w:widowControl w:val="0"/>
              <w:numPr>
                <w:ilvl w:val="0"/>
                <w:numId w:val="0"/>
              </w:numPr>
              <w:spacing w:line="240" w:lineRule="auto"/>
              <w:jc w:val="both"/>
              <w:rPr>
                <w:rFonts w:hint="eastAsia" w:asciiTheme="minorEastAsia" w:hAnsiTheme="minorEastAsia" w:eastAsiaTheme="minorEastAsia" w:cstheme="minorEastAsia"/>
                <w:b/>
                <w:color w:val="auto"/>
                <w:sz w:val="18"/>
                <w:szCs w:val="18"/>
                <w:lang w:val="en-US" w:eastAsia="zh-CN"/>
              </w:rPr>
            </w:pPr>
          </w:p>
          <w:p>
            <w:pPr>
              <w:numPr>
                <w:ilvl w:val="0"/>
                <w:numId w:val="0"/>
              </w:numPr>
              <w:spacing w:line="240" w:lineRule="auto"/>
              <w:jc w:val="both"/>
              <w:rPr>
                <w:rFonts w:hint="eastAsia" w:asciiTheme="minorEastAsia" w:hAnsiTheme="minorEastAsia" w:eastAsiaTheme="minorEastAsia" w:cstheme="minorEastAsia"/>
                <w:b/>
                <w:color w:val="auto"/>
                <w:sz w:val="18"/>
                <w:szCs w:val="18"/>
              </w:rPr>
            </w:pPr>
            <w:r>
              <w:rPr>
                <w:rFonts w:hint="eastAsia" w:asciiTheme="minorEastAsia" w:hAnsiTheme="minorEastAsia" w:eastAsiaTheme="minorEastAsia" w:cstheme="minorEastAsia"/>
                <w:b w:val="0"/>
                <w:bCs/>
                <w:color w:val="auto"/>
                <w:sz w:val="18"/>
                <w:szCs w:val="18"/>
                <w:lang w:val="en-US" w:eastAsia="zh-CN"/>
              </w:rPr>
              <w:t>11、</w:t>
            </w:r>
            <w:r>
              <w:rPr>
                <w:rFonts w:hint="eastAsia" w:asciiTheme="minorEastAsia" w:hAnsiTheme="minorEastAsia" w:eastAsiaTheme="minorEastAsia" w:cstheme="minorEastAsia"/>
                <w:b/>
                <w:color w:val="auto"/>
                <w:sz w:val="18"/>
                <w:szCs w:val="18"/>
              </w:rPr>
              <w:t>乙方有权根据甲方的违约情况及信用情况，调整甲方融资融券业务的信用等级和/或授信额度，调整甲方在乙方其他信用业务的信用等级和/或授信额度，将甲方列入乙方重点关注投资者名单、投资者黑名单，同时有权视情节将相关信息上传至行业类黑名单、人行征信中心等诚信管理机构，因此造成的后果由甲方自行承担。</w:t>
            </w:r>
          </w:p>
          <w:p>
            <w:pPr>
              <w:widowControl w:val="0"/>
              <w:numPr>
                <w:ilvl w:val="0"/>
                <w:numId w:val="0"/>
              </w:numPr>
              <w:spacing w:line="240" w:lineRule="auto"/>
              <w:jc w:val="both"/>
              <w:rPr>
                <w:rFonts w:hint="eastAsia" w:asciiTheme="minorEastAsia" w:hAnsiTheme="minorEastAsia" w:eastAsiaTheme="minorEastAsia" w:cstheme="minorEastAsia"/>
                <w:b/>
                <w:color w:val="auto"/>
                <w:sz w:val="18"/>
                <w:szCs w:val="18"/>
                <w:lang w:val="en-US" w:eastAsia="zh-CN"/>
              </w:rPr>
            </w:pPr>
          </w:p>
        </w:tc>
        <w:tc>
          <w:tcPr>
            <w:tcW w:w="2500" w:type="pct"/>
            <w:noWrap w:val="0"/>
            <w:vAlign w:val="top"/>
          </w:tcPr>
          <w:p>
            <w:pPr>
              <w:spacing w:line="240" w:lineRule="auto"/>
              <w:jc w:val="both"/>
              <w:rPr>
                <w:rFonts w:hint="eastAsia" w:asciiTheme="minorEastAsia" w:hAnsiTheme="minorEastAsia" w:eastAsiaTheme="minorEastAsia" w:cstheme="minorEastAsia"/>
                <w:b/>
                <w:bCs w:val="0"/>
                <w:color w:val="auto"/>
                <w:sz w:val="18"/>
                <w:szCs w:val="18"/>
                <w:lang w:val="en-US" w:eastAsia="zh-CN"/>
              </w:rPr>
            </w:pPr>
            <w:r>
              <w:rPr>
                <w:rFonts w:hint="eastAsia" w:asciiTheme="minorEastAsia" w:hAnsiTheme="minorEastAsia" w:eastAsiaTheme="minorEastAsia" w:cstheme="minorEastAsia"/>
                <w:b/>
                <w:bCs/>
                <w:color w:val="auto"/>
                <w:sz w:val="18"/>
                <w:szCs w:val="18"/>
                <w:vertAlign w:val="baseline"/>
                <w:lang w:val="en-US" w:eastAsia="zh-CN"/>
              </w:rPr>
              <w:t>第七条</w:t>
            </w:r>
            <w:r>
              <w:rPr>
                <w:rFonts w:hint="eastAsia" w:asciiTheme="minorEastAsia" w:hAnsiTheme="minorEastAsia" w:eastAsiaTheme="minorEastAsia" w:cstheme="minorEastAsia"/>
                <w:b w:val="0"/>
                <w:bCs w:val="0"/>
                <w:color w:val="auto"/>
                <w:sz w:val="18"/>
                <w:szCs w:val="18"/>
                <w:vertAlign w:val="baseline"/>
                <w:lang w:val="en-US" w:eastAsia="zh-CN"/>
              </w:rPr>
              <w:t>（一）乙方的权利</w:t>
            </w:r>
          </w:p>
          <w:p>
            <w:pPr>
              <w:numPr>
                <w:ilvl w:val="0"/>
                <w:numId w:val="0"/>
              </w:numPr>
              <w:spacing w:line="240" w:lineRule="auto"/>
              <w:jc w:val="both"/>
              <w:rPr>
                <w:rFonts w:hint="eastAsia" w:asciiTheme="minorEastAsia" w:hAnsiTheme="minorEastAsia" w:eastAsiaTheme="minorEastAsia" w:cstheme="minorEastAsia"/>
                <w:b/>
                <w:color w:val="auto"/>
                <w:sz w:val="18"/>
                <w:szCs w:val="18"/>
              </w:rPr>
            </w:pPr>
            <w:r>
              <w:rPr>
                <w:rFonts w:hint="eastAsia" w:asciiTheme="minorEastAsia" w:hAnsiTheme="minorEastAsia" w:eastAsiaTheme="minorEastAsia" w:cstheme="minorEastAsia"/>
                <w:b w:val="0"/>
                <w:bCs/>
                <w:color w:val="auto"/>
                <w:sz w:val="18"/>
                <w:szCs w:val="18"/>
                <w:lang w:val="en-US" w:eastAsia="zh-CN"/>
              </w:rPr>
              <w:t>11、</w:t>
            </w:r>
            <w:r>
              <w:rPr>
                <w:rFonts w:hint="eastAsia" w:asciiTheme="minorEastAsia" w:hAnsiTheme="minorEastAsia" w:eastAsiaTheme="minorEastAsia" w:cstheme="minorEastAsia"/>
                <w:b/>
                <w:color w:val="auto"/>
                <w:sz w:val="18"/>
                <w:szCs w:val="18"/>
              </w:rPr>
              <w:t>甲方开展融资融券交易期间，不满足监管机构或乙方适当性管理</w:t>
            </w:r>
            <w:r>
              <w:rPr>
                <w:rFonts w:hint="eastAsia" w:asciiTheme="minorEastAsia" w:hAnsiTheme="minorEastAsia" w:eastAsiaTheme="minorEastAsia" w:cstheme="minorEastAsia"/>
                <w:b/>
                <w:color w:val="auto"/>
                <w:sz w:val="18"/>
                <w:szCs w:val="18"/>
                <w:lang w:val="en-US" w:eastAsia="zh-CN"/>
              </w:rPr>
              <w:t>、反洗钱相关</w:t>
            </w:r>
            <w:r>
              <w:rPr>
                <w:rFonts w:hint="eastAsia" w:asciiTheme="minorEastAsia" w:hAnsiTheme="minorEastAsia" w:eastAsiaTheme="minorEastAsia" w:cstheme="minorEastAsia"/>
                <w:b/>
                <w:color w:val="auto"/>
                <w:sz w:val="18"/>
                <w:szCs w:val="18"/>
              </w:rPr>
              <w:t>要求的，乙方有权采取禁止甲方</w:t>
            </w:r>
            <w:r>
              <w:rPr>
                <w:rFonts w:hint="eastAsia" w:asciiTheme="minorEastAsia" w:hAnsiTheme="minorEastAsia" w:eastAsiaTheme="minorEastAsia" w:cstheme="minorEastAsia"/>
                <w:b/>
                <w:color w:val="auto"/>
                <w:sz w:val="18"/>
                <w:szCs w:val="18"/>
                <w:lang w:val="en-US" w:eastAsia="zh-CN"/>
              </w:rPr>
              <w:t>新股申购、普通买入、</w:t>
            </w:r>
            <w:r>
              <w:rPr>
                <w:rFonts w:hint="eastAsia" w:asciiTheme="minorEastAsia" w:hAnsiTheme="minorEastAsia" w:eastAsiaTheme="minorEastAsia" w:cstheme="minorEastAsia"/>
                <w:b/>
                <w:color w:val="auto"/>
                <w:sz w:val="18"/>
                <w:szCs w:val="18"/>
              </w:rPr>
              <w:t>融资买入、融券卖出、合约展期申请、取消其授信额度或解除本合同等措施。</w:t>
            </w:r>
          </w:p>
          <w:p>
            <w:pPr>
              <w:numPr>
                <w:ilvl w:val="0"/>
                <w:numId w:val="0"/>
              </w:numPr>
              <w:spacing w:line="240" w:lineRule="auto"/>
              <w:jc w:val="both"/>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val="en-US" w:eastAsia="zh-CN"/>
              </w:rPr>
              <w:t>13、</w:t>
            </w:r>
            <w:r>
              <w:rPr>
                <w:rFonts w:hint="eastAsia" w:asciiTheme="minorEastAsia" w:hAnsiTheme="minorEastAsia" w:eastAsiaTheme="minorEastAsia" w:cstheme="minorEastAsia"/>
                <w:b/>
                <w:color w:val="auto"/>
                <w:sz w:val="18"/>
                <w:szCs w:val="18"/>
              </w:rPr>
              <w:t>乙方有权根据甲方的违约情况</w:t>
            </w:r>
            <w:r>
              <w:rPr>
                <w:rFonts w:hint="eastAsia" w:asciiTheme="minorEastAsia" w:hAnsiTheme="minorEastAsia" w:eastAsiaTheme="minorEastAsia" w:cstheme="minorEastAsia"/>
                <w:b/>
                <w:color w:val="auto"/>
                <w:sz w:val="18"/>
                <w:szCs w:val="18"/>
                <w:lang w:eastAsia="zh-CN"/>
              </w:rPr>
              <w:t>、</w:t>
            </w:r>
            <w:r>
              <w:rPr>
                <w:rFonts w:hint="eastAsia" w:asciiTheme="minorEastAsia" w:hAnsiTheme="minorEastAsia" w:eastAsiaTheme="minorEastAsia" w:cstheme="minorEastAsia"/>
                <w:b/>
                <w:color w:val="auto"/>
                <w:sz w:val="18"/>
                <w:szCs w:val="18"/>
              </w:rPr>
              <w:t>信用情况</w:t>
            </w:r>
            <w:r>
              <w:rPr>
                <w:rFonts w:hint="eastAsia" w:asciiTheme="minorEastAsia" w:hAnsiTheme="minorEastAsia" w:eastAsiaTheme="minorEastAsia" w:cstheme="minorEastAsia"/>
                <w:b/>
                <w:bCs/>
                <w:color w:val="auto"/>
                <w:sz w:val="18"/>
                <w:szCs w:val="18"/>
                <w:lang w:val="en-US" w:eastAsia="zh-CN"/>
              </w:rPr>
              <w:t>及其他对甲方履行本合同项下的义务产生不利影响的事件等因素（包含但不限于涉及经济纠纷、财务状况恶化等）</w:t>
            </w:r>
            <w:r>
              <w:rPr>
                <w:rFonts w:hint="eastAsia" w:asciiTheme="minorEastAsia" w:hAnsiTheme="minorEastAsia" w:eastAsiaTheme="minorEastAsia" w:cstheme="minorEastAsia"/>
                <w:b/>
                <w:color w:val="auto"/>
                <w:sz w:val="18"/>
                <w:szCs w:val="18"/>
              </w:rPr>
              <w:t>，调整甲方融资融券业务的信用等级和/或授信额度，调整甲方在乙方其他信用业务的信用等级和/或授信额度，将甲方列入乙方重点关注投资者名单、投资者黑名单，同时有权视情节将相关信息</w:t>
            </w:r>
            <w:r>
              <w:rPr>
                <w:rFonts w:hint="eastAsia" w:asciiTheme="minorEastAsia" w:hAnsiTheme="minorEastAsia" w:eastAsiaTheme="minorEastAsia" w:cstheme="minorEastAsia"/>
                <w:b/>
                <w:color w:val="auto"/>
                <w:sz w:val="18"/>
                <w:szCs w:val="18"/>
                <w:lang w:val="en-US" w:eastAsia="zh-CN"/>
              </w:rPr>
              <w:t>向监管部门、中国证券业协会、证券交易所、证券登记结算机构、中国证券金融股份有限公司、中国人民银行金融信用信息基础数据库、依法设立的征信机构</w:t>
            </w:r>
            <w:r>
              <w:rPr>
                <w:rFonts w:hint="eastAsia" w:asciiTheme="minorEastAsia" w:hAnsiTheme="minorEastAsia" w:eastAsiaTheme="minorEastAsia" w:cstheme="minorEastAsia"/>
                <w:b/>
                <w:color w:val="auto"/>
                <w:sz w:val="18"/>
                <w:szCs w:val="18"/>
              </w:rPr>
              <w:t>等</w:t>
            </w:r>
            <w:r>
              <w:rPr>
                <w:rFonts w:hint="eastAsia" w:asciiTheme="minorEastAsia" w:hAnsiTheme="minorEastAsia" w:eastAsiaTheme="minorEastAsia" w:cstheme="minorEastAsia"/>
                <w:b/>
                <w:color w:val="auto"/>
                <w:sz w:val="18"/>
                <w:szCs w:val="18"/>
                <w:lang w:val="en-US" w:eastAsia="zh-CN"/>
              </w:rPr>
              <w:t>单位报送</w:t>
            </w:r>
            <w:r>
              <w:rPr>
                <w:rFonts w:hint="eastAsia" w:asciiTheme="minorEastAsia" w:hAnsiTheme="minorEastAsia" w:eastAsiaTheme="minorEastAsia" w:cstheme="minorEastAsia"/>
                <w:b/>
                <w:color w:val="auto"/>
                <w:sz w:val="18"/>
                <w:szCs w:val="18"/>
              </w:rPr>
              <w:t>，因此造成的后果由甲方自行承担。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noWrap w:val="0"/>
            <w:vAlign w:val="top"/>
          </w:tcPr>
          <w:p>
            <w:pPr>
              <w:numPr>
                <w:ilvl w:val="0"/>
                <w:numId w:val="0"/>
              </w:numPr>
              <w:spacing w:line="240" w:lineRule="auto"/>
              <w:jc w:val="center"/>
              <w:rPr>
                <w:rFonts w:hint="eastAsia" w:asciiTheme="minorEastAsia" w:hAnsiTheme="minorEastAsia" w:eastAsiaTheme="minorEastAsia" w:cstheme="minorEastAsia"/>
                <w:b/>
                <w:color w:val="auto"/>
                <w:sz w:val="18"/>
                <w:szCs w:val="18"/>
                <w:lang w:val="en-US" w:eastAsia="zh-CN"/>
              </w:rPr>
            </w:pPr>
            <w:r>
              <w:rPr>
                <w:rFonts w:hint="eastAsia" w:asciiTheme="minorEastAsia" w:hAnsiTheme="minorEastAsia" w:eastAsiaTheme="minorEastAsia" w:cstheme="minorEastAsia"/>
                <w:b/>
                <w:bCs/>
                <w:color w:val="auto"/>
                <w:sz w:val="18"/>
                <w:szCs w:val="18"/>
                <w:vertAlign w:val="baseline"/>
                <w:lang w:val="en-US" w:eastAsia="zh-CN"/>
              </w:rPr>
              <w:t>第五章 信用账户和财产信托</w:t>
            </w:r>
          </w:p>
        </w:tc>
        <w:tc>
          <w:tcPr>
            <w:tcW w:w="2500" w:type="pct"/>
            <w:noWrap w:val="0"/>
            <w:vAlign w:val="top"/>
          </w:tcPr>
          <w:p>
            <w:pPr>
              <w:numPr>
                <w:ilvl w:val="0"/>
                <w:numId w:val="0"/>
              </w:numPr>
              <w:spacing w:line="240" w:lineRule="auto"/>
              <w:jc w:val="center"/>
              <w:rPr>
                <w:rFonts w:hint="eastAsia" w:asciiTheme="minorEastAsia" w:hAnsiTheme="minorEastAsia" w:eastAsiaTheme="minorEastAsia" w:cstheme="minorEastAsia"/>
                <w:b/>
                <w:color w:val="auto"/>
                <w:sz w:val="18"/>
                <w:szCs w:val="18"/>
                <w:lang w:val="en-US" w:eastAsia="zh-CN"/>
              </w:rPr>
            </w:pPr>
            <w:r>
              <w:rPr>
                <w:rFonts w:hint="eastAsia" w:asciiTheme="minorEastAsia" w:hAnsiTheme="minorEastAsia" w:eastAsiaTheme="minorEastAsia" w:cstheme="minorEastAsia"/>
                <w:b/>
                <w:bCs/>
                <w:color w:val="auto"/>
                <w:sz w:val="18"/>
                <w:szCs w:val="18"/>
                <w:vertAlign w:val="baseline"/>
                <w:lang w:val="en-US" w:eastAsia="zh-CN"/>
              </w:rPr>
              <w:t>第五章 信用账户和财产信托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noWrap w:val="0"/>
            <w:vAlign w:val="top"/>
          </w:tcPr>
          <w:p>
            <w:pPr>
              <w:numPr>
                <w:ilvl w:val="0"/>
                <w:numId w:val="0"/>
              </w:numPr>
              <w:spacing w:line="240" w:lineRule="auto"/>
              <w:jc w:val="both"/>
              <w:rPr>
                <w:rFonts w:hint="eastAsia" w:asciiTheme="minorEastAsia" w:hAnsiTheme="minorEastAsia" w:eastAsiaTheme="minorEastAsia" w:cstheme="minorEastAsia"/>
                <w:b/>
                <w:bCs/>
                <w:color w:val="auto"/>
                <w:sz w:val="18"/>
                <w:szCs w:val="18"/>
                <w:vertAlign w:val="baseline"/>
                <w:lang w:val="en-US" w:eastAsia="zh-CN"/>
              </w:rPr>
            </w:pPr>
          </w:p>
        </w:tc>
        <w:tc>
          <w:tcPr>
            <w:tcW w:w="2500" w:type="pct"/>
            <w:noWrap w:val="0"/>
            <w:vAlign w:val="top"/>
          </w:tcPr>
          <w:p>
            <w:pPr>
              <w:numPr>
                <w:ilvl w:val="0"/>
                <w:numId w:val="0"/>
              </w:numPr>
              <w:spacing w:line="240" w:lineRule="auto"/>
              <w:jc w:val="both"/>
              <w:rPr>
                <w:rFonts w:hint="eastAsia" w:asciiTheme="minorEastAsia" w:hAnsiTheme="minorEastAsia" w:eastAsiaTheme="minorEastAsia" w:cstheme="minorEastAsia"/>
                <w:b/>
                <w:bCs/>
                <w:color w:val="auto"/>
                <w:sz w:val="18"/>
                <w:szCs w:val="18"/>
                <w:vertAlign w:val="baseline"/>
                <w:lang w:val="en-US" w:eastAsia="zh-CN"/>
              </w:rPr>
            </w:pPr>
            <w:r>
              <w:rPr>
                <w:rFonts w:hint="eastAsia" w:asciiTheme="minorEastAsia" w:hAnsiTheme="minorEastAsia" w:eastAsiaTheme="minorEastAsia" w:cstheme="minorEastAsia"/>
                <w:b/>
                <w:bCs/>
                <w:color w:val="auto"/>
                <w:sz w:val="18"/>
                <w:szCs w:val="18"/>
                <w:lang w:val="en-US" w:eastAsia="zh-CN"/>
              </w:rPr>
              <w:t>第八条</w:t>
            </w:r>
            <w:r>
              <w:rPr>
                <w:rFonts w:hint="eastAsia" w:asciiTheme="minorEastAsia" w:hAnsiTheme="minorEastAsia" w:eastAsiaTheme="minorEastAsia" w:cstheme="minorEastAsia"/>
                <w:color w:val="auto"/>
                <w:sz w:val="18"/>
                <w:szCs w:val="18"/>
                <w:lang w:val="en-US" w:eastAsia="zh-CN"/>
              </w:rPr>
              <w:t xml:space="preserve"> 甲方用于一家证券交易所上市证券交易的信用证券交易账户只能有一个。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noWrap w:val="0"/>
            <w:vAlign w:val="top"/>
          </w:tcPr>
          <w:p>
            <w:pPr>
              <w:numPr>
                <w:ilvl w:val="0"/>
                <w:numId w:val="0"/>
              </w:numPr>
              <w:spacing w:line="240" w:lineRule="auto"/>
              <w:jc w:val="both"/>
              <w:rPr>
                <w:rFonts w:hint="eastAsia" w:asciiTheme="minorEastAsia" w:hAnsiTheme="minorEastAsia" w:eastAsiaTheme="minorEastAsia" w:cstheme="minorEastAsia"/>
                <w:b/>
                <w:bCs/>
                <w:color w:val="auto"/>
                <w:sz w:val="18"/>
                <w:szCs w:val="18"/>
                <w:vertAlign w:val="baseline"/>
                <w:lang w:val="en-US" w:eastAsia="zh-CN"/>
              </w:rPr>
            </w:pPr>
            <w:r>
              <w:rPr>
                <w:rFonts w:hint="eastAsia" w:asciiTheme="minorEastAsia" w:hAnsiTheme="minorEastAsia" w:eastAsiaTheme="minorEastAsia" w:cstheme="minorEastAsia"/>
                <w:b/>
                <w:bCs/>
                <w:color w:val="auto"/>
                <w:sz w:val="18"/>
                <w:szCs w:val="18"/>
                <w:lang w:val="en-US" w:eastAsia="zh-CN"/>
              </w:rPr>
              <w:t>第九条</w:t>
            </w:r>
            <w:r>
              <w:rPr>
                <w:rFonts w:hint="eastAsia" w:asciiTheme="minorEastAsia" w:hAnsiTheme="minorEastAsia" w:eastAsiaTheme="minorEastAsia" w:cstheme="minorEastAsia"/>
                <w:color w:val="auto"/>
                <w:sz w:val="18"/>
                <w:szCs w:val="18"/>
                <w:lang w:val="en-US" w:eastAsia="zh-CN"/>
              </w:rPr>
              <w:t xml:space="preserve"> </w:t>
            </w:r>
            <w:r>
              <w:rPr>
                <w:rFonts w:hint="eastAsia" w:asciiTheme="minorEastAsia" w:hAnsiTheme="minorEastAsia" w:eastAsiaTheme="minorEastAsia" w:cstheme="minorEastAsia"/>
                <w:color w:val="auto"/>
                <w:sz w:val="18"/>
                <w:szCs w:val="18"/>
              </w:rPr>
              <w:t>经甲方申请，乙方按照有关规定为甲方开立实名的信用资金账户作为乙方</w:t>
            </w:r>
            <w:r>
              <w:rPr>
                <w:rFonts w:hint="eastAsia" w:asciiTheme="minorEastAsia" w:hAnsiTheme="minorEastAsia" w:eastAsiaTheme="minorEastAsia" w:cstheme="minorEastAsia"/>
                <w:color w:val="auto"/>
                <w:sz w:val="18"/>
                <w:szCs w:val="18"/>
                <w:lang w:val="en-US" w:eastAsia="zh-CN"/>
              </w:rPr>
              <w:t>开立的</w:t>
            </w:r>
            <w:r>
              <w:rPr>
                <w:rFonts w:hint="eastAsia" w:asciiTheme="minorEastAsia" w:hAnsiTheme="minorEastAsia" w:eastAsiaTheme="minorEastAsia" w:cstheme="minorEastAsia"/>
                <w:color w:val="auto"/>
                <w:sz w:val="18"/>
                <w:szCs w:val="18"/>
              </w:rPr>
              <w:t>客户信用交易担保资金账户的二级账户，用于记载甲方交存的担保资金的明细数据。</w:t>
            </w:r>
          </w:p>
        </w:tc>
        <w:tc>
          <w:tcPr>
            <w:tcW w:w="2500" w:type="pct"/>
            <w:noWrap w:val="0"/>
            <w:vAlign w:val="top"/>
          </w:tcPr>
          <w:p>
            <w:pPr>
              <w:numPr>
                <w:ilvl w:val="0"/>
                <w:numId w:val="0"/>
              </w:numPr>
              <w:spacing w:line="240" w:lineRule="auto"/>
              <w:jc w:val="both"/>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b/>
                <w:bCs/>
                <w:color w:val="auto"/>
                <w:sz w:val="18"/>
                <w:szCs w:val="18"/>
                <w:lang w:val="en-US" w:eastAsia="zh-CN"/>
              </w:rPr>
              <w:t>第九条</w:t>
            </w:r>
            <w:r>
              <w:rPr>
                <w:rFonts w:hint="eastAsia" w:asciiTheme="minorEastAsia" w:hAnsiTheme="minorEastAsia" w:eastAsiaTheme="minorEastAsia" w:cstheme="minorEastAsia"/>
                <w:color w:val="auto"/>
                <w:sz w:val="18"/>
                <w:szCs w:val="18"/>
                <w:lang w:val="en-US" w:eastAsia="zh-CN"/>
              </w:rPr>
              <w:t xml:space="preserve"> </w:t>
            </w:r>
            <w:r>
              <w:rPr>
                <w:rFonts w:hint="eastAsia" w:asciiTheme="minorEastAsia" w:hAnsiTheme="minorEastAsia" w:eastAsiaTheme="minorEastAsia" w:cstheme="minorEastAsia"/>
                <w:color w:val="auto"/>
                <w:sz w:val="18"/>
                <w:szCs w:val="18"/>
              </w:rPr>
              <w:t>经甲方申请，乙方按照有关规定为甲方开立实名的信用资金账户作为乙方</w:t>
            </w:r>
            <w:r>
              <w:rPr>
                <w:rFonts w:hint="eastAsia" w:asciiTheme="minorEastAsia" w:hAnsiTheme="minorEastAsia" w:eastAsiaTheme="minorEastAsia" w:cstheme="minorEastAsia"/>
                <w:color w:val="auto"/>
                <w:sz w:val="18"/>
                <w:szCs w:val="18"/>
                <w:lang w:eastAsia="zh-CN"/>
              </w:rPr>
              <w:t>“</w:t>
            </w:r>
            <w:r>
              <w:rPr>
                <w:rFonts w:hint="eastAsia" w:asciiTheme="minorEastAsia" w:hAnsiTheme="minorEastAsia" w:eastAsiaTheme="minorEastAsia" w:cstheme="minorEastAsia"/>
                <w:color w:val="auto"/>
                <w:sz w:val="18"/>
                <w:szCs w:val="18"/>
              </w:rPr>
              <w:t>客户信用交易担保资金账户</w:t>
            </w:r>
            <w:r>
              <w:rPr>
                <w:rFonts w:hint="eastAsia" w:asciiTheme="minorEastAsia" w:hAnsiTheme="minorEastAsia" w:eastAsiaTheme="minorEastAsia" w:cstheme="minorEastAsia"/>
                <w:color w:val="auto"/>
                <w:sz w:val="18"/>
                <w:szCs w:val="18"/>
                <w:lang w:eastAsia="zh-CN"/>
              </w:rPr>
              <w:t>”</w:t>
            </w:r>
            <w:r>
              <w:rPr>
                <w:rFonts w:hint="eastAsia" w:asciiTheme="minorEastAsia" w:hAnsiTheme="minorEastAsia" w:eastAsiaTheme="minorEastAsia" w:cstheme="minorEastAsia"/>
                <w:color w:val="auto"/>
                <w:sz w:val="18"/>
                <w:szCs w:val="18"/>
              </w:rPr>
              <w:t>的二级账户，用于记载甲方交存的担保资金的明细数据。</w:t>
            </w:r>
            <w:r>
              <w:rPr>
                <w:rFonts w:hint="eastAsia" w:asciiTheme="minorEastAsia" w:hAnsiTheme="minorEastAsia" w:eastAsiaTheme="minorEastAsia" w:cstheme="minorEastAsia"/>
                <w:color w:val="auto"/>
                <w:sz w:val="18"/>
                <w:szCs w:val="18"/>
                <w:lang w:val="en-US" w:eastAsia="zh-CN"/>
              </w:rPr>
              <w:t>甲方只能开立一个信用资金账户。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noWrap w:val="0"/>
            <w:vAlign w:val="top"/>
          </w:tcPr>
          <w:p>
            <w:pPr>
              <w:numPr>
                <w:ilvl w:val="0"/>
                <w:numId w:val="0"/>
              </w:numPr>
              <w:spacing w:line="240" w:lineRule="auto"/>
              <w:jc w:val="center"/>
              <w:rPr>
                <w:rFonts w:hint="eastAsia" w:asciiTheme="minorEastAsia" w:hAnsiTheme="minorEastAsia" w:eastAsiaTheme="minorEastAsia" w:cstheme="minorEastAsia"/>
                <w:b/>
                <w:bCs/>
                <w:color w:val="auto"/>
                <w:sz w:val="18"/>
                <w:szCs w:val="18"/>
                <w:vertAlign w:val="baseline"/>
                <w:lang w:val="en-US" w:eastAsia="zh-CN"/>
              </w:rPr>
            </w:pPr>
            <w:bookmarkStart w:id="3" w:name="_Hlk501321510"/>
            <w:r>
              <w:rPr>
                <w:rFonts w:hint="eastAsia" w:asciiTheme="minorEastAsia" w:hAnsiTheme="minorEastAsia" w:eastAsiaTheme="minorEastAsia" w:cstheme="minorEastAsia"/>
                <w:b/>
                <w:bCs/>
                <w:color w:val="auto"/>
                <w:sz w:val="18"/>
                <w:szCs w:val="18"/>
                <w:vertAlign w:val="baseline"/>
                <w:lang w:val="en-US" w:eastAsia="zh-CN"/>
              </w:rPr>
              <w:t>第六章 担保物与标的证券</w:t>
            </w:r>
            <w:bookmarkEnd w:id="3"/>
          </w:p>
        </w:tc>
        <w:tc>
          <w:tcPr>
            <w:tcW w:w="2500" w:type="pct"/>
            <w:noWrap w:val="0"/>
            <w:vAlign w:val="top"/>
          </w:tcPr>
          <w:p>
            <w:pPr>
              <w:numPr>
                <w:ilvl w:val="0"/>
                <w:numId w:val="0"/>
              </w:numPr>
              <w:spacing w:line="240" w:lineRule="auto"/>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b/>
                <w:bCs/>
                <w:color w:val="auto"/>
                <w:sz w:val="18"/>
                <w:szCs w:val="18"/>
                <w:vertAlign w:val="baseline"/>
                <w:lang w:val="en-US" w:eastAsia="zh-CN"/>
              </w:rPr>
              <w:t>第六章 担保物与标的证券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noWrap w:val="0"/>
            <w:vAlign w:val="top"/>
          </w:tcPr>
          <w:p>
            <w:pPr>
              <w:numPr>
                <w:ilvl w:val="0"/>
                <w:numId w:val="0"/>
              </w:numPr>
              <w:spacing w:line="240" w:lineRule="auto"/>
              <w:ind w:leftChars="0"/>
              <w:jc w:val="both"/>
              <w:rPr>
                <w:rFonts w:hint="eastAsia" w:asciiTheme="minorEastAsia" w:hAnsiTheme="minorEastAsia" w:eastAsiaTheme="minorEastAsia" w:cstheme="minorEastAsia"/>
                <w:b/>
                <w:bCs/>
                <w:color w:val="auto"/>
                <w:sz w:val="18"/>
                <w:szCs w:val="18"/>
                <w:vertAlign w:val="baseline"/>
                <w:lang w:val="en-US" w:eastAsia="zh-CN"/>
              </w:rPr>
            </w:pPr>
            <w:r>
              <w:rPr>
                <w:rFonts w:hint="eastAsia" w:asciiTheme="minorEastAsia" w:hAnsiTheme="minorEastAsia" w:eastAsiaTheme="minorEastAsia" w:cstheme="minorEastAsia"/>
                <w:b/>
                <w:color w:val="auto"/>
                <w:sz w:val="18"/>
                <w:szCs w:val="18"/>
                <w:lang w:val="en-US" w:eastAsia="zh-CN"/>
              </w:rPr>
              <w:t xml:space="preserve">第十六条 </w:t>
            </w:r>
            <w:r>
              <w:rPr>
                <w:rFonts w:hint="eastAsia" w:asciiTheme="minorEastAsia" w:hAnsiTheme="minorEastAsia" w:eastAsiaTheme="minorEastAsia" w:cstheme="minorEastAsia"/>
                <w:b/>
                <w:color w:val="auto"/>
                <w:sz w:val="18"/>
                <w:szCs w:val="18"/>
              </w:rPr>
              <w:t>乙方有权确定和调整如下业务参数及指标，包括但不限于标的证券范围、可充抵保证金的证券范围及折算率、信用证券账户内证券的公允价格、融资融券保证金比例、警戒线、平仓线、应急平仓线</w:t>
            </w:r>
            <w:r>
              <w:rPr>
                <w:rFonts w:hint="eastAsia" w:asciiTheme="minorEastAsia" w:hAnsiTheme="minorEastAsia" w:eastAsiaTheme="minorEastAsia" w:cstheme="minorEastAsia"/>
                <w:b/>
                <w:color w:val="auto"/>
                <w:sz w:val="18"/>
                <w:szCs w:val="18"/>
                <w:lang w:val="en-US" w:eastAsia="zh-CN"/>
              </w:rPr>
              <w:t>以及</w:t>
            </w:r>
            <w:r>
              <w:rPr>
                <w:rFonts w:hint="eastAsia" w:asciiTheme="minorEastAsia" w:hAnsiTheme="minorEastAsia" w:eastAsiaTheme="minorEastAsia" w:cstheme="minorEastAsia"/>
                <w:b/>
                <w:color w:val="auto"/>
                <w:sz w:val="18"/>
                <w:szCs w:val="18"/>
              </w:rPr>
              <w:t>其他维持担保比例相关的比例线、信用账户相关集中度指标等，并有权通过乙方官方网站、乙方APP、乙方PC交易客户端、交易系统或乙方营业场所中的任意一种方式进行公告</w:t>
            </w:r>
          </w:p>
        </w:tc>
        <w:tc>
          <w:tcPr>
            <w:tcW w:w="2500" w:type="pct"/>
            <w:noWrap w:val="0"/>
            <w:vAlign w:val="top"/>
          </w:tcPr>
          <w:p>
            <w:pPr>
              <w:numPr>
                <w:ilvl w:val="0"/>
                <w:numId w:val="0"/>
              </w:numPr>
              <w:spacing w:line="240" w:lineRule="auto"/>
              <w:ind w:leftChars="0"/>
              <w:jc w:val="both"/>
              <w:rPr>
                <w:rFonts w:hint="eastAsia" w:asciiTheme="minorEastAsia" w:hAnsiTheme="minorEastAsia" w:eastAsiaTheme="minorEastAsia" w:cstheme="minorEastAsia"/>
                <w:b/>
                <w:bCs/>
                <w:color w:val="auto"/>
                <w:sz w:val="18"/>
                <w:szCs w:val="18"/>
                <w:vertAlign w:val="baseline"/>
                <w:lang w:val="en-US" w:eastAsia="zh-CN"/>
              </w:rPr>
            </w:pPr>
            <w:r>
              <w:rPr>
                <w:rFonts w:hint="eastAsia" w:asciiTheme="minorEastAsia" w:hAnsiTheme="minorEastAsia" w:eastAsiaTheme="minorEastAsia" w:cstheme="minorEastAsia"/>
                <w:b/>
                <w:color w:val="auto"/>
                <w:sz w:val="18"/>
                <w:szCs w:val="18"/>
                <w:lang w:val="en-US" w:eastAsia="zh-CN"/>
              </w:rPr>
              <w:t xml:space="preserve">第十六条 </w:t>
            </w:r>
            <w:r>
              <w:rPr>
                <w:rFonts w:hint="eastAsia" w:asciiTheme="minorEastAsia" w:hAnsiTheme="minorEastAsia" w:eastAsiaTheme="minorEastAsia" w:cstheme="minorEastAsia"/>
                <w:b/>
                <w:color w:val="auto"/>
                <w:sz w:val="18"/>
                <w:szCs w:val="18"/>
              </w:rPr>
              <w:t>乙方有权确定和调整</w:t>
            </w:r>
            <w:r>
              <w:rPr>
                <w:rFonts w:hint="eastAsia" w:asciiTheme="minorEastAsia" w:hAnsiTheme="minorEastAsia" w:eastAsiaTheme="minorEastAsia" w:cstheme="minorEastAsia"/>
                <w:b/>
                <w:color w:val="auto"/>
                <w:sz w:val="18"/>
                <w:szCs w:val="18"/>
                <w:lang w:val="en-US" w:eastAsia="zh-CN"/>
              </w:rPr>
              <w:t>融资融券相关</w:t>
            </w:r>
            <w:r>
              <w:rPr>
                <w:rFonts w:hint="eastAsia" w:asciiTheme="minorEastAsia" w:hAnsiTheme="minorEastAsia" w:eastAsiaTheme="minorEastAsia" w:cstheme="minorEastAsia"/>
                <w:b/>
                <w:color w:val="auto"/>
                <w:sz w:val="18"/>
                <w:szCs w:val="18"/>
              </w:rPr>
              <w:t>业务参数及指标，包括但不限于标的证券范围、可充抵保证金的证券范围及折算率、信用证券账户内证券的公允价格、融资融券保证金比例、警戒线、平仓线、应急平仓线</w:t>
            </w:r>
            <w:r>
              <w:rPr>
                <w:rFonts w:hint="eastAsia" w:asciiTheme="minorEastAsia" w:hAnsiTheme="minorEastAsia" w:eastAsiaTheme="minorEastAsia" w:cstheme="minorEastAsia"/>
                <w:b/>
                <w:color w:val="auto"/>
                <w:sz w:val="18"/>
                <w:szCs w:val="18"/>
                <w:lang w:eastAsia="zh-CN"/>
              </w:rPr>
              <w:t>、</w:t>
            </w:r>
            <w:r>
              <w:rPr>
                <w:rFonts w:hint="eastAsia" w:asciiTheme="minorEastAsia" w:hAnsiTheme="minorEastAsia" w:eastAsiaTheme="minorEastAsia" w:cstheme="minorEastAsia"/>
                <w:b/>
                <w:color w:val="auto"/>
                <w:sz w:val="18"/>
                <w:szCs w:val="18"/>
              </w:rPr>
              <w:t>其他维持担保比例相关的比例线</w:t>
            </w:r>
            <w:r>
              <w:rPr>
                <w:rFonts w:hint="eastAsia" w:asciiTheme="minorEastAsia" w:hAnsiTheme="minorEastAsia" w:eastAsiaTheme="minorEastAsia" w:cstheme="minorEastAsia"/>
                <w:b/>
                <w:color w:val="auto"/>
                <w:sz w:val="18"/>
                <w:szCs w:val="18"/>
                <w:lang w:eastAsia="zh-CN"/>
              </w:rPr>
              <w:t>、提取担保物需满足的维持担保比例</w:t>
            </w:r>
            <w:r>
              <w:rPr>
                <w:rFonts w:hint="eastAsia" w:asciiTheme="minorEastAsia" w:hAnsiTheme="minorEastAsia" w:eastAsiaTheme="minorEastAsia" w:cstheme="minorEastAsia"/>
                <w:b/>
                <w:color w:val="auto"/>
                <w:sz w:val="18"/>
                <w:szCs w:val="18"/>
                <w:lang w:val="en-US" w:eastAsia="zh-CN"/>
              </w:rPr>
              <w:t>以及补充担保物期限</w:t>
            </w:r>
            <w:r>
              <w:rPr>
                <w:rFonts w:hint="eastAsia" w:asciiTheme="minorEastAsia" w:hAnsiTheme="minorEastAsia" w:eastAsiaTheme="minorEastAsia" w:cstheme="minorEastAsia"/>
                <w:b/>
                <w:color w:val="auto"/>
                <w:sz w:val="18"/>
                <w:szCs w:val="18"/>
              </w:rPr>
              <w:t>、信用账户相关集中度指标等，并有权通过乙方官方网站、乙方APP、乙方PC交易客户端、交易系统或乙方营业场所中的任意一种方式进行公告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noWrap w:val="0"/>
            <w:vAlign w:val="top"/>
          </w:tcPr>
          <w:p>
            <w:pPr>
              <w:numPr>
                <w:ilvl w:val="0"/>
                <w:numId w:val="0"/>
              </w:numPr>
              <w:spacing w:line="240" w:lineRule="auto"/>
              <w:ind w:leftChars="0"/>
              <w:jc w:val="both"/>
              <w:rPr>
                <w:rFonts w:hint="eastAsia" w:asciiTheme="minorEastAsia" w:hAnsiTheme="minorEastAsia" w:eastAsiaTheme="minorEastAsia" w:cstheme="minorEastAsia"/>
                <w:b/>
                <w:color w:val="auto"/>
                <w:sz w:val="18"/>
                <w:szCs w:val="18"/>
              </w:rPr>
            </w:pPr>
            <w:r>
              <w:rPr>
                <w:rFonts w:hint="eastAsia" w:asciiTheme="minorEastAsia" w:hAnsiTheme="minorEastAsia" w:eastAsiaTheme="minorEastAsia" w:cstheme="minorEastAsia"/>
                <w:b/>
                <w:color w:val="auto"/>
                <w:sz w:val="18"/>
                <w:szCs w:val="18"/>
                <w:lang w:val="en-US" w:eastAsia="zh-CN"/>
              </w:rPr>
              <w:t xml:space="preserve">第十八条 </w:t>
            </w:r>
            <w:r>
              <w:rPr>
                <w:rFonts w:hint="eastAsia" w:asciiTheme="minorEastAsia" w:hAnsiTheme="minorEastAsia" w:eastAsiaTheme="minorEastAsia" w:cstheme="minorEastAsia"/>
                <w:b/>
                <w:color w:val="auto"/>
                <w:sz w:val="18"/>
                <w:szCs w:val="18"/>
              </w:rPr>
              <w:t>可充抵保证金的证券范围调整、</w:t>
            </w:r>
            <w:r>
              <w:rPr>
                <w:rFonts w:hint="eastAsia" w:asciiTheme="minorEastAsia" w:hAnsiTheme="minorEastAsia" w:eastAsiaTheme="minorEastAsia" w:cstheme="minorEastAsia"/>
                <w:b/>
                <w:color w:val="auto"/>
                <w:sz w:val="18"/>
                <w:szCs w:val="18"/>
                <w:lang w:val="en-US" w:eastAsia="zh-CN"/>
              </w:rPr>
              <w:t>证券发生</w:t>
            </w:r>
            <w:r>
              <w:rPr>
                <w:rFonts w:hint="eastAsia" w:asciiTheme="minorEastAsia" w:hAnsiTheme="minorEastAsia" w:eastAsiaTheme="minorEastAsia" w:cstheme="minorEastAsia"/>
                <w:b/>
                <w:color w:val="auto"/>
                <w:sz w:val="18"/>
                <w:szCs w:val="18"/>
              </w:rPr>
              <w:t>要约收购、暂停交易、被交易所实施风险警示、</w:t>
            </w:r>
            <w:r>
              <w:rPr>
                <w:rFonts w:hint="eastAsia" w:asciiTheme="minorEastAsia" w:hAnsiTheme="minorEastAsia" w:eastAsiaTheme="minorEastAsia" w:cstheme="minorEastAsia"/>
                <w:b/>
                <w:color w:val="auto"/>
                <w:sz w:val="18"/>
                <w:szCs w:val="18"/>
                <w:lang w:val="en-US" w:eastAsia="zh-CN"/>
              </w:rPr>
              <w:t>暂停上市或</w:t>
            </w:r>
            <w:r>
              <w:rPr>
                <w:rFonts w:hint="eastAsia" w:asciiTheme="minorEastAsia" w:hAnsiTheme="minorEastAsia" w:eastAsiaTheme="minorEastAsia" w:cstheme="minorEastAsia"/>
                <w:b/>
                <w:color w:val="auto"/>
                <w:sz w:val="18"/>
                <w:szCs w:val="18"/>
              </w:rPr>
              <w:t>终止上市等特殊情况的处理：</w:t>
            </w:r>
          </w:p>
          <w:p>
            <w:pPr>
              <w:numPr>
                <w:ilvl w:val="0"/>
                <w:numId w:val="0"/>
              </w:numPr>
              <w:spacing w:line="240" w:lineRule="auto"/>
              <w:jc w:val="both"/>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lang w:eastAsia="zh-CN"/>
              </w:rPr>
              <w:t>（</w:t>
            </w:r>
            <w:r>
              <w:rPr>
                <w:rFonts w:hint="eastAsia" w:asciiTheme="minorEastAsia" w:hAnsiTheme="minorEastAsia" w:eastAsiaTheme="minorEastAsia" w:cstheme="minorEastAsia"/>
                <w:color w:val="auto"/>
                <w:sz w:val="18"/>
                <w:szCs w:val="18"/>
                <w:lang w:val="en-US" w:eastAsia="zh-CN"/>
              </w:rPr>
              <w:t>三</w:t>
            </w:r>
            <w:r>
              <w:rPr>
                <w:rFonts w:hint="eastAsia" w:asciiTheme="minorEastAsia" w:hAnsiTheme="minorEastAsia" w:eastAsiaTheme="minorEastAsia" w:cstheme="minorEastAsia"/>
                <w:color w:val="auto"/>
                <w:sz w:val="18"/>
                <w:szCs w:val="18"/>
                <w:lang w:eastAsia="zh-CN"/>
              </w:rPr>
              <w:t>）</w:t>
            </w:r>
            <w:r>
              <w:rPr>
                <w:rFonts w:hint="eastAsia" w:asciiTheme="minorEastAsia" w:hAnsiTheme="minorEastAsia" w:eastAsiaTheme="minorEastAsia" w:cstheme="minorEastAsia"/>
                <w:color w:val="auto"/>
                <w:sz w:val="18"/>
                <w:szCs w:val="18"/>
              </w:rPr>
              <w:t>甲方信用账户内的可充抵保证金的证券涉及要约收购情形时，</w:t>
            </w:r>
            <w:r>
              <w:rPr>
                <w:rFonts w:hint="eastAsia" w:asciiTheme="minorEastAsia" w:hAnsiTheme="minorEastAsia" w:eastAsiaTheme="minorEastAsia" w:cstheme="minorEastAsia"/>
                <w:b/>
                <w:color w:val="auto"/>
                <w:sz w:val="18"/>
                <w:szCs w:val="18"/>
              </w:rPr>
              <w:t>甲方不能通过信用证券账户申报预受要约。甲方欲申报预受要约的，应当在满足维持担保比例不小于300%的情况下，申请将该等证券从乙方客户信用交易担保证券账户划转到甲方普通证券账户中，并通过甲方普通证券账户申报预受要约</w:t>
            </w:r>
            <w:r>
              <w:rPr>
                <w:rFonts w:hint="eastAsia" w:asciiTheme="minorEastAsia" w:hAnsiTheme="minorEastAsia" w:eastAsiaTheme="minorEastAsia" w:cstheme="minorEastAsia"/>
                <w:color w:val="auto"/>
                <w:sz w:val="18"/>
                <w:szCs w:val="18"/>
              </w:rPr>
              <w:t>。</w:t>
            </w:r>
          </w:p>
          <w:p>
            <w:pPr>
              <w:numPr>
                <w:ilvl w:val="0"/>
                <w:numId w:val="0"/>
              </w:numPr>
              <w:spacing w:line="240" w:lineRule="auto"/>
              <w:jc w:val="both"/>
              <w:rPr>
                <w:rFonts w:hint="eastAsia" w:asciiTheme="minorEastAsia" w:hAnsiTheme="minorEastAsia" w:eastAsiaTheme="minorEastAsia" w:cstheme="minorEastAsia"/>
                <w:b/>
                <w:bCs/>
                <w:color w:val="auto"/>
                <w:sz w:val="18"/>
                <w:szCs w:val="18"/>
                <w:vertAlign w:val="baseline"/>
                <w:lang w:val="en-US" w:eastAsia="zh-CN"/>
              </w:rPr>
            </w:pPr>
            <w:bookmarkStart w:id="4" w:name="_Hlk501324118"/>
            <w:r>
              <w:rPr>
                <w:rFonts w:hint="eastAsia" w:asciiTheme="minorEastAsia" w:hAnsiTheme="minorEastAsia" w:eastAsiaTheme="minorEastAsia" w:cstheme="minorEastAsia"/>
                <w:b w:val="0"/>
                <w:bCs/>
                <w:color w:val="auto"/>
                <w:sz w:val="18"/>
                <w:szCs w:val="18"/>
                <w:lang w:eastAsia="zh-CN"/>
              </w:rPr>
              <w:t>（</w:t>
            </w:r>
            <w:r>
              <w:rPr>
                <w:rFonts w:hint="eastAsia" w:asciiTheme="minorEastAsia" w:hAnsiTheme="minorEastAsia" w:eastAsiaTheme="minorEastAsia" w:cstheme="minorEastAsia"/>
                <w:b w:val="0"/>
                <w:bCs/>
                <w:color w:val="auto"/>
                <w:sz w:val="18"/>
                <w:szCs w:val="18"/>
                <w:lang w:val="en-US" w:eastAsia="zh-CN"/>
              </w:rPr>
              <w:t>四</w:t>
            </w:r>
            <w:r>
              <w:rPr>
                <w:rFonts w:hint="eastAsia" w:asciiTheme="minorEastAsia" w:hAnsiTheme="minorEastAsia" w:eastAsiaTheme="minorEastAsia" w:cstheme="minorEastAsia"/>
                <w:b w:val="0"/>
                <w:bCs/>
                <w:color w:val="auto"/>
                <w:sz w:val="18"/>
                <w:szCs w:val="18"/>
                <w:lang w:eastAsia="zh-CN"/>
              </w:rPr>
              <w:t>）</w:t>
            </w:r>
            <w:r>
              <w:rPr>
                <w:rFonts w:hint="eastAsia" w:asciiTheme="minorEastAsia" w:hAnsiTheme="minorEastAsia" w:eastAsiaTheme="minorEastAsia" w:cstheme="minorEastAsia"/>
                <w:b/>
                <w:color w:val="auto"/>
                <w:sz w:val="18"/>
                <w:szCs w:val="18"/>
              </w:rPr>
              <w:t>甲方信用证券账户内的可充抵保证金的证券被交易所实施风险警示</w:t>
            </w:r>
            <w:r>
              <w:rPr>
                <w:rFonts w:hint="eastAsia" w:asciiTheme="minorEastAsia" w:hAnsiTheme="minorEastAsia" w:eastAsiaTheme="minorEastAsia" w:cstheme="minorEastAsia"/>
                <w:b/>
                <w:color w:val="auto"/>
                <w:sz w:val="18"/>
                <w:szCs w:val="18"/>
                <w:lang w:val="en-US" w:eastAsia="zh-CN"/>
              </w:rPr>
              <w:t>或公布将暂停上市的</w:t>
            </w:r>
            <w:r>
              <w:rPr>
                <w:rFonts w:hint="eastAsia" w:asciiTheme="minorEastAsia" w:hAnsiTheme="minorEastAsia" w:eastAsiaTheme="minorEastAsia" w:cstheme="minorEastAsia"/>
                <w:b/>
                <w:color w:val="auto"/>
                <w:sz w:val="18"/>
                <w:szCs w:val="18"/>
              </w:rPr>
              <w:t>，</w:t>
            </w:r>
            <w:bookmarkEnd w:id="4"/>
            <w:r>
              <w:rPr>
                <w:rFonts w:hint="eastAsia" w:asciiTheme="minorEastAsia" w:hAnsiTheme="minorEastAsia" w:eastAsiaTheme="minorEastAsia" w:cstheme="minorEastAsia"/>
                <w:b/>
                <w:color w:val="auto"/>
                <w:sz w:val="18"/>
                <w:szCs w:val="18"/>
              </w:rPr>
              <w:t>乙方有权自该证券被交易所实施风险警示</w:t>
            </w:r>
            <w:r>
              <w:rPr>
                <w:rFonts w:hint="eastAsia" w:asciiTheme="minorEastAsia" w:hAnsiTheme="minorEastAsia" w:eastAsiaTheme="minorEastAsia" w:cstheme="minorEastAsia"/>
                <w:b/>
                <w:color w:val="auto"/>
                <w:sz w:val="18"/>
                <w:szCs w:val="18"/>
                <w:lang w:val="en-US" w:eastAsia="zh-CN"/>
              </w:rPr>
              <w:t>或公布将暂停上市</w:t>
            </w:r>
            <w:r>
              <w:rPr>
                <w:rFonts w:hint="eastAsia" w:asciiTheme="minorEastAsia" w:hAnsiTheme="minorEastAsia" w:eastAsiaTheme="minorEastAsia" w:cstheme="minorEastAsia"/>
                <w:b/>
                <w:color w:val="auto"/>
                <w:sz w:val="18"/>
                <w:szCs w:val="18"/>
              </w:rPr>
              <w:t>的当日起，将该证券从可充抵保证金的证券范围中调出</w:t>
            </w:r>
            <w:r>
              <w:rPr>
                <w:rFonts w:hint="eastAsia" w:asciiTheme="minorEastAsia" w:hAnsiTheme="minorEastAsia" w:eastAsiaTheme="minorEastAsia" w:cstheme="minorEastAsia"/>
                <w:color w:val="auto"/>
                <w:sz w:val="18"/>
                <w:szCs w:val="18"/>
              </w:rPr>
              <w:t>，该证券不再计入维持担保比例公式中的“信用证券账户内证券市值”。</w:t>
            </w:r>
          </w:p>
        </w:tc>
        <w:tc>
          <w:tcPr>
            <w:tcW w:w="2500" w:type="pct"/>
            <w:noWrap w:val="0"/>
            <w:vAlign w:val="top"/>
          </w:tcPr>
          <w:p>
            <w:pPr>
              <w:numPr>
                <w:ilvl w:val="0"/>
                <w:numId w:val="0"/>
              </w:numPr>
              <w:spacing w:line="240" w:lineRule="auto"/>
              <w:ind w:leftChars="0"/>
              <w:jc w:val="both"/>
              <w:rPr>
                <w:rFonts w:hint="eastAsia" w:asciiTheme="minorEastAsia" w:hAnsiTheme="minorEastAsia" w:eastAsiaTheme="minorEastAsia" w:cstheme="minorEastAsia"/>
                <w:b/>
                <w:color w:val="auto"/>
                <w:sz w:val="18"/>
                <w:szCs w:val="18"/>
              </w:rPr>
            </w:pPr>
            <w:r>
              <w:rPr>
                <w:rFonts w:hint="eastAsia" w:asciiTheme="minorEastAsia" w:hAnsiTheme="minorEastAsia" w:eastAsiaTheme="minorEastAsia" w:cstheme="minorEastAsia"/>
                <w:b/>
                <w:color w:val="auto"/>
                <w:sz w:val="18"/>
                <w:szCs w:val="18"/>
                <w:lang w:val="en-US" w:eastAsia="zh-CN"/>
              </w:rPr>
              <w:t>第十八条 发生</w:t>
            </w:r>
            <w:r>
              <w:rPr>
                <w:rFonts w:hint="eastAsia" w:asciiTheme="minorEastAsia" w:hAnsiTheme="minorEastAsia" w:eastAsiaTheme="minorEastAsia" w:cstheme="minorEastAsia"/>
                <w:b/>
                <w:color w:val="auto"/>
                <w:sz w:val="18"/>
                <w:szCs w:val="18"/>
              </w:rPr>
              <w:t>可充抵保证金的证券范围调整、要约收购、暂停交易、被交易所实施风险警示、</w:t>
            </w:r>
            <w:r>
              <w:rPr>
                <w:rFonts w:hint="eastAsia" w:asciiTheme="minorEastAsia" w:hAnsiTheme="minorEastAsia" w:eastAsiaTheme="minorEastAsia" w:cstheme="minorEastAsia"/>
                <w:b/>
                <w:color w:val="auto"/>
                <w:sz w:val="18"/>
                <w:szCs w:val="18"/>
                <w:lang w:val="en-US" w:eastAsia="zh-CN"/>
              </w:rPr>
              <w:t>合并、</w:t>
            </w:r>
            <w:r>
              <w:rPr>
                <w:rFonts w:hint="eastAsia" w:asciiTheme="minorEastAsia" w:hAnsiTheme="minorEastAsia" w:eastAsiaTheme="minorEastAsia" w:cstheme="minorEastAsia"/>
                <w:b/>
                <w:color w:val="auto"/>
                <w:sz w:val="18"/>
                <w:szCs w:val="18"/>
              </w:rPr>
              <w:t>终止上市等特殊情况的处理：</w:t>
            </w:r>
          </w:p>
          <w:p>
            <w:pPr>
              <w:numPr>
                <w:ilvl w:val="0"/>
                <w:numId w:val="0"/>
              </w:numPr>
              <w:spacing w:line="240" w:lineRule="auto"/>
              <w:jc w:val="both"/>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lang w:eastAsia="zh-CN"/>
              </w:rPr>
              <w:t>（</w:t>
            </w:r>
            <w:r>
              <w:rPr>
                <w:rFonts w:hint="eastAsia" w:asciiTheme="minorEastAsia" w:hAnsiTheme="minorEastAsia" w:eastAsiaTheme="minorEastAsia" w:cstheme="minorEastAsia"/>
                <w:color w:val="auto"/>
                <w:sz w:val="18"/>
                <w:szCs w:val="18"/>
                <w:lang w:val="en-US" w:eastAsia="zh-CN"/>
              </w:rPr>
              <w:t>三</w:t>
            </w:r>
            <w:r>
              <w:rPr>
                <w:rFonts w:hint="eastAsia" w:asciiTheme="minorEastAsia" w:hAnsiTheme="minorEastAsia" w:eastAsiaTheme="minorEastAsia" w:cstheme="minorEastAsia"/>
                <w:color w:val="auto"/>
                <w:sz w:val="18"/>
                <w:szCs w:val="18"/>
                <w:lang w:eastAsia="zh-CN"/>
              </w:rPr>
              <w:t>）</w:t>
            </w:r>
            <w:r>
              <w:rPr>
                <w:rFonts w:hint="eastAsia" w:asciiTheme="minorEastAsia" w:hAnsiTheme="minorEastAsia" w:eastAsiaTheme="minorEastAsia" w:cstheme="minorEastAsia"/>
                <w:color w:val="auto"/>
                <w:sz w:val="18"/>
                <w:szCs w:val="18"/>
              </w:rPr>
              <w:t>甲方信用账户内的可充抵保证金的证券涉及要约收购情形时，</w:t>
            </w:r>
            <w:r>
              <w:rPr>
                <w:rFonts w:hint="eastAsia" w:asciiTheme="minorEastAsia" w:hAnsiTheme="minorEastAsia" w:eastAsiaTheme="minorEastAsia" w:cstheme="minorEastAsia"/>
                <w:b/>
                <w:color w:val="auto"/>
                <w:sz w:val="18"/>
                <w:szCs w:val="18"/>
              </w:rPr>
              <w:t>甲方不能通过信用证券账户申报预受要约。甲方欲申报预受要约的，应当在</w:t>
            </w:r>
            <w:r>
              <w:rPr>
                <w:rFonts w:hint="eastAsia" w:asciiTheme="minorEastAsia" w:hAnsiTheme="minorEastAsia" w:eastAsiaTheme="minorEastAsia" w:cstheme="minorEastAsia"/>
                <w:b/>
                <w:color w:val="auto"/>
                <w:sz w:val="18"/>
                <w:szCs w:val="18"/>
                <w:lang w:val="en-US" w:eastAsia="zh-CN"/>
              </w:rPr>
              <w:t>该等证券转出后</w:t>
            </w:r>
            <w:r>
              <w:rPr>
                <w:rFonts w:hint="eastAsia" w:asciiTheme="minorEastAsia" w:hAnsiTheme="minorEastAsia" w:eastAsiaTheme="minorEastAsia" w:cstheme="minorEastAsia"/>
                <w:b/>
                <w:color w:val="auto"/>
                <w:sz w:val="18"/>
                <w:szCs w:val="18"/>
              </w:rPr>
              <w:t>满足维持担保比例不小于300%的情况下，申请将该等证券从乙方客户信用交易担保证券账户划转到甲方普通证券账户中，并通过甲方普通证券账户申报预受要约</w:t>
            </w:r>
            <w:r>
              <w:rPr>
                <w:rFonts w:hint="eastAsia" w:asciiTheme="minorEastAsia" w:hAnsiTheme="minorEastAsia" w:eastAsiaTheme="minorEastAsia" w:cstheme="minorEastAsia"/>
                <w:color w:val="auto"/>
                <w:sz w:val="18"/>
                <w:szCs w:val="18"/>
              </w:rPr>
              <w:t>。</w:t>
            </w:r>
          </w:p>
          <w:p>
            <w:pPr>
              <w:numPr>
                <w:ilvl w:val="0"/>
                <w:numId w:val="0"/>
              </w:numPr>
              <w:spacing w:line="240" w:lineRule="auto"/>
              <w:jc w:val="both"/>
              <w:rPr>
                <w:rFonts w:hint="eastAsia" w:asciiTheme="minorEastAsia" w:hAnsiTheme="minorEastAsia" w:eastAsiaTheme="minorEastAsia" w:cstheme="minorEastAsia"/>
                <w:b/>
                <w:bCs/>
                <w:color w:val="auto"/>
                <w:sz w:val="18"/>
                <w:szCs w:val="18"/>
                <w:vertAlign w:val="baseline"/>
                <w:lang w:val="en-US" w:eastAsia="zh-CN"/>
              </w:rPr>
            </w:pPr>
            <w:r>
              <w:rPr>
                <w:rFonts w:hint="eastAsia" w:asciiTheme="minorEastAsia" w:hAnsiTheme="minorEastAsia" w:eastAsiaTheme="minorEastAsia" w:cstheme="minorEastAsia"/>
                <w:b w:val="0"/>
                <w:bCs/>
                <w:color w:val="auto"/>
                <w:sz w:val="18"/>
                <w:szCs w:val="18"/>
                <w:lang w:eastAsia="zh-CN"/>
              </w:rPr>
              <w:t>（</w:t>
            </w:r>
            <w:r>
              <w:rPr>
                <w:rFonts w:hint="eastAsia" w:asciiTheme="minorEastAsia" w:hAnsiTheme="minorEastAsia" w:eastAsiaTheme="minorEastAsia" w:cstheme="minorEastAsia"/>
                <w:b w:val="0"/>
                <w:bCs/>
                <w:color w:val="auto"/>
                <w:sz w:val="18"/>
                <w:szCs w:val="18"/>
                <w:lang w:val="en-US" w:eastAsia="zh-CN"/>
              </w:rPr>
              <w:t>四</w:t>
            </w:r>
            <w:r>
              <w:rPr>
                <w:rFonts w:hint="eastAsia" w:asciiTheme="minorEastAsia" w:hAnsiTheme="minorEastAsia" w:eastAsiaTheme="minorEastAsia" w:cstheme="minorEastAsia"/>
                <w:b w:val="0"/>
                <w:bCs/>
                <w:color w:val="auto"/>
                <w:sz w:val="18"/>
                <w:szCs w:val="18"/>
                <w:lang w:eastAsia="zh-CN"/>
              </w:rPr>
              <w:t>）</w:t>
            </w:r>
            <w:r>
              <w:rPr>
                <w:rFonts w:hint="eastAsia" w:asciiTheme="minorEastAsia" w:hAnsiTheme="minorEastAsia" w:eastAsiaTheme="minorEastAsia" w:cstheme="minorEastAsia"/>
                <w:b/>
                <w:color w:val="auto"/>
                <w:sz w:val="18"/>
                <w:szCs w:val="18"/>
              </w:rPr>
              <w:t>甲方信用证券账户内的可充抵保证金的证券被交易所实施风险警示的，乙方有权自该证券被交易所实施风险警示的当日起，将该证券从可充抵保证金的证券范围中调出</w:t>
            </w:r>
            <w:r>
              <w:rPr>
                <w:rFonts w:hint="eastAsia" w:asciiTheme="minorEastAsia" w:hAnsiTheme="minorEastAsia" w:eastAsiaTheme="minorEastAsia" w:cstheme="minorEastAsia"/>
                <w:color w:val="auto"/>
                <w:sz w:val="18"/>
                <w:szCs w:val="18"/>
              </w:rPr>
              <w:t>，该证券不再计入维持担保比例公式中的“信用证券账户内证券市值”。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noWrap w:val="0"/>
            <w:vAlign w:val="top"/>
          </w:tcPr>
          <w:p>
            <w:pPr>
              <w:numPr>
                <w:ilvl w:val="0"/>
                <w:numId w:val="0"/>
              </w:numPr>
              <w:spacing w:line="240" w:lineRule="auto"/>
              <w:jc w:val="both"/>
              <w:rPr>
                <w:rFonts w:hint="eastAsia" w:asciiTheme="minorEastAsia" w:hAnsiTheme="minorEastAsia" w:eastAsiaTheme="minorEastAsia" w:cstheme="minorEastAsia"/>
                <w:b/>
                <w:bCs/>
                <w:color w:val="auto"/>
                <w:sz w:val="18"/>
                <w:szCs w:val="18"/>
                <w:vertAlign w:val="baseline"/>
                <w:lang w:val="en-US" w:eastAsia="zh-CN"/>
              </w:rPr>
            </w:pPr>
          </w:p>
        </w:tc>
        <w:tc>
          <w:tcPr>
            <w:tcW w:w="2500" w:type="pct"/>
            <w:noWrap w:val="0"/>
            <w:vAlign w:val="top"/>
          </w:tcPr>
          <w:p>
            <w:pPr>
              <w:numPr>
                <w:ilvl w:val="0"/>
                <w:numId w:val="0"/>
              </w:numPr>
              <w:spacing w:line="240" w:lineRule="auto"/>
              <w:ind w:leftChars="0"/>
              <w:jc w:val="both"/>
              <w:rPr>
                <w:rFonts w:hint="eastAsia" w:asciiTheme="minorEastAsia" w:hAnsiTheme="minorEastAsia" w:eastAsiaTheme="minorEastAsia" w:cstheme="minorEastAsia"/>
                <w:b/>
                <w:bCs/>
                <w:color w:val="auto"/>
                <w:sz w:val="18"/>
                <w:szCs w:val="18"/>
                <w:vertAlign w:val="baseline"/>
                <w:lang w:val="en-US" w:eastAsia="zh-CN"/>
              </w:rPr>
            </w:pPr>
            <w:r>
              <w:rPr>
                <w:rFonts w:hint="eastAsia" w:asciiTheme="minorEastAsia" w:hAnsiTheme="minorEastAsia" w:eastAsiaTheme="minorEastAsia" w:cstheme="minorEastAsia"/>
                <w:b/>
                <w:color w:val="auto"/>
                <w:sz w:val="18"/>
                <w:szCs w:val="18"/>
                <w:lang w:val="en-US" w:eastAsia="zh-CN"/>
              </w:rPr>
              <w:t>第十八条</w:t>
            </w:r>
            <w:r>
              <w:rPr>
                <w:rFonts w:hint="eastAsia" w:asciiTheme="minorEastAsia" w:hAnsiTheme="minorEastAsia" w:eastAsiaTheme="minorEastAsia" w:cstheme="minorEastAsia"/>
                <w:color w:val="auto"/>
                <w:sz w:val="18"/>
                <w:szCs w:val="18"/>
                <w:lang w:eastAsia="zh-CN"/>
              </w:rPr>
              <w:t>（</w:t>
            </w:r>
            <w:r>
              <w:rPr>
                <w:rFonts w:hint="eastAsia" w:asciiTheme="minorEastAsia" w:hAnsiTheme="minorEastAsia" w:eastAsiaTheme="minorEastAsia" w:cstheme="minorEastAsia"/>
                <w:color w:val="auto"/>
                <w:sz w:val="18"/>
                <w:szCs w:val="18"/>
                <w:lang w:val="en-US" w:eastAsia="zh-CN"/>
              </w:rPr>
              <w:t>五</w:t>
            </w:r>
            <w:r>
              <w:rPr>
                <w:rFonts w:hint="eastAsia" w:asciiTheme="minorEastAsia" w:hAnsiTheme="minorEastAsia" w:eastAsiaTheme="minorEastAsia" w:cstheme="minorEastAsia"/>
                <w:color w:val="auto"/>
                <w:sz w:val="18"/>
                <w:szCs w:val="18"/>
                <w:lang w:eastAsia="zh-CN"/>
              </w:rPr>
              <w:t>）</w:t>
            </w:r>
            <w:r>
              <w:rPr>
                <w:rFonts w:hint="eastAsia" w:asciiTheme="minorEastAsia" w:hAnsiTheme="minorEastAsia" w:eastAsiaTheme="minorEastAsia" w:cstheme="minorEastAsia"/>
                <w:color w:val="auto"/>
                <w:sz w:val="18"/>
                <w:szCs w:val="18"/>
                <w:lang w:val="en-US" w:eastAsia="zh-CN"/>
              </w:rPr>
              <w:t>甲方信用证券账户内的可充抵保证金的证券出现合并事项时，乙方有权自该证券合并事项公布时将该证券从可充抵保证金的证券范围中调出。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noWrap w:val="0"/>
            <w:vAlign w:val="top"/>
          </w:tcPr>
          <w:p>
            <w:pPr>
              <w:numPr>
                <w:ilvl w:val="0"/>
                <w:numId w:val="0"/>
              </w:numPr>
              <w:spacing w:line="240" w:lineRule="auto"/>
              <w:jc w:val="both"/>
              <w:rPr>
                <w:rFonts w:hint="eastAsia" w:asciiTheme="minorEastAsia" w:hAnsiTheme="minorEastAsia" w:eastAsiaTheme="minorEastAsia" w:cstheme="minorEastAsia"/>
                <w:b/>
                <w:bCs/>
                <w:color w:val="auto"/>
                <w:sz w:val="18"/>
                <w:szCs w:val="18"/>
                <w:vertAlign w:val="baseline"/>
                <w:lang w:val="en-US" w:eastAsia="zh-CN"/>
              </w:rPr>
            </w:pPr>
            <w:r>
              <w:rPr>
                <w:rFonts w:hint="eastAsia" w:asciiTheme="minorEastAsia" w:hAnsiTheme="minorEastAsia" w:eastAsiaTheme="minorEastAsia" w:cstheme="minorEastAsia"/>
                <w:b/>
                <w:color w:val="auto"/>
                <w:sz w:val="18"/>
                <w:szCs w:val="18"/>
                <w:lang w:val="en-US" w:eastAsia="zh-CN"/>
              </w:rPr>
              <w:t>第十八条</w:t>
            </w:r>
            <w:r>
              <w:rPr>
                <w:rFonts w:hint="eastAsia" w:asciiTheme="minorEastAsia" w:hAnsiTheme="minorEastAsia" w:eastAsiaTheme="minorEastAsia" w:cstheme="minorEastAsia"/>
                <w:color w:val="auto"/>
                <w:sz w:val="18"/>
                <w:szCs w:val="18"/>
                <w:lang w:eastAsia="zh-CN"/>
              </w:rPr>
              <w:t>（</w:t>
            </w:r>
            <w:r>
              <w:rPr>
                <w:rFonts w:hint="eastAsia" w:asciiTheme="minorEastAsia" w:hAnsiTheme="minorEastAsia" w:eastAsiaTheme="minorEastAsia" w:cstheme="minorEastAsia"/>
                <w:color w:val="auto"/>
                <w:sz w:val="18"/>
                <w:szCs w:val="18"/>
                <w:lang w:val="en-US" w:eastAsia="zh-CN"/>
              </w:rPr>
              <w:t>六</w:t>
            </w:r>
            <w:r>
              <w:rPr>
                <w:rFonts w:hint="eastAsia" w:asciiTheme="minorEastAsia" w:hAnsiTheme="minorEastAsia" w:eastAsiaTheme="minorEastAsia" w:cstheme="minorEastAsia"/>
                <w:color w:val="auto"/>
                <w:sz w:val="18"/>
                <w:szCs w:val="18"/>
                <w:lang w:eastAsia="zh-CN"/>
              </w:rPr>
              <w:t>）</w:t>
            </w:r>
            <w:r>
              <w:rPr>
                <w:rFonts w:hint="eastAsia" w:asciiTheme="minorEastAsia" w:hAnsiTheme="minorEastAsia" w:eastAsiaTheme="minorEastAsia" w:cstheme="minorEastAsia"/>
                <w:sz w:val="18"/>
                <w:szCs w:val="18"/>
              </w:rPr>
              <w:t>第十八条第（二）、（四）、（五）项中的“从可充抵保证金的证券范围中调出”参照本条第（一）项施行。</w:t>
            </w:r>
          </w:p>
        </w:tc>
        <w:tc>
          <w:tcPr>
            <w:tcW w:w="2500" w:type="pct"/>
            <w:noWrap w:val="0"/>
            <w:vAlign w:val="top"/>
          </w:tcPr>
          <w:p>
            <w:pPr>
              <w:numPr>
                <w:ilvl w:val="0"/>
                <w:numId w:val="0"/>
              </w:numPr>
              <w:spacing w:line="240" w:lineRule="auto"/>
              <w:rPr>
                <w:rFonts w:hint="eastAsia" w:asciiTheme="minorEastAsia" w:hAnsiTheme="minorEastAsia" w:eastAsiaTheme="minorEastAsia" w:cstheme="minorEastAsia"/>
                <w:b/>
                <w:color w:val="auto"/>
                <w:sz w:val="18"/>
                <w:szCs w:val="18"/>
                <w:lang w:val="en-US" w:eastAsia="zh-CN"/>
              </w:rPr>
            </w:pPr>
            <w:r>
              <w:rPr>
                <w:rFonts w:hint="eastAsia" w:asciiTheme="minorEastAsia" w:hAnsiTheme="minorEastAsia" w:eastAsiaTheme="minorEastAsia" w:cstheme="minorEastAsia"/>
                <w:b/>
                <w:color w:val="auto"/>
                <w:sz w:val="18"/>
                <w:szCs w:val="18"/>
                <w:lang w:val="en-US" w:eastAsia="zh-CN"/>
              </w:rPr>
              <w:t>第十八条</w:t>
            </w:r>
            <w:r>
              <w:rPr>
                <w:rFonts w:hint="eastAsia" w:asciiTheme="minorEastAsia" w:hAnsiTheme="minorEastAsia" w:eastAsiaTheme="minorEastAsia" w:cstheme="minorEastAsia"/>
                <w:b w:val="0"/>
                <w:bCs/>
                <w:color w:val="auto"/>
                <w:sz w:val="18"/>
                <w:szCs w:val="18"/>
                <w:lang w:val="en-US" w:eastAsia="zh-CN"/>
              </w:rPr>
              <w:t>（七）</w:t>
            </w:r>
            <w:r>
              <w:rPr>
                <w:rFonts w:hint="eastAsia" w:asciiTheme="minorEastAsia" w:hAnsiTheme="minorEastAsia" w:eastAsiaTheme="minorEastAsia" w:cstheme="minorEastAsia"/>
                <w:sz w:val="18"/>
                <w:szCs w:val="18"/>
              </w:rPr>
              <w:t>第十八条第（二）、（四）、（五）</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lang w:val="en-US" w:eastAsia="zh-CN"/>
              </w:rPr>
              <w:t>六）</w:t>
            </w:r>
            <w:r>
              <w:rPr>
                <w:rFonts w:hint="eastAsia" w:asciiTheme="minorEastAsia" w:hAnsiTheme="minorEastAsia" w:eastAsiaTheme="minorEastAsia" w:cstheme="minorEastAsia"/>
                <w:sz w:val="18"/>
                <w:szCs w:val="18"/>
              </w:rPr>
              <w:t>项中的“从可充抵保证金的证券范围中调出”参照本条第（一）项施行。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noWrap w:val="0"/>
            <w:vAlign w:val="top"/>
          </w:tcPr>
          <w:p>
            <w:pPr>
              <w:numPr>
                <w:ilvl w:val="0"/>
                <w:numId w:val="0"/>
              </w:numPr>
              <w:spacing w:line="240" w:lineRule="auto"/>
              <w:jc w:val="both"/>
              <w:rPr>
                <w:rFonts w:hint="eastAsia" w:asciiTheme="minorEastAsia" w:hAnsiTheme="minorEastAsia" w:eastAsiaTheme="minorEastAsia" w:cstheme="minorEastAsia"/>
                <w:b/>
                <w:bCs/>
                <w:color w:val="auto"/>
                <w:sz w:val="18"/>
                <w:szCs w:val="18"/>
                <w:vertAlign w:val="baseline"/>
                <w:lang w:val="en-US" w:eastAsia="zh-CN"/>
              </w:rPr>
            </w:pPr>
            <w:r>
              <w:rPr>
                <w:rFonts w:hint="eastAsia" w:asciiTheme="minorEastAsia" w:hAnsiTheme="minorEastAsia" w:eastAsiaTheme="minorEastAsia" w:cstheme="minorEastAsia"/>
                <w:b/>
                <w:bCs/>
                <w:color w:val="auto"/>
                <w:sz w:val="18"/>
                <w:szCs w:val="18"/>
                <w:vertAlign w:val="baseline"/>
                <w:lang w:val="en-US" w:eastAsia="zh-CN"/>
              </w:rPr>
              <w:t xml:space="preserve">第十九条 </w:t>
            </w:r>
            <w:r>
              <w:rPr>
                <w:rFonts w:hint="eastAsia" w:asciiTheme="minorEastAsia" w:hAnsiTheme="minorEastAsia" w:eastAsiaTheme="minorEastAsia" w:cstheme="minorEastAsia"/>
                <w:b/>
                <w:color w:val="auto"/>
                <w:sz w:val="18"/>
                <w:szCs w:val="18"/>
              </w:rPr>
              <w:t>发生标的证券范围调整、要约收购、暂停交易、被交易所实施风险警示、公布将</w:t>
            </w:r>
            <w:r>
              <w:rPr>
                <w:rFonts w:hint="eastAsia" w:asciiTheme="minorEastAsia" w:hAnsiTheme="minorEastAsia" w:eastAsiaTheme="minorEastAsia" w:cstheme="minorEastAsia"/>
                <w:b/>
                <w:color w:val="auto"/>
                <w:sz w:val="18"/>
                <w:szCs w:val="18"/>
                <w:lang w:val="en-US" w:eastAsia="zh-CN"/>
              </w:rPr>
              <w:t>暂停上市</w:t>
            </w:r>
            <w:r>
              <w:rPr>
                <w:rFonts w:hint="eastAsia" w:asciiTheme="minorEastAsia" w:hAnsiTheme="minorEastAsia" w:eastAsiaTheme="minorEastAsia" w:cstheme="minorEastAsia"/>
                <w:b/>
                <w:bCs/>
                <w:strike/>
                <w:dstrike w:val="0"/>
                <w:color w:val="auto"/>
                <w:kern w:val="2"/>
                <w:sz w:val="18"/>
                <w:szCs w:val="18"/>
                <w:vertAlign w:val="baseline"/>
                <w:lang w:val="en-US" w:eastAsia="zh-CN" w:bidi="ar-SA"/>
              </w:rPr>
              <w:t>或</w:t>
            </w:r>
            <w:r>
              <w:rPr>
                <w:rFonts w:hint="eastAsia" w:asciiTheme="minorEastAsia" w:hAnsiTheme="minorEastAsia" w:eastAsiaTheme="minorEastAsia" w:cstheme="minorEastAsia"/>
                <w:b/>
                <w:color w:val="auto"/>
                <w:sz w:val="18"/>
                <w:szCs w:val="18"/>
              </w:rPr>
              <w:t>终止上市等特殊情况的处理</w:t>
            </w:r>
          </w:p>
        </w:tc>
        <w:tc>
          <w:tcPr>
            <w:tcW w:w="2500" w:type="pct"/>
            <w:noWrap w:val="0"/>
            <w:vAlign w:val="top"/>
          </w:tcPr>
          <w:p>
            <w:pPr>
              <w:numPr>
                <w:ilvl w:val="0"/>
                <w:numId w:val="0"/>
              </w:numPr>
              <w:spacing w:line="240" w:lineRule="auto"/>
              <w:jc w:val="both"/>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b/>
                <w:bCs/>
                <w:color w:val="auto"/>
                <w:sz w:val="18"/>
                <w:szCs w:val="18"/>
                <w:vertAlign w:val="baseline"/>
                <w:lang w:val="en-US" w:eastAsia="zh-CN"/>
              </w:rPr>
              <w:t xml:space="preserve">第十九条 </w:t>
            </w:r>
            <w:r>
              <w:rPr>
                <w:rFonts w:hint="eastAsia" w:asciiTheme="minorEastAsia" w:hAnsiTheme="minorEastAsia" w:eastAsiaTheme="minorEastAsia" w:cstheme="minorEastAsia"/>
                <w:b/>
                <w:color w:val="auto"/>
                <w:sz w:val="18"/>
                <w:szCs w:val="18"/>
                <w:lang w:val="en-US" w:eastAsia="zh-CN"/>
              </w:rPr>
              <w:t>发</w:t>
            </w:r>
            <w:r>
              <w:rPr>
                <w:rFonts w:hint="eastAsia" w:asciiTheme="minorEastAsia" w:hAnsiTheme="minorEastAsia" w:eastAsiaTheme="minorEastAsia" w:cstheme="minorEastAsia"/>
                <w:b/>
                <w:color w:val="auto"/>
                <w:sz w:val="18"/>
                <w:szCs w:val="18"/>
              </w:rPr>
              <w:t>生标的证券范围调整、要约收购、</w:t>
            </w:r>
            <w:r>
              <w:rPr>
                <w:rFonts w:hint="eastAsia" w:asciiTheme="minorEastAsia" w:hAnsiTheme="minorEastAsia" w:eastAsiaTheme="minorEastAsia" w:cstheme="minorEastAsia"/>
                <w:b/>
                <w:color w:val="auto"/>
                <w:sz w:val="18"/>
                <w:szCs w:val="18"/>
                <w:lang w:val="en-US" w:eastAsia="zh-CN"/>
              </w:rPr>
              <w:t>合并、</w:t>
            </w:r>
            <w:r>
              <w:rPr>
                <w:rFonts w:hint="eastAsia" w:asciiTheme="minorEastAsia" w:hAnsiTheme="minorEastAsia" w:eastAsiaTheme="minorEastAsia" w:cstheme="minorEastAsia"/>
                <w:b/>
                <w:color w:val="auto"/>
                <w:sz w:val="18"/>
                <w:szCs w:val="18"/>
              </w:rPr>
              <w:t>暂停交易、被交易所实施风险警示、公布将终止上市等特殊情况的处理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noWrap w:val="0"/>
            <w:vAlign w:val="top"/>
          </w:tcPr>
          <w:p>
            <w:pPr>
              <w:numPr>
                <w:ilvl w:val="0"/>
                <w:numId w:val="0"/>
              </w:numPr>
              <w:spacing w:line="240" w:lineRule="auto"/>
              <w:jc w:val="both"/>
              <w:rPr>
                <w:rFonts w:hint="eastAsia" w:asciiTheme="minorEastAsia" w:hAnsiTheme="minorEastAsia" w:eastAsiaTheme="minorEastAsia" w:cstheme="minorEastAsia"/>
                <w:b/>
                <w:color w:val="auto"/>
                <w:sz w:val="18"/>
                <w:szCs w:val="18"/>
              </w:rPr>
            </w:pPr>
          </w:p>
        </w:tc>
        <w:tc>
          <w:tcPr>
            <w:tcW w:w="2500" w:type="pct"/>
            <w:noWrap w:val="0"/>
            <w:vAlign w:val="top"/>
          </w:tcPr>
          <w:p>
            <w:pPr>
              <w:numPr>
                <w:ilvl w:val="0"/>
                <w:numId w:val="0"/>
              </w:numPr>
              <w:spacing w:line="240" w:lineRule="auto"/>
              <w:jc w:val="both"/>
              <w:rPr>
                <w:rFonts w:hint="eastAsia" w:asciiTheme="minorEastAsia" w:hAnsiTheme="minorEastAsia" w:eastAsiaTheme="minorEastAsia" w:cstheme="minorEastAsia"/>
                <w:b/>
                <w:color w:val="auto"/>
                <w:sz w:val="18"/>
                <w:szCs w:val="18"/>
              </w:rPr>
            </w:pPr>
            <w:r>
              <w:rPr>
                <w:rFonts w:hint="eastAsia" w:asciiTheme="minorEastAsia" w:hAnsiTheme="minorEastAsia" w:eastAsiaTheme="minorEastAsia" w:cstheme="minorEastAsia"/>
                <w:b/>
                <w:bCs/>
                <w:color w:val="auto"/>
                <w:sz w:val="18"/>
                <w:szCs w:val="18"/>
                <w:vertAlign w:val="baseline"/>
                <w:lang w:val="en-US" w:eastAsia="zh-CN"/>
              </w:rPr>
              <w:t>第十九条</w:t>
            </w:r>
            <w:r>
              <w:rPr>
                <w:rFonts w:hint="eastAsia" w:asciiTheme="minorEastAsia" w:hAnsiTheme="minorEastAsia" w:eastAsiaTheme="minorEastAsia" w:cstheme="minorEastAsia"/>
                <w:b w:val="0"/>
                <w:bCs/>
                <w:color w:val="auto"/>
                <w:sz w:val="18"/>
                <w:szCs w:val="18"/>
                <w:lang w:val="en-US" w:eastAsia="zh-CN"/>
              </w:rPr>
              <w:t>（三）</w:t>
            </w:r>
            <w:r>
              <w:rPr>
                <w:rFonts w:hint="eastAsia" w:asciiTheme="minorEastAsia" w:hAnsiTheme="minorEastAsia" w:eastAsiaTheme="minorEastAsia" w:cstheme="minorEastAsia"/>
                <w:b/>
                <w:color w:val="auto"/>
                <w:sz w:val="18"/>
                <w:szCs w:val="18"/>
                <w:lang w:val="en-US" w:eastAsia="zh-CN"/>
              </w:rPr>
              <w:t>标的证券发生合并事项</w:t>
            </w:r>
          </w:p>
          <w:p>
            <w:pPr>
              <w:numPr>
                <w:ilvl w:val="0"/>
                <w:numId w:val="0"/>
              </w:numPr>
              <w:spacing w:line="240" w:lineRule="auto"/>
              <w:ind w:firstLine="361" w:firstLineChars="200"/>
              <w:jc w:val="both"/>
              <w:rPr>
                <w:rFonts w:hint="eastAsia" w:asciiTheme="minorEastAsia" w:hAnsiTheme="minorEastAsia" w:eastAsiaTheme="minorEastAsia" w:cstheme="minorEastAsia"/>
                <w:b/>
                <w:color w:val="auto"/>
                <w:sz w:val="18"/>
                <w:szCs w:val="18"/>
                <w:lang w:val="en-US" w:eastAsia="zh-CN"/>
              </w:rPr>
            </w:pPr>
            <w:r>
              <w:rPr>
                <w:rFonts w:hint="eastAsia" w:asciiTheme="minorEastAsia" w:hAnsiTheme="minorEastAsia" w:eastAsiaTheme="minorEastAsia" w:cstheme="minorEastAsia"/>
                <w:b/>
                <w:color w:val="auto"/>
                <w:sz w:val="18"/>
                <w:szCs w:val="18"/>
                <w:lang w:val="en-US" w:eastAsia="zh-CN"/>
              </w:rPr>
              <w:t>标的证券涉及合并事项的，乙方有权自该证券合并事项公布时将该证券从标的证券的证券范围中调出。同时，乙方有权要求甲方提前了结该标的证券对应的融资合约负债、融券合约负债。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noWrap w:val="0"/>
            <w:vAlign w:val="top"/>
          </w:tcPr>
          <w:p>
            <w:pPr>
              <w:numPr>
                <w:ilvl w:val="0"/>
                <w:numId w:val="0"/>
              </w:numPr>
              <w:spacing w:line="240" w:lineRule="auto"/>
              <w:jc w:val="both"/>
              <w:rPr>
                <w:rFonts w:hint="eastAsia" w:asciiTheme="minorEastAsia" w:hAnsiTheme="minorEastAsia" w:eastAsiaTheme="minorEastAsia" w:cstheme="minorEastAsia"/>
                <w:color w:val="auto"/>
                <w:sz w:val="18"/>
                <w:szCs w:val="18"/>
              </w:rPr>
            </w:pPr>
            <w:bookmarkStart w:id="5" w:name="_Hlk501324756"/>
            <w:r>
              <w:rPr>
                <w:rFonts w:hint="eastAsia" w:asciiTheme="minorEastAsia" w:hAnsiTheme="minorEastAsia" w:eastAsiaTheme="minorEastAsia" w:cstheme="minorEastAsia"/>
                <w:b/>
                <w:bCs/>
                <w:color w:val="auto"/>
                <w:sz w:val="18"/>
                <w:szCs w:val="18"/>
                <w:vertAlign w:val="baseline"/>
                <w:lang w:val="en-US" w:eastAsia="zh-CN"/>
              </w:rPr>
              <w:t>第十九条</w:t>
            </w:r>
            <w:r>
              <w:rPr>
                <w:rFonts w:hint="eastAsia" w:asciiTheme="minorEastAsia" w:hAnsiTheme="minorEastAsia" w:eastAsiaTheme="minorEastAsia" w:cstheme="minorEastAsia"/>
                <w:color w:val="auto"/>
                <w:sz w:val="18"/>
                <w:szCs w:val="18"/>
                <w:lang w:eastAsia="zh-CN"/>
              </w:rPr>
              <w:t>（</w:t>
            </w:r>
            <w:r>
              <w:rPr>
                <w:rFonts w:hint="eastAsia" w:asciiTheme="minorEastAsia" w:hAnsiTheme="minorEastAsia" w:eastAsiaTheme="minorEastAsia" w:cstheme="minorEastAsia"/>
                <w:color w:val="auto"/>
                <w:sz w:val="18"/>
                <w:szCs w:val="18"/>
                <w:lang w:val="en-US" w:eastAsia="zh-CN"/>
              </w:rPr>
              <w:t>三</w:t>
            </w:r>
            <w:r>
              <w:rPr>
                <w:rFonts w:hint="eastAsia" w:asciiTheme="minorEastAsia" w:hAnsiTheme="minorEastAsia" w:eastAsiaTheme="minorEastAsia" w:cstheme="minorEastAsia"/>
                <w:color w:val="auto"/>
                <w:sz w:val="18"/>
                <w:szCs w:val="18"/>
                <w:lang w:eastAsia="zh-CN"/>
              </w:rPr>
              <w:t>）</w:t>
            </w:r>
            <w:r>
              <w:rPr>
                <w:rFonts w:hint="eastAsia" w:asciiTheme="minorEastAsia" w:hAnsiTheme="minorEastAsia" w:eastAsiaTheme="minorEastAsia" w:cstheme="minorEastAsia"/>
                <w:color w:val="auto"/>
                <w:sz w:val="18"/>
                <w:szCs w:val="18"/>
              </w:rPr>
              <w:t>标的证券暂停交易、被交易所实施风险警示、</w:t>
            </w:r>
            <w:r>
              <w:rPr>
                <w:rFonts w:hint="eastAsia" w:asciiTheme="minorEastAsia" w:hAnsiTheme="minorEastAsia" w:eastAsiaTheme="minorEastAsia" w:cstheme="minorEastAsia"/>
                <w:color w:val="auto"/>
                <w:sz w:val="18"/>
                <w:szCs w:val="18"/>
                <w:lang w:val="en-US" w:eastAsia="zh-CN"/>
              </w:rPr>
              <w:t>暂停上市</w:t>
            </w:r>
            <w:r>
              <w:rPr>
                <w:rFonts w:hint="eastAsia" w:asciiTheme="minorEastAsia" w:hAnsiTheme="minorEastAsia" w:eastAsiaTheme="minorEastAsia" w:cstheme="minorEastAsia"/>
                <w:color w:val="auto"/>
                <w:sz w:val="18"/>
                <w:szCs w:val="18"/>
              </w:rPr>
              <w:t>或终止上市的处理</w:t>
            </w:r>
          </w:p>
          <w:p>
            <w:pPr>
              <w:pStyle w:val="6"/>
              <w:numPr>
                <w:ilvl w:val="0"/>
                <w:numId w:val="0"/>
              </w:numPr>
              <w:spacing w:line="240" w:lineRule="auto"/>
              <w:jc w:val="both"/>
              <w:rPr>
                <w:rFonts w:hint="eastAsia" w:asciiTheme="minorEastAsia" w:hAnsiTheme="minorEastAsia" w:eastAsiaTheme="minorEastAsia" w:cstheme="minorEastAsia"/>
                <w:b/>
                <w:color w:val="auto"/>
                <w:sz w:val="18"/>
                <w:szCs w:val="18"/>
              </w:rPr>
            </w:pPr>
            <w:r>
              <w:rPr>
                <w:rFonts w:hint="eastAsia" w:asciiTheme="minorEastAsia" w:hAnsiTheme="minorEastAsia" w:eastAsiaTheme="minorEastAsia" w:cstheme="minorEastAsia"/>
                <w:color w:val="auto"/>
                <w:sz w:val="18"/>
                <w:szCs w:val="18"/>
                <w:lang w:val="en-US" w:eastAsia="zh-CN"/>
              </w:rPr>
              <w:t>4、</w:t>
            </w:r>
            <w:r>
              <w:rPr>
                <w:rFonts w:hint="eastAsia" w:asciiTheme="minorEastAsia" w:hAnsiTheme="minorEastAsia" w:eastAsiaTheme="minorEastAsia" w:cstheme="minorEastAsia"/>
                <w:color w:val="auto"/>
                <w:sz w:val="18"/>
                <w:szCs w:val="18"/>
              </w:rPr>
              <w:t>融资买入标的证券或融券卖出标的证券被交易所实施风险警示</w:t>
            </w:r>
            <w:r>
              <w:rPr>
                <w:rFonts w:hint="eastAsia" w:asciiTheme="minorEastAsia" w:hAnsiTheme="minorEastAsia" w:eastAsiaTheme="minorEastAsia" w:cstheme="minorEastAsia"/>
                <w:b w:val="0"/>
                <w:bCs w:val="0"/>
                <w:strike w:val="0"/>
                <w:dstrike w:val="0"/>
                <w:color w:val="auto"/>
                <w:kern w:val="2"/>
                <w:sz w:val="18"/>
                <w:szCs w:val="18"/>
                <w:vertAlign w:val="baseline"/>
                <w:lang w:val="en-US" w:eastAsia="zh-CN" w:bidi="ar-SA"/>
              </w:rPr>
              <w:t>或</w:t>
            </w:r>
            <w:r>
              <w:rPr>
                <w:rFonts w:hint="eastAsia" w:asciiTheme="minorEastAsia" w:hAnsiTheme="minorEastAsia" w:eastAsiaTheme="minorEastAsia" w:cstheme="minorEastAsia"/>
                <w:color w:val="auto"/>
                <w:sz w:val="18"/>
                <w:szCs w:val="18"/>
                <w:lang w:val="en-US" w:eastAsia="zh-CN"/>
              </w:rPr>
              <w:t>公布将暂停上市</w:t>
            </w:r>
            <w:r>
              <w:rPr>
                <w:rFonts w:hint="eastAsia" w:asciiTheme="minorEastAsia" w:hAnsiTheme="minorEastAsia" w:eastAsiaTheme="minorEastAsia" w:cstheme="minorEastAsia"/>
                <w:color w:val="auto"/>
                <w:sz w:val="18"/>
                <w:szCs w:val="18"/>
              </w:rPr>
              <w:t>的，</w:t>
            </w:r>
            <w:r>
              <w:rPr>
                <w:rFonts w:hint="eastAsia" w:asciiTheme="minorEastAsia" w:hAnsiTheme="minorEastAsia" w:eastAsiaTheme="minorEastAsia" w:cstheme="minorEastAsia"/>
                <w:b/>
                <w:color w:val="auto"/>
                <w:sz w:val="18"/>
                <w:szCs w:val="18"/>
              </w:rPr>
              <w:t>甲方应在该证券被交易所实施风险警示</w:t>
            </w:r>
            <w:r>
              <w:rPr>
                <w:rFonts w:hint="eastAsia" w:asciiTheme="minorEastAsia" w:hAnsiTheme="minorEastAsia" w:eastAsiaTheme="minorEastAsia" w:cstheme="minorEastAsia"/>
                <w:b/>
                <w:color w:val="auto"/>
                <w:sz w:val="18"/>
                <w:szCs w:val="18"/>
                <w:lang w:val="en-US" w:eastAsia="zh-CN"/>
              </w:rPr>
              <w:t>或公布将暂停上市后</w:t>
            </w:r>
            <w:r>
              <w:rPr>
                <w:rFonts w:hint="eastAsia" w:asciiTheme="minorEastAsia" w:hAnsiTheme="minorEastAsia" w:eastAsiaTheme="minorEastAsia" w:cstheme="minorEastAsia"/>
                <w:b/>
                <w:color w:val="auto"/>
                <w:sz w:val="18"/>
                <w:szCs w:val="18"/>
              </w:rPr>
              <w:t>的2个交易日内提前了结相关债务。</w:t>
            </w:r>
            <w:bookmarkEnd w:id="5"/>
          </w:p>
          <w:p>
            <w:pPr>
              <w:numPr>
                <w:ilvl w:val="0"/>
                <w:numId w:val="0"/>
              </w:numPr>
              <w:spacing w:line="240" w:lineRule="auto"/>
              <w:jc w:val="both"/>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lang w:val="en-US" w:eastAsia="zh-CN"/>
              </w:rPr>
              <w:t>6、</w:t>
            </w:r>
            <w:r>
              <w:rPr>
                <w:rFonts w:hint="eastAsia" w:asciiTheme="minorEastAsia" w:hAnsiTheme="minorEastAsia" w:eastAsiaTheme="minorEastAsia" w:cstheme="minorEastAsia"/>
                <w:color w:val="auto"/>
                <w:kern w:val="0"/>
                <w:sz w:val="18"/>
                <w:szCs w:val="18"/>
              </w:rPr>
              <w:t>融资买入证券进入终止上市程序的，甲方已了结相关合约债务的，可申请将有关证券从其信用证券账户划转到其普通证券账户中，但甲方仅能转出维持担保比例超过300%的部分。退市登记等相关手续按照中国结算公司规定执行。</w:t>
            </w:r>
          </w:p>
          <w:p>
            <w:pPr>
              <w:numPr>
                <w:ilvl w:val="0"/>
                <w:numId w:val="0"/>
              </w:numPr>
              <w:spacing w:line="240" w:lineRule="auto"/>
              <w:jc w:val="both"/>
              <w:rPr>
                <w:rFonts w:hint="eastAsia" w:asciiTheme="minorEastAsia" w:hAnsiTheme="minorEastAsia" w:eastAsiaTheme="minorEastAsia" w:cstheme="minorEastAsia"/>
                <w:color w:val="auto"/>
                <w:kern w:val="0"/>
                <w:sz w:val="18"/>
                <w:szCs w:val="18"/>
              </w:rPr>
            </w:pPr>
          </w:p>
        </w:tc>
        <w:tc>
          <w:tcPr>
            <w:tcW w:w="2500" w:type="pct"/>
            <w:noWrap w:val="0"/>
            <w:vAlign w:val="top"/>
          </w:tcPr>
          <w:p>
            <w:pPr>
              <w:numPr>
                <w:ilvl w:val="0"/>
                <w:numId w:val="0"/>
              </w:numPr>
              <w:spacing w:line="240" w:lineRule="auto"/>
              <w:jc w:val="both"/>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b/>
                <w:bCs/>
                <w:color w:val="auto"/>
                <w:sz w:val="18"/>
                <w:szCs w:val="18"/>
                <w:vertAlign w:val="baseline"/>
                <w:lang w:val="en-US" w:eastAsia="zh-CN"/>
              </w:rPr>
              <w:t>第十九条</w:t>
            </w:r>
            <w:r>
              <w:rPr>
                <w:rFonts w:hint="eastAsia" w:asciiTheme="minorEastAsia" w:hAnsiTheme="minorEastAsia" w:eastAsiaTheme="minorEastAsia" w:cstheme="minorEastAsia"/>
                <w:color w:val="auto"/>
                <w:sz w:val="18"/>
                <w:szCs w:val="18"/>
                <w:lang w:eastAsia="zh-CN"/>
              </w:rPr>
              <w:t>（</w:t>
            </w:r>
            <w:r>
              <w:rPr>
                <w:rFonts w:hint="eastAsia" w:asciiTheme="minorEastAsia" w:hAnsiTheme="minorEastAsia" w:eastAsiaTheme="minorEastAsia" w:cstheme="minorEastAsia"/>
                <w:color w:val="auto"/>
                <w:sz w:val="18"/>
                <w:szCs w:val="18"/>
                <w:lang w:val="en-US" w:eastAsia="zh-CN"/>
              </w:rPr>
              <w:t>四</w:t>
            </w:r>
            <w:r>
              <w:rPr>
                <w:rFonts w:hint="eastAsia" w:asciiTheme="minorEastAsia" w:hAnsiTheme="minorEastAsia" w:eastAsiaTheme="minorEastAsia" w:cstheme="minorEastAsia"/>
                <w:color w:val="auto"/>
                <w:sz w:val="18"/>
                <w:szCs w:val="18"/>
                <w:lang w:eastAsia="zh-CN"/>
              </w:rPr>
              <w:t>）</w:t>
            </w:r>
            <w:r>
              <w:rPr>
                <w:rFonts w:hint="eastAsia" w:asciiTheme="minorEastAsia" w:hAnsiTheme="minorEastAsia" w:eastAsiaTheme="minorEastAsia" w:cstheme="minorEastAsia"/>
                <w:color w:val="auto"/>
                <w:sz w:val="18"/>
                <w:szCs w:val="18"/>
              </w:rPr>
              <w:t>标的证券暂停交易、被交易所实施风险警示、终止上市的处理</w:t>
            </w:r>
          </w:p>
          <w:p>
            <w:pPr>
              <w:numPr>
                <w:ilvl w:val="0"/>
                <w:numId w:val="0"/>
              </w:numPr>
              <w:spacing w:line="240" w:lineRule="auto"/>
              <w:jc w:val="both"/>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lang w:val="en-US" w:eastAsia="zh-CN"/>
              </w:rPr>
              <w:t>4、</w:t>
            </w:r>
            <w:r>
              <w:rPr>
                <w:rFonts w:hint="eastAsia" w:asciiTheme="minorEastAsia" w:hAnsiTheme="minorEastAsia" w:eastAsiaTheme="minorEastAsia" w:cstheme="minorEastAsia"/>
                <w:color w:val="auto"/>
                <w:sz w:val="18"/>
                <w:szCs w:val="18"/>
              </w:rPr>
              <w:t>融资买入标的证券或融券卖出标的证券被交易所实施风险警示的，</w:t>
            </w:r>
            <w:r>
              <w:rPr>
                <w:rFonts w:hint="eastAsia" w:asciiTheme="minorEastAsia" w:hAnsiTheme="minorEastAsia" w:eastAsiaTheme="minorEastAsia" w:cstheme="minorEastAsia"/>
                <w:b/>
                <w:color w:val="auto"/>
                <w:sz w:val="18"/>
                <w:szCs w:val="18"/>
              </w:rPr>
              <w:t>甲方应在该证券被交易所实施风险警示的2个交易日内提前了结相关债务。</w:t>
            </w:r>
          </w:p>
          <w:p>
            <w:pPr>
              <w:numPr>
                <w:ilvl w:val="0"/>
                <w:numId w:val="0"/>
              </w:numPr>
              <w:spacing w:line="240" w:lineRule="auto"/>
              <w:jc w:val="both"/>
              <w:rPr>
                <w:rFonts w:hint="eastAsia" w:asciiTheme="minorEastAsia" w:hAnsiTheme="minorEastAsia" w:eastAsiaTheme="minorEastAsia" w:cstheme="minorEastAsia"/>
                <w:color w:val="auto"/>
                <w:kern w:val="0"/>
                <w:sz w:val="18"/>
                <w:szCs w:val="18"/>
                <w:lang w:val="en-US" w:eastAsia="zh-CN"/>
              </w:rPr>
            </w:pPr>
          </w:p>
          <w:p>
            <w:pPr>
              <w:numPr>
                <w:ilvl w:val="0"/>
                <w:numId w:val="0"/>
              </w:numPr>
              <w:spacing w:line="240" w:lineRule="auto"/>
              <w:jc w:val="both"/>
              <w:rPr>
                <w:rFonts w:hint="eastAsia" w:asciiTheme="minorEastAsia" w:hAnsiTheme="minorEastAsia" w:eastAsiaTheme="minorEastAsia" w:cstheme="minorEastAsia"/>
                <w:color w:val="auto"/>
                <w:kern w:val="0"/>
                <w:sz w:val="18"/>
                <w:szCs w:val="18"/>
                <w:lang w:val="en-US" w:eastAsia="zh-CN"/>
              </w:rPr>
            </w:pPr>
            <w:r>
              <w:rPr>
                <w:rFonts w:hint="eastAsia" w:asciiTheme="minorEastAsia" w:hAnsiTheme="minorEastAsia" w:eastAsiaTheme="minorEastAsia" w:cstheme="minorEastAsia"/>
                <w:color w:val="auto"/>
                <w:kern w:val="0"/>
                <w:sz w:val="18"/>
                <w:szCs w:val="18"/>
                <w:lang w:val="en-US" w:eastAsia="zh-CN"/>
              </w:rPr>
              <w:t>6、</w:t>
            </w:r>
            <w:r>
              <w:rPr>
                <w:rFonts w:hint="eastAsia" w:asciiTheme="minorEastAsia" w:hAnsiTheme="minorEastAsia" w:eastAsiaTheme="minorEastAsia" w:cstheme="minorEastAsia"/>
                <w:color w:val="auto"/>
                <w:kern w:val="0"/>
                <w:sz w:val="18"/>
                <w:szCs w:val="18"/>
              </w:rPr>
              <w:t>融资买入证券进入终止上市程序的，甲方已了结相关合约债务的，可申请将有关证券从其信用证券账户划转到其普通证券账户中，但甲方仅能转出维持担保比例超过300%的部分</w:t>
            </w:r>
            <w:r>
              <w:rPr>
                <w:rFonts w:hint="eastAsia" w:asciiTheme="minorEastAsia" w:hAnsiTheme="minorEastAsia" w:eastAsiaTheme="minorEastAsia" w:cstheme="minorEastAsia"/>
                <w:color w:val="auto"/>
                <w:kern w:val="0"/>
                <w:sz w:val="18"/>
                <w:szCs w:val="18"/>
                <w:lang w:eastAsia="zh-CN"/>
              </w:rPr>
              <w:t>，</w:t>
            </w:r>
            <w:r>
              <w:rPr>
                <w:rFonts w:hint="eastAsia" w:asciiTheme="minorEastAsia" w:hAnsiTheme="minorEastAsia" w:eastAsiaTheme="minorEastAsia" w:cstheme="minorEastAsia"/>
                <w:color w:val="auto"/>
                <w:kern w:val="0"/>
                <w:sz w:val="18"/>
                <w:szCs w:val="18"/>
                <w:lang w:val="en-US" w:eastAsia="zh-CN"/>
              </w:rPr>
              <w:t>且不能转出未了结融资合约的融资买入部分证券</w:t>
            </w:r>
            <w:r>
              <w:rPr>
                <w:rFonts w:hint="eastAsia" w:asciiTheme="minorEastAsia" w:hAnsiTheme="minorEastAsia" w:eastAsiaTheme="minorEastAsia" w:cstheme="minorEastAsia"/>
                <w:color w:val="auto"/>
                <w:kern w:val="0"/>
                <w:sz w:val="18"/>
                <w:szCs w:val="18"/>
              </w:rPr>
              <w:t>。退市登记等相关手续按照中国结算公司规定执行。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noWrap w:val="0"/>
            <w:vAlign w:val="top"/>
          </w:tcPr>
          <w:p>
            <w:pPr>
              <w:numPr>
                <w:ilvl w:val="0"/>
                <w:numId w:val="0"/>
              </w:numPr>
              <w:spacing w:line="240" w:lineRule="auto"/>
              <w:jc w:val="both"/>
              <w:rPr>
                <w:rFonts w:hint="eastAsia" w:asciiTheme="minorEastAsia" w:hAnsiTheme="minorEastAsia" w:eastAsiaTheme="minorEastAsia" w:cstheme="minorEastAsia"/>
                <w:color w:val="auto"/>
                <w:kern w:val="0"/>
                <w:sz w:val="18"/>
                <w:szCs w:val="18"/>
                <w:lang w:val="en-US" w:eastAsia="zh-CN"/>
              </w:rPr>
            </w:pPr>
            <w:r>
              <w:rPr>
                <w:rFonts w:hint="eastAsia" w:asciiTheme="minorEastAsia" w:hAnsiTheme="minorEastAsia" w:eastAsiaTheme="minorEastAsia" w:cstheme="minorEastAsia"/>
                <w:b/>
                <w:color w:val="auto"/>
                <w:sz w:val="18"/>
                <w:szCs w:val="18"/>
                <w:lang w:val="en-US" w:eastAsia="zh-CN"/>
              </w:rPr>
              <w:t xml:space="preserve">第二十二条 </w:t>
            </w:r>
            <w:r>
              <w:rPr>
                <w:rFonts w:hint="eastAsia" w:asciiTheme="minorEastAsia" w:hAnsiTheme="minorEastAsia" w:eastAsiaTheme="minorEastAsia" w:cstheme="minorEastAsia"/>
                <w:b/>
                <w:sz w:val="18"/>
                <w:szCs w:val="18"/>
              </w:rPr>
              <w:t>甲方信用证券账户内的证券涉及暂停交易、暂停上市、终止上市、被实施风险警示或其他重大风险事项时，乙方有权视甲方信用证券账户内证券的相关情况对该证券重新进行估值，对其公允价格做另行调整，并通过乙方官方网站、乙方APP、乙方PC交易客户端、交易系统或乙方营业场所中的任意一种方式进行公告。乙方采取上述任何一种方式公告，则视同乙方已经履行该等公告义务，即视为甲方已知晓相关信息。甲方应当及时关注乙方公告，并及时了解乙方对公允价格另行调整的情况及甲方信用账户维持担保比例，因公允价格另行调整导致甲方信用账户维持担保比例低于相应比例线时应及时调整、追加担保物或自行减仓</w:t>
            </w:r>
            <w:r>
              <w:rPr>
                <w:rFonts w:hint="eastAsia" w:asciiTheme="minorEastAsia" w:hAnsiTheme="minorEastAsia" w:eastAsiaTheme="minorEastAsia" w:cstheme="minorEastAsia"/>
                <w:b/>
                <w:sz w:val="18"/>
                <w:szCs w:val="18"/>
                <w:lang w:eastAsia="zh-CN"/>
              </w:rPr>
              <w:t>。</w:t>
            </w:r>
          </w:p>
        </w:tc>
        <w:tc>
          <w:tcPr>
            <w:tcW w:w="2500" w:type="pct"/>
            <w:noWrap w:val="0"/>
            <w:vAlign w:val="top"/>
          </w:tcPr>
          <w:p>
            <w:pPr>
              <w:pStyle w:val="6"/>
              <w:numPr>
                <w:ilvl w:val="0"/>
                <w:numId w:val="0"/>
              </w:numPr>
              <w:spacing w:line="240" w:lineRule="auto"/>
              <w:rPr>
                <w:rFonts w:hint="eastAsia" w:asciiTheme="minorEastAsia" w:hAnsiTheme="minorEastAsia" w:eastAsiaTheme="minorEastAsia" w:cstheme="minorEastAsia"/>
                <w:color w:val="auto"/>
                <w:kern w:val="0"/>
                <w:sz w:val="18"/>
                <w:szCs w:val="18"/>
                <w:lang w:val="en-US" w:eastAsia="zh-CN"/>
              </w:rPr>
            </w:pPr>
            <w:r>
              <w:rPr>
                <w:rFonts w:hint="eastAsia" w:asciiTheme="minorEastAsia" w:hAnsiTheme="minorEastAsia" w:eastAsiaTheme="minorEastAsia" w:cstheme="minorEastAsia"/>
                <w:b/>
                <w:color w:val="auto"/>
                <w:sz w:val="18"/>
                <w:szCs w:val="18"/>
                <w:lang w:val="en-US" w:eastAsia="zh-CN"/>
              </w:rPr>
              <w:t xml:space="preserve">第二十二条 </w:t>
            </w:r>
            <w:r>
              <w:rPr>
                <w:rFonts w:hint="eastAsia" w:asciiTheme="minorEastAsia" w:hAnsiTheme="minorEastAsia" w:eastAsiaTheme="minorEastAsia" w:cstheme="minorEastAsia"/>
                <w:b/>
                <w:color w:val="auto"/>
                <w:kern w:val="2"/>
                <w:sz w:val="18"/>
                <w:szCs w:val="18"/>
                <w:lang w:val="en-US" w:eastAsia="zh-CN" w:bidi="ar-SA"/>
              </w:rPr>
              <w:t>甲方信用证券账户内的证券涉及暂停交易、终止上市、被实施风险警示或其他重大风险事项时，乙方有权视甲方信用证券账户内证券的相关情况对该证券重新进行估值，对其公允价格做另行调整，并通过乙方官方网站、乙方APP、乙方PC交易客户端、交易系统或乙方营业场所中的任意一种方式进行公告。乙方采取上述任何一种方式公告，则视同乙方已经履行该等公告义务，即视为甲方已知晓相关信息。甲方应当及时关注乙方公告，并及时了解乙方对公允价格另行调整的情况及甲方信用账户维持担保比例的变化，因公允价格另行调整导致甲方信用账户维持担保比例低于相应比例线时甲方应及时调整、追加担保物或自行减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noWrap w:val="0"/>
            <w:vAlign w:val="top"/>
          </w:tcPr>
          <w:p>
            <w:pPr>
              <w:numPr>
                <w:ilvl w:val="0"/>
                <w:numId w:val="0"/>
              </w:numPr>
              <w:spacing w:line="240" w:lineRule="auto"/>
              <w:jc w:val="both"/>
              <w:rPr>
                <w:rFonts w:hint="eastAsia" w:asciiTheme="minorEastAsia" w:hAnsiTheme="minorEastAsia" w:eastAsiaTheme="minorEastAsia" w:cstheme="minorEastAsia"/>
                <w:b/>
                <w:color w:val="auto"/>
                <w:sz w:val="18"/>
                <w:szCs w:val="18"/>
                <w:lang w:eastAsia="zh-CN"/>
              </w:rPr>
            </w:pPr>
            <w:r>
              <w:rPr>
                <w:rFonts w:hint="eastAsia" w:asciiTheme="minorEastAsia" w:hAnsiTheme="minorEastAsia" w:eastAsiaTheme="minorEastAsia" w:cstheme="minorEastAsia"/>
                <w:b/>
                <w:color w:val="auto"/>
                <w:sz w:val="18"/>
                <w:szCs w:val="18"/>
                <w:lang w:val="en-US" w:eastAsia="zh-CN"/>
              </w:rPr>
              <w:t xml:space="preserve">第二十四条 </w:t>
            </w:r>
            <w:r>
              <w:rPr>
                <w:rFonts w:hint="eastAsia" w:asciiTheme="minorEastAsia" w:hAnsiTheme="minorEastAsia" w:eastAsiaTheme="minorEastAsia" w:cstheme="minorEastAsia"/>
                <w:b/>
                <w:color w:val="auto"/>
                <w:sz w:val="18"/>
                <w:szCs w:val="18"/>
              </w:rPr>
              <w:t>当甲方提交的担保物价值与其融资融券债务之间的比例超过300%时，甲方可以按照证券交易所规定和乙方的相关规定，转出超出规定比例部分的担保物</w:t>
            </w:r>
            <w:r>
              <w:rPr>
                <w:rFonts w:hint="eastAsia" w:asciiTheme="minorEastAsia" w:hAnsiTheme="minorEastAsia" w:eastAsiaTheme="minorEastAsia" w:cstheme="minorEastAsia"/>
                <w:b/>
                <w:color w:val="auto"/>
                <w:sz w:val="18"/>
                <w:szCs w:val="18"/>
                <w:lang w:eastAsia="zh-CN"/>
              </w:rPr>
              <w:t>。</w:t>
            </w:r>
          </w:p>
        </w:tc>
        <w:tc>
          <w:tcPr>
            <w:tcW w:w="2500" w:type="pct"/>
            <w:noWrap w:val="0"/>
            <w:vAlign w:val="top"/>
          </w:tcPr>
          <w:p>
            <w:pPr>
              <w:numPr>
                <w:ilvl w:val="0"/>
                <w:numId w:val="0"/>
              </w:numPr>
              <w:spacing w:line="240" w:lineRule="auto"/>
              <w:jc w:val="both"/>
              <w:rPr>
                <w:rFonts w:hint="eastAsia" w:asciiTheme="minorEastAsia" w:hAnsiTheme="minorEastAsia" w:eastAsiaTheme="minorEastAsia" w:cstheme="minorEastAsia"/>
                <w:b/>
                <w:color w:val="auto"/>
                <w:sz w:val="18"/>
                <w:szCs w:val="18"/>
                <w:lang w:val="en-US" w:eastAsia="zh-CN"/>
              </w:rPr>
            </w:pPr>
            <w:r>
              <w:rPr>
                <w:rFonts w:hint="eastAsia" w:asciiTheme="minorEastAsia" w:hAnsiTheme="minorEastAsia" w:eastAsiaTheme="minorEastAsia" w:cstheme="minorEastAsia"/>
                <w:b/>
                <w:color w:val="auto"/>
                <w:sz w:val="18"/>
                <w:szCs w:val="18"/>
                <w:lang w:val="en-US" w:eastAsia="zh-CN"/>
              </w:rPr>
              <w:t xml:space="preserve">第二十四条 </w:t>
            </w:r>
            <w:r>
              <w:rPr>
                <w:rFonts w:hint="eastAsia" w:asciiTheme="minorEastAsia" w:hAnsiTheme="minorEastAsia" w:eastAsiaTheme="minorEastAsia" w:cstheme="minorEastAsia"/>
                <w:b/>
                <w:color w:val="auto"/>
                <w:sz w:val="18"/>
                <w:szCs w:val="18"/>
              </w:rPr>
              <w:t>当甲方</w:t>
            </w:r>
            <w:r>
              <w:rPr>
                <w:rFonts w:hint="eastAsia" w:asciiTheme="minorEastAsia" w:hAnsiTheme="minorEastAsia" w:eastAsiaTheme="minorEastAsia" w:cstheme="minorEastAsia"/>
                <w:b/>
                <w:color w:val="auto"/>
                <w:sz w:val="18"/>
                <w:szCs w:val="18"/>
                <w:lang w:val="en-US" w:eastAsia="zh-CN"/>
              </w:rPr>
              <w:t>信用账户仅计算现金及信用证券账户内证券市值总和的维持担保比例超过300%时，客户可以提取保证金可用余额中的现金、充抵保证金的证券，但不能提取融资买入尚未了结融资合约部分的证券，且提取后仅计算现金及信用证券账户内证券市值总和的维持担保比例不得低于300%。</w:t>
            </w:r>
          </w:p>
          <w:p>
            <w:pPr>
              <w:numPr>
                <w:ilvl w:val="0"/>
                <w:numId w:val="0"/>
              </w:numPr>
              <w:spacing w:line="240" w:lineRule="auto"/>
              <w:ind w:firstLine="361" w:firstLineChars="200"/>
              <w:jc w:val="both"/>
              <w:rPr>
                <w:rFonts w:hint="eastAsia" w:asciiTheme="minorEastAsia" w:hAnsiTheme="minorEastAsia" w:eastAsiaTheme="minorEastAsia" w:cstheme="minorEastAsia"/>
                <w:b/>
                <w:color w:val="auto"/>
                <w:sz w:val="18"/>
                <w:szCs w:val="18"/>
                <w:lang w:val="en-US" w:eastAsia="zh-CN"/>
              </w:rPr>
            </w:pPr>
            <w:r>
              <w:rPr>
                <w:rFonts w:hint="eastAsia" w:asciiTheme="minorEastAsia" w:hAnsiTheme="minorEastAsia" w:eastAsiaTheme="minorEastAsia" w:cstheme="minorEastAsia"/>
                <w:b/>
                <w:color w:val="auto"/>
                <w:sz w:val="18"/>
                <w:szCs w:val="18"/>
                <w:lang w:val="en-US" w:eastAsia="zh-CN"/>
              </w:rPr>
              <w:t>为风险管理需要，乙方有权对甲方提取担保物后甲方所持</w:t>
            </w:r>
            <w:r>
              <w:rPr>
                <w:rFonts w:hint="eastAsia" w:asciiTheme="minorEastAsia" w:hAnsiTheme="minorEastAsia" w:eastAsiaTheme="minorEastAsia" w:cstheme="minorEastAsia"/>
                <w:b/>
                <w:color w:val="auto"/>
                <w:sz w:val="18"/>
                <w:szCs w:val="18"/>
              </w:rPr>
              <w:t>单一证券市值占其信用账户总资产的比例</w:t>
            </w:r>
            <w:r>
              <w:rPr>
                <w:rFonts w:hint="eastAsia" w:asciiTheme="minorEastAsia" w:hAnsiTheme="minorEastAsia" w:eastAsiaTheme="minorEastAsia" w:cstheme="minorEastAsia"/>
                <w:b/>
                <w:color w:val="auto"/>
                <w:sz w:val="18"/>
                <w:szCs w:val="18"/>
                <w:lang w:val="en-US" w:eastAsia="zh-CN"/>
              </w:rPr>
              <w:t>进行设置和调整，该比例具体以乙方网站公告为准。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noWrap w:val="0"/>
            <w:vAlign w:val="top"/>
          </w:tcPr>
          <w:p>
            <w:pPr>
              <w:pStyle w:val="2"/>
              <w:numPr>
                <w:ilvl w:val="0"/>
                <w:numId w:val="0"/>
              </w:numPr>
              <w:spacing w:before="0" w:after="0" w:line="240" w:lineRule="auto"/>
              <w:jc w:val="center"/>
              <w:rPr>
                <w:rFonts w:hint="eastAsia" w:asciiTheme="minorEastAsia" w:hAnsiTheme="minorEastAsia" w:eastAsiaTheme="minorEastAsia" w:cstheme="minorEastAsia"/>
                <w:b/>
                <w:color w:val="auto"/>
                <w:sz w:val="18"/>
                <w:szCs w:val="18"/>
              </w:rPr>
            </w:pPr>
            <w:r>
              <w:rPr>
                <w:rFonts w:hint="eastAsia" w:asciiTheme="minorEastAsia" w:hAnsiTheme="minorEastAsia" w:eastAsiaTheme="minorEastAsia" w:cstheme="minorEastAsia"/>
                <w:b/>
                <w:bCs/>
                <w:color w:val="auto"/>
                <w:kern w:val="2"/>
                <w:sz w:val="18"/>
                <w:szCs w:val="18"/>
                <w:vertAlign w:val="baseline"/>
                <w:lang w:val="en-US" w:eastAsia="zh-CN" w:bidi="ar-SA"/>
              </w:rPr>
              <w:t>第七章 业务操作环节</w:t>
            </w:r>
          </w:p>
        </w:tc>
        <w:tc>
          <w:tcPr>
            <w:tcW w:w="2500" w:type="pct"/>
            <w:noWrap w:val="0"/>
            <w:vAlign w:val="top"/>
          </w:tcPr>
          <w:p>
            <w:pPr>
              <w:numPr>
                <w:ilvl w:val="0"/>
                <w:numId w:val="0"/>
              </w:numPr>
              <w:spacing w:line="240" w:lineRule="auto"/>
              <w:jc w:val="center"/>
              <w:rPr>
                <w:rFonts w:hint="eastAsia" w:asciiTheme="minorEastAsia" w:hAnsiTheme="minorEastAsia" w:eastAsiaTheme="minorEastAsia" w:cstheme="minorEastAsia"/>
                <w:b/>
                <w:color w:val="auto"/>
                <w:sz w:val="18"/>
                <w:szCs w:val="18"/>
              </w:rPr>
            </w:pPr>
            <w:r>
              <w:rPr>
                <w:rFonts w:hint="eastAsia" w:asciiTheme="minorEastAsia" w:hAnsiTheme="minorEastAsia" w:eastAsiaTheme="minorEastAsia" w:cstheme="minorEastAsia"/>
                <w:b/>
                <w:bCs/>
                <w:color w:val="auto"/>
                <w:kern w:val="2"/>
                <w:sz w:val="18"/>
                <w:szCs w:val="18"/>
                <w:vertAlign w:val="baseline"/>
                <w:lang w:val="en-US" w:eastAsia="zh-CN" w:bidi="ar-SA"/>
              </w:rPr>
              <w:t>第七章 业务操作环节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noWrap w:val="0"/>
            <w:vAlign w:val="top"/>
          </w:tcPr>
          <w:p>
            <w:pPr>
              <w:numPr>
                <w:ilvl w:val="0"/>
                <w:numId w:val="0"/>
              </w:numPr>
              <w:spacing w:line="240" w:lineRule="auto"/>
              <w:jc w:val="both"/>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b/>
                <w:bCs/>
                <w:color w:val="auto"/>
                <w:sz w:val="18"/>
                <w:szCs w:val="18"/>
                <w:lang w:val="en-US" w:eastAsia="zh-CN"/>
              </w:rPr>
              <w:t>第二十五条</w:t>
            </w:r>
            <w:r>
              <w:rPr>
                <w:rFonts w:hint="eastAsia" w:asciiTheme="minorEastAsia" w:hAnsiTheme="minorEastAsia" w:eastAsiaTheme="minorEastAsia" w:cstheme="minorEastAsia"/>
                <w:color w:val="auto"/>
                <w:sz w:val="18"/>
                <w:szCs w:val="18"/>
                <w:lang w:val="en-US" w:eastAsia="zh-CN"/>
              </w:rPr>
              <w:t>（一）</w:t>
            </w:r>
            <w:r>
              <w:rPr>
                <w:rFonts w:hint="eastAsia" w:asciiTheme="minorEastAsia" w:hAnsiTheme="minorEastAsia" w:eastAsiaTheme="minorEastAsia" w:cstheme="minorEastAsia"/>
                <w:color w:val="auto"/>
                <w:sz w:val="18"/>
                <w:szCs w:val="18"/>
              </w:rPr>
              <w:t>甲方经乙方批准获取在授信期内可循环使用的融资融券授信额度。授信额度包括融资授信额度、融券授信额度和融资融券授信总额度，甲方任何时点融资、融券金额不得超过其融资、融券授信额度，融资、融券总金额不得超过其融资融券授信总额度；由于乙方融资、融券规模和融资、融券专用资金账户可用余额的限制，乙方不保证甲方可随时全部使用获批的授信额度。</w:t>
            </w:r>
          </w:p>
          <w:p>
            <w:pPr>
              <w:numPr>
                <w:ilvl w:val="0"/>
                <w:numId w:val="0"/>
              </w:numPr>
              <w:spacing w:line="240" w:lineRule="auto"/>
              <w:jc w:val="both"/>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b w:val="0"/>
                <w:bCs/>
                <w:color w:val="auto"/>
                <w:sz w:val="18"/>
                <w:szCs w:val="18"/>
                <w:lang w:eastAsia="zh-CN"/>
              </w:rPr>
              <w:t>（</w:t>
            </w:r>
            <w:r>
              <w:rPr>
                <w:rFonts w:hint="eastAsia" w:asciiTheme="minorEastAsia" w:hAnsiTheme="minorEastAsia" w:eastAsiaTheme="minorEastAsia" w:cstheme="minorEastAsia"/>
                <w:b w:val="0"/>
                <w:bCs/>
                <w:color w:val="auto"/>
                <w:sz w:val="18"/>
                <w:szCs w:val="18"/>
                <w:lang w:val="en-US" w:eastAsia="zh-CN"/>
              </w:rPr>
              <w:t>四</w:t>
            </w:r>
            <w:r>
              <w:rPr>
                <w:rFonts w:hint="eastAsia" w:asciiTheme="minorEastAsia" w:hAnsiTheme="minorEastAsia" w:eastAsiaTheme="minorEastAsia" w:cstheme="minorEastAsia"/>
                <w:b w:val="0"/>
                <w:bCs/>
                <w:color w:val="auto"/>
                <w:sz w:val="18"/>
                <w:szCs w:val="18"/>
                <w:lang w:eastAsia="zh-CN"/>
              </w:rPr>
              <w:t>）</w:t>
            </w:r>
            <w:r>
              <w:rPr>
                <w:rFonts w:hint="eastAsia" w:asciiTheme="minorEastAsia" w:hAnsiTheme="minorEastAsia" w:eastAsiaTheme="minorEastAsia" w:cstheme="minorEastAsia"/>
                <w:b/>
                <w:color w:val="auto"/>
                <w:sz w:val="18"/>
                <w:szCs w:val="18"/>
              </w:rPr>
              <w:t>乙方有权根据甲方履约情况、市场变化、财务状况、资信状况等因素对甲方重新进行信用评级，根据评级结果调减或取消甲方的授信额度</w:t>
            </w:r>
            <w:r>
              <w:rPr>
                <w:rFonts w:hint="eastAsia" w:asciiTheme="minorEastAsia" w:hAnsiTheme="minorEastAsia" w:eastAsiaTheme="minorEastAsia" w:cstheme="minorEastAsia"/>
                <w:color w:val="auto"/>
                <w:sz w:val="18"/>
                <w:szCs w:val="18"/>
              </w:rPr>
              <w:t>，调整后的授信额度以乙方交易系统的记录为准；调减或取消授信额度前已经发生的融资融券交易仍然有效；</w:t>
            </w:r>
          </w:p>
          <w:p>
            <w:pPr>
              <w:numPr>
                <w:ilvl w:val="0"/>
                <w:numId w:val="0"/>
              </w:numPr>
              <w:spacing w:line="240" w:lineRule="auto"/>
              <w:jc w:val="both"/>
              <w:rPr>
                <w:rFonts w:hint="eastAsia" w:asciiTheme="minorEastAsia" w:hAnsiTheme="minorEastAsia" w:eastAsiaTheme="minorEastAsia" w:cstheme="minorEastAsia"/>
                <w:color w:val="auto"/>
                <w:sz w:val="18"/>
                <w:szCs w:val="18"/>
                <w:lang w:eastAsia="zh-CN"/>
              </w:rPr>
            </w:pPr>
          </w:p>
          <w:p>
            <w:pPr>
              <w:numPr>
                <w:ilvl w:val="0"/>
                <w:numId w:val="0"/>
              </w:numPr>
              <w:spacing w:line="240" w:lineRule="auto"/>
              <w:jc w:val="both"/>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lang w:eastAsia="zh-CN"/>
              </w:rPr>
              <w:t>（</w:t>
            </w:r>
            <w:r>
              <w:rPr>
                <w:rFonts w:hint="eastAsia" w:asciiTheme="minorEastAsia" w:hAnsiTheme="minorEastAsia" w:eastAsiaTheme="minorEastAsia" w:cstheme="minorEastAsia"/>
                <w:color w:val="auto"/>
                <w:sz w:val="18"/>
                <w:szCs w:val="18"/>
                <w:lang w:val="en-US" w:eastAsia="zh-CN"/>
              </w:rPr>
              <w:t>五</w:t>
            </w:r>
            <w:r>
              <w:rPr>
                <w:rFonts w:hint="eastAsia" w:asciiTheme="minorEastAsia" w:hAnsiTheme="minorEastAsia" w:eastAsiaTheme="minorEastAsia" w:cstheme="minorEastAsia"/>
                <w:color w:val="auto"/>
                <w:sz w:val="18"/>
                <w:szCs w:val="18"/>
                <w:lang w:eastAsia="zh-CN"/>
              </w:rPr>
              <w:t>）</w:t>
            </w:r>
            <w:r>
              <w:rPr>
                <w:rFonts w:hint="eastAsia" w:asciiTheme="minorEastAsia" w:hAnsiTheme="minorEastAsia" w:eastAsiaTheme="minorEastAsia" w:cstheme="minorEastAsia"/>
                <w:color w:val="auto"/>
                <w:sz w:val="18"/>
                <w:szCs w:val="18"/>
              </w:rPr>
              <w:t>授信期内，甲方可在其授信额度内进行融资融券交易，甲方单笔可融资、融券交易金额以甲方可用融资、融券授信额度和根据标的证券保证金比例、保证金可用余额计算的甲方可融资、融券交易限额孰低原则确定；</w:t>
            </w:r>
          </w:p>
          <w:p>
            <w:pPr>
              <w:numPr>
                <w:ilvl w:val="0"/>
                <w:numId w:val="0"/>
              </w:numPr>
              <w:spacing w:line="240" w:lineRule="auto"/>
              <w:jc w:val="both"/>
              <w:rPr>
                <w:rFonts w:hint="eastAsia" w:asciiTheme="minorEastAsia" w:hAnsiTheme="minorEastAsia" w:eastAsiaTheme="minorEastAsia" w:cstheme="minorEastAsia"/>
                <w:color w:val="auto"/>
                <w:sz w:val="18"/>
                <w:szCs w:val="18"/>
                <w:lang w:eastAsia="zh-CN"/>
              </w:rPr>
            </w:pPr>
          </w:p>
          <w:p>
            <w:pPr>
              <w:numPr>
                <w:ilvl w:val="0"/>
                <w:numId w:val="0"/>
              </w:numPr>
              <w:spacing w:line="240" w:lineRule="auto"/>
              <w:jc w:val="both"/>
              <w:rPr>
                <w:rFonts w:hint="eastAsia" w:asciiTheme="minorEastAsia" w:hAnsiTheme="minorEastAsia" w:eastAsiaTheme="minorEastAsia" w:cstheme="minorEastAsia"/>
                <w:color w:val="auto"/>
                <w:sz w:val="18"/>
                <w:szCs w:val="18"/>
                <w:lang w:eastAsia="zh-CN"/>
              </w:rPr>
            </w:pPr>
          </w:p>
          <w:p>
            <w:pPr>
              <w:numPr>
                <w:ilvl w:val="0"/>
                <w:numId w:val="0"/>
              </w:numPr>
              <w:spacing w:line="240" w:lineRule="auto"/>
              <w:jc w:val="both"/>
              <w:rPr>
                <w:rFonts w:hint="eastAsia" w:asciiTheme="minorEastAsia" w:hAnsiTheme="minorEastAsia" w:eastAsiaTheme="minorEastAsia" w:cstheme="minorEastAsia"/>
                <w:b/>
                <w:color w:val="auto"/>
                <w:sz w:val="18"/>
                <w:szCs w:val="18"/>
              </w:rPr>
            </w:pPr>
            <w:r>
              <w:rPr>
                <w:rFonts w:hint="eastAsia" w:asciiTheme="minorEastAsia" w:hAnsiTheme="minorEastAsia" w:eastAsiaTheme="minorEastAsia" w:cstheme="minorEastAsia"/>
                <w:color w:val="auto"/>
                <w:sz w:val="18"/>
                <w:szCs w:val="18"/>
                <w:lang w:eastAsia="zh-CN"/>
              </w:rPr>
              <w:t>（</w:t>
            </w:r>
            <w:r>
              <w:rPr>
                <w:rFonts w:hint="eastAsia" w:asciiTheme="minorEastAsia" w:hAnsiTheme="minorEastAsia" w:eastAsiaTheme="minorEastAsia" w:cstheme="minorEastAsia"/>
                <w:color w:val="auto"/>
                <w:sz w:val="18"/>
                <w:szCs w:val="18"/>
                <w:lang w:val="en-US" w:eastAsia="zh-CN"/>
              </w:rPr>
              <w:t>七</w:t>
            </w:r>
            <w:r>
              <w:rPr>
                <w:rFonts w:hint="eastAsia" w:asciiTheme="minorEastAsia" w:hAnsiTheme="minorEastAsia" w:eastAsiaTheme="minorEastAsia" w:cstheme="minorEastAsia"/>
                <w:color w:val="auto"/>
                <w:sz w:val="18"/>
                <w:szCs w:val="18"/>
                <w:lang w:eastAsia="zh-CN"/>
              </w:rPr>
              <w:t>）</w:t>
            </w:r>
            <w:r>
              <w:rPr>
                <w:rFonts w:hint="eastAsia" w:asciiTheme="minorEastAsia" w:hAnsiTheme="minorEastAsia" w:eastAsiaTheme="minorEastAsia" w:cstheme="minorEastAsia"/>
                <w:b/>
                <w:color w:val="auto"/>
                <w:sz w:val="18"/>
                <w:szCs w:val="18"/>
              </w:rPr>
              <w:t>乙方将通过官方网站、乙方APP、乙方PC交易客户端、交易系统或营业场所中的任意一种方式公告甲方卖券还款、买券还券的相关业务规则，乙方采取上述任何一种方式公告，则视同乙方已经履行该等公告义务。以前述任何一种方式公告的，公告发布之日视为已经通知送达，并即时生效。</w:t>
            </w:r>
          </w:p>
          <w:p>
            <w:pPr>
              <w:numPr>
                <w:ilvl w:val="0"/>
                <w:numId w:val="0"/>
              </w:numPr>
              <w:spacing w:line="240" w:lineRule="auto"/>
              <w:jc w:val="both"/>
              <w:rPr>
                <w:rFonts w:hint="eastAsia" w:asciiTheme="minorEastAsia" w:hAnsiTheme="minorEastAsia" w:eastAsiaTheme="minorEastAsia" w:cstheme="minorEastAsia"/>
                <w:b/>
                <w:color w:val="auto"/>
                <w:sz w:val="18"/>
                <w:szCs w:val="18"/>
                <w:lang w:eastAsia="zh-CN"/>
              </w:rPr>
            </w:pPr>
          </w:p>
          <w:p>
            <w:pPr>
              <w:numPr>
                <w:ilvl w:val="0"/>
                <w:numId w:val="0"/>
              </w:numPr>
              <w:spacing w:line="240" w:lineRule="auto"/>
              <w:jc w:val="both"/>
              <w:rPr>
                <w:rFonts w:hint="eastAsia" w:asciiTheme="minorEastAsia" w:hAnsiTheme="minorEastAsia" w:eastAsiaTheme="minorEastAsia" w:cstheme="minorEastAsia"/>
                <w:b/>
                <w:color w:val="auto"/>
                <w:sz w:val="18"/>
                <w:szCs w:val="18"/>
              </w:rPr>
            </w:pPr>
            <w:r>
              <w:rPr>
                <w:rFonts w:hint="eastAsia" w:asciiTheme="minorEastAsia" w:hAnsiTheme="minorEastAsia" w:eastAsiaTheme="minorEastAsia" w:cstheme="minorEastAsia"/>
                <w:b w:val="0"/>
                <w:bCs/>
                <w:color w:val="auto"/>
                <w:sz w:val="18"/>
                <w:szCs w:val="18"/>
                <w:lang w:eastAsia="zh-CN"/>
              </w:rPr>
              <w:t>（</w:t>
            </w:r>
            <w:r>
              <w:rPr>
                <w:rFonts w:hint="eastAsia" w:asciiTheme="minorEastAsia" w:hAnsiTheme="minorEastAsia" w:eastAsiaTheme="minorEastAsia" w:cstheme="minorEastAsia"/>
                <w:b w:val="0"/>
                <w:bCs/>
                <w:color w:val="auto"/>
                <w:sz w:val="18"/>
                <w:szCs w:val="18"/>
                <w:lang w:val="en-US" w:eastAsia="zh-CN"/>
              </w:rPr>
              <w:t>八</w:t>
            </w:r>
            <w:r>
              <w:rPr>
                <w:rFonts w:hint="eastAsia" w:asciiTheme="minorEastAsia" w:hAnsiTheme="minorEastAsia" w:eastAsiaTheme="minorEastAsia" w:cstheme="minorEastAsia"/>
                <w:b w:val="0"/>
                <w:bCs/>
                <w:color w:val="auto"/>
                <w:sz w:val="18"/>
                <w:szCs w:val="18"/>
                <w:lang w:eastAsia="zh-CN"/>
              </w:rPr>
              <w:t>）</w:t>
            </w:r>
            <w:r>
              <w:rPr>
                <w:rFonts w:hint="eastAsia" w:asciiTheme="minorEastAsia" w:hAnsiTheme="minorEastAsia" w:eastAsiaTheme="minorEastAsia" w:cstheme="minorEastAsia"/>
                <w:b/>
                <w:color w:val="auto"/>
                <w:sz w:val="18"/>
                <w:szCs w:val="18"/>
              </w:rPr>
              <w:t>甲方申请开通科创板、创业板等板块证券融资融券交易权限的，应当遵守法律、行政法规、规章、规范性文件、证券交易所或证券登记结算机构有关板块的特别规定，并应遵守乙方关于特定板块的内部业务规则，甲方承诺将密切关注乙方就特定板块证券融资融券交易发布的相关公告及通知。</w:t>
            </w:r>
          </w:p>
          <w:p>
            <w:pPr>
              <w:numPr>
                <w:ilvl w:val="0"/>
                <w:numId w:val="0"/>
              </w:numPr>
              <w:spacing w:line="240" w:lineRule="auto"/>
              <w:jc w:val="both"/>
              <w:rPr>
                <w:rFonts w:hint="eastAsia" w:asciiTheme="minorEastAsia" w:hAnsiTheme="minorEastAsia" w:eastAsiaTheme="minorEastAsia" w:cstheme="minorEastAsia"/>
                <w:color w:val="auto"/>
                <w:sz w:val="18"/>
                <w:szCs w:val="18"/>
                <w:lang w:val="en-US" w:eastAsia="zh-CN"/>
              </w:rPr>
            </w:pPr>
          </w:p>
        </w:tc>
        <w:tc>
          <w:tcPr>
            <w:tcW w:w="2500" w:type="pct"/>
            <w:noWrap w:val="0"/>
            <w:vAlign w:val="top"/>
          </w:tcPr>
          <w:p>
            <w:pPr>
              <w:numPr>
                <w:ilvl w:val="0"/>
                <w:numId w:val="0"/>
              </w:numPr>
              <w:spacing w:line="240" w:lineRule="auto"/>
              <w:jc w:val="both"/>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b/>
                <w:bCs/>
                <w:color w:val="auto"/>
                <w:sz w:val="18"/>
                <w:szCs w:val="18"/>
                <w:lang w:val="en-US" w:eastAsia="zh-CN"/>
              </w:rPr>
              <w:t>第二十五条</w:t>
            </w:r>
            <w:r>
              <w:rPr>
                <w:rFonts w:hint="eastAsia" w:asciiTheme="minorEastAsia" w:hAnsiTheme="minorEastAsia" w:eastAsiaTheme="minorEastAsia" w:cstheme="minorEastAsia"/>
                <w:color w:val="auto"/>
                <w:sz w:val="18"/>
                <w:szCs w:val="18"/>
                <w:lang w:val="en-US" w:eastAsia="zh-CN"/>
              </w:rPr>
              <w:t>（一）</w:t>
            </w:r>
            <w:r>
              <w:rPr>
                <w:rFonts w:hint="eastAsia" w:asciiTheme="minorEastAsia" w:hAnsiTheme="minorEastAsia" w:eastAsiaTheme="minorEastAsia" w:cstheme="minorEastAsia"/>
                <w:color w:val="auto"/>
                <w:sz w:val="18"/>
                <w:szCs w:val="18"/>
              </w:rPr>
              <w:t>甲方经乙方批准获取在授信期内可循环使用的融资融券授信额度。授信额度包括融资授信额度、融券授信额度和融资融券授信总额度，甲方任何时点融资、融券金额不得超过其融资、融券授信额度，融资、融券总金额不得超过其融资融券授信总额度；由于乙方融资、融券规模和融资、融券专用资金账户可用余额的限制</w:t>
            </w:r>
            <w:r>
              <w:rPr>
                <w:rFonts w:hint="eastAsia" w:asciiTheme="minorEastAsia" w:hAnsiTheme="minorEastAsia" w:eastAsiaTheme="minorEastAsia" w:cstheme="minorEastAsia"/>
                <w:color w:val="auto"/>
                <w:sz w:val="18"/>
                <w:szCs w:val="18"/>
                <w:lang w:val="en-US" w:eastAsia="zh-CN"/>
              </w:rPr>
              <w:t>及市场影响</w:t>
            </w:r>
            <w:r>
              <w:rPr>
                <w:rFonts w:hint="eastAsia" w:asciiTheme="minorEastAsia" w:hAnsiTheme="minorEastAsia" w:eastAsiaTheme="minorEastAsia" w:cstheme="minorEastAsia"/>
                <w:color w:val="auto"/>
                <w:sz w:val="18"/>
                <w:szCs w:val="18"/>
              </w:rPr>
              <w:t>，乙方不保证甲方可随时全部使用获批的授信额度。</w:t>
            </w:r>
          </w:p>
          <w:p>
            <w:pPr>
              <w:numPr>
                <w:ilvl w:val="0"/>
                <w:numId w:val="0"/>
              </w:numPr>
              <w:spacing w:line="240" w:lineRule="auto"/>
              <w:jc w:val="both"/>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b w:val="0"/>
                <w:bCs/>
                <w:color w:val="auto"/>
                <w:sz w:val="18"/>
                <w:szCs w:val="18"/>
                <w:lang w:eastAsia="zh-CN"/>
              </w:rPr>
              <w:t>（</w:t>
            </w:r>
            <w:r>
              <w:rPr>
                <w:rFonts w:hint="eastAsia" w:asciiTheme="minorEastAsia" w:hAnsiTheme="minorEastAsia" w:eastAsiaTheme="minorEastAsia" w:cstheme="minorEastAsia"/>
                <w:b w:val="0"/>
                <w:bCs/>
                <w:color w:val="auto"/>
                <w:sz w:val="18"/>
                <w:szCs w:val="18"/>
                <w:lang w:val="en-US" w:eastAsia="zh-CN"/>
              </w:rPr>
              <w:t>四</w:t>
            </w:r>
            <w:r>
              <w:rPr>
                <w:rFonts w:hint="eastAsia" w:asciiTheme="minorEastAsia" w:hAnsiTheme="minorEastAsia" w:eastAsiaTheme="minorEastAsia" w:cstheme="minorEastAsia"/>
                <w:b w:val="0"/>
                <w:bCs/>
                <w:color w:val="auto"/>
                <w:sz w:val="18"/>
                <w:szCs w:val="18"/>
                <w:lang w:eastAsia="zh-CN"/>
              </w:rPr>
              <w:t>）</w:t>
            </w:r>
            <w:r>
              <w:rPr>
                <w:rFonts w:hint="eastAsia" w:asciiTheme="minorEastAsia" w:hAnsiTheme="minorEastAsia" w:eastAsiaTheme="minorEastAsia" w:cstheme="minorEastAsia"/>
                <w:b/>
                <w:color w:val="auto"/>
                <w:sz w:val="18"/>
                <w:szCs w:val="18"/>
              </w:rPr>
              <w:t>乙方有权根据甲方</w:t>
            </w:r>
            <w:r>
              <w:rPr>
                <w:rFonts w:hint="eastAsia" w:asciiTheme="minorEastAsia" w:hAnsiTheme="minorEastAsia" w:eastAsiaTheme="minorEastAsia" w:cstheme="minorEastAsia"/>
                <w:b/>
                <w:color w:val="auto"/>
                <w:sz w:val="18"/>
                <w:szCs w:val="18"/>
                <w:lang w:val="en-US" w:eastAsia="zh-CN"/>
              </w:rPr>
              <w:t>基本情况、账户情况、</w:t>
            </w:r>
            <w:r>
              <w:rPr>
                <w:rFonts w:hint="eastAsia" w:asciiTheme="minorEastAsia" w:hAnsiTheme="minorEastAsia" w:eastAsiaTheme="minorEastAsia" w:cstheme="minorEastAsia"/>
                <w:b/>
                <w:color w:val="auto"/>
                <w:sz w:val="18"/>
                <w:szCs w:val="18"/>
              </w:rPr>
              <w:t>操作情况</w:t>
            </w:r>
            <w:r>
              <w:rPr>
                <w:rFonts w:hint="eastAsia" w:asciiTheme="minorEastAsia" w:hAnsiTheme="minorEastAsia" w:eastAsiaTheme="minorEastAsia" w:cstheme="minorEastAsia"/>
                <w:b/>
                <w:color w:val="auto"/>
                <w:sz w:val="18"/>
                <w:szCs w:val="18"/>
                <w:lang w:eastAsia="zh-CN"/>
              </w:rPr>
              <w:t>、</w:t>
            </w:r>
            <w:r>
              <w:rPr>
                <w:rFonts w:hint="eastAsia" w:asciiTheme="minorEastAsia" w:hAnsiTheme="minorEastAsia" w:eastAsiaTheme="minorEastAsia" w:cstheme="minorEastAsia"/>
                <w:b/>
                <w:color w:val="auto"/>
                <w:sz w:val="18"/>
                <w:szCs w:val="18"/>
              </w:rPr>
              <w:t>履约情况、市场变化、财务状况、资信状况</w:t>
            </w:r>
            <w:r>
              <w:rPr>
                <w:rFonts w:hint="eastAsia" w:asciiTheme="minorEastAsia" w:hAnsiTheme="minorEastAsia" w:eastAsiaTheme="minorEastAsia" w:cstheme="minorEastAsia"/>
                <w:b/>
                <w:color w:val="auto"/>
                <w:sz w:val="18"/>
                <w:szCs w:val="18"/>
                <w:lang w:eastAsia="zh-CN"/>
              </w:rPr>
              <w:t>、</w:t>
            </w:r>
            <w:r>
              <w:rPr>
                <w:rFonts w:hint="eastAsia" w:asciiTheme="minorEastAsia" w:hAnsiTheme="minorEastAsia" w:eastAsiaTheme="minorEastAsia" w:cstheme="minorEastAsia"/>
                <w:b/>
                <w:color w:val="auto"/>
                <w:sz w:val="18"/>
                <w:szCs w:val="18"/>
                <w:lang w:val="en-US" w:eastAsia="zh-CN"/>
              </w:rPr>
              <w:t>被监管部门或自律组织采取监管措施情况</w:t>
            </w:r>
            <w:r>
              <w:rPr>
                <w:rFonts w:hint="eastAsia" w:asciiTheme="minorEastAsia" w:hAnsiTheme="minorEastAsia" w:eastAsiaTheme="minorEastAsia" w:cstheme="minorEastAsia"/>
                <w:b/>
                <w:color w:val="auto"/>
                <w:sz w:val="18"/>
                <w:szCs w:val="18"/>
              </w:rPr>
              <w:t>等因素对甲方重新进行信用评级，根据评级结果调减或取消甲方的授信额度</w:t>
            </w:r>
            <w:r>
              <w:rPr>
                <w:rFonts w:hint="eastAsia" w:asciiTheme="minorEastAsia" w:hAnsiTheme="minorEastAsia" w:eastAsiaTheme="minorEastAsia" w:cstheme="minorEastAsia"/>
                <w:color w:val="auto"/>
                <w:sz w:val="18"/>
                <w:szCs w:val="18"/>
              </w:rPr>
              <w:t>，调整后的授信额度以乙方交易系统的记录为准；调减或取消授信额度前已经发生的融资融券交易仍然有效；</w:t>
            </w:r>
          </w:p>
          <w:p>
            <w:pPr>
              <w:numPr>
                <w:ilvl w:val="0"/>
                <w:numId w:val="0"/>
              </w:numPr>
              <w:spacing w:line="240" w:lineRule="auto"/>
              <w:jc w:val="both"/>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lang w:eastAsia="zh-CN"/>
              </w:rPr>
              <w:t>（</w:t>
            </w:r>
            <w:r>
              <w:rPr>
                <w:rFonts w:hint="eastAsia" w:asciiTheme="minorEastAsia" w:hAnsiTheme="minorEastAsia" w:eastAsiaTheme="minorEastAsia" w:cstheme="minorEastAsia"/>
                <w:color w:val="auto"/>
                <w:sz w:val="18"/>
                <w:szCs w:val="18"/>
                <w:lang w:val="en-US" w:eastAsia="zh-CN"/>
              </w:rPr>
              <w:t>五</w:t>
            </w:r>
            <w:r>
              <w:rPr>
                <w:rFonts w:hint="eastAsia" w:asciiTheme="minorEastAsia" w:hAnsiTheme="minorEastAsia" w:eastAsiaTheme="minorEastAsia" w:cstheme="minorEastAsia"/>
                <w:color w:val="auto"/>
                <w:sz w:val="18"/>
                <w:szCs w:val="18"/>
                <w:lang w:eastAsia="zh-CN"/>
              </w:rPr>
              <w:t>）</w:t>
            </w:r>
            <w:r>
              <w:rPr>
                <w:rFonts w:hint="eastAsia" w:asciiTheme="minorEastAsia" w:hAnsiTheme="minorEastAsia" w:eastAsiaTheme="minorEastAsia" w:cstheme="minorEastAsia"/>
                <w:color w:val="auto"/>
                <w:sz w:val="18"/>
                <w:szCs w:val="18"/>
              </w:rPr>
              <w:t>授信期内，甲方可在其授信额度内进行融资融券交易，甲方单笔可融资、融券交易金额以甲方可用融资、融券授信额度和根据标的证券保证金比例、保证金可用余额计算的甲方可融资、融券交易限额孰低原则确定；</w:t>
            </w:r>
            <w:r>
              <w:rPr>
                <w:rFonts w:hint="eastAsia" w:asciiTheme="minorEastAsia" w:hAnsiTheme="minorEastAsia" w:eastAsiaTheme="minorEastAsia" w:cstheme="minorEastAsia"/>
                <w:b/>
                <w:color w:val="auto"/>
                <w:sz w:val="18"/>
                <w:szCs w:val="18"/>
                <w:lang w:val="en-US" w:eastAsia="zh-CN"/>
              </w:rPr>
              <w:t>甲方的授信额度可在授信期内循环使用，但乙方并不保证甲方需要时即能融到资金或者证券。</w:t>
            </w:r>
          </w:p>
          <w:p>
            <w:pPr>
              <w:numPr>
                <w:ilvl w:val="0"/>
                <w:numId w:val="0"/>
              </w:numPr>
              <w:spacing w:line="240" w:lineRule="auto"/>
              <w:jc w:val="both"/>
              <w:rPr>
                <w:rFonts w:hint="eastAsia" w:asciiTheme="minorEastAsia" w:hAnsiTheme="minorEastAsia" w:eastAsiaTheme="minorEastAsia" w:cstheme="minorEastAsia"/>
                <w:b/>
                <w:color w:val="auto"/>
                <w:sz w:val="18"/>
                <w:szCs w:val="18"/>
              </w:rPr>
            </w:pPr>
            <w:r>
              <w:rPr>
                <w:rFonts w:hint="eastAsia" w:asciiTheme="minorEastAsia" w:hAnsiTheme="minorEastAsia" w:eastAsiaTheme="minorEastAsia" w:cstheme="minorEastAsia"/>
                <w:b w:val="0"/>
                <w:bCs/>
                <w:color w:val="auto"/>
                <w:sz w:val="18"/>
                <w:szCs w:val="18"/>
                <w:lang w:eastAsia="zh-CN"/>
              </w:rPr>
              <w:t>（</w:t>
            </w:r>
            <w:r>
              <w:rPr>
                <w:rFonts w:hint="eastAsia" w:asciiTheme="minorEastAsia" w:hAnsiTheme="minorEastAsia" w:eastAsiaTheme="minorEastAsia" w:cstheme="minorEastAsia"/>
                <w:b w:val="0"/>
                <w:bCs/>
                <w:color w:val="auto"/>
                <w:sz w:val="18"/>
                <w:szCs w:val="18"/>
                <w:lang w:val="en-US" w:eastAsia="zh-CN"/>
              </w:rPr>
              <w:t>七</w:t>
            </w:r>
            <w:r>
              <w:rPr>
                <w:rFonts w:hint="eastAsia" w:asciiTheme="minorEastAsia" w:hAnsiTheme="minorEastAsia" w:eastAsiaTheme="minorEastAsia" w:cstheme="minorEastAsia"/>
                <w:b w:val="0"/>
                <w:bCs/>
                <w:color w:val="auto"/>
                <w:sz w:val="18"/>
                <w:szCs w:val="18"/>
                <w:lang w:eastAsia="zh-CN"/>
              </w:rPr>
              <w:t>）</w:t>
            </w:r>
            <w:r>
              <w:rPr>
                <w:rFonts w:hint="eastAsia" w:asciiTheme="minorEastAsia" w:hAnsiTheme="minorEastAsia" w:eastAsiaTheme="minorEastAsia" w:cstheme="minorEastAsia"/>
                <w:b/>
                <w:color w:val="auto"/>
                <w:sz w:val="18"/>
                <w:szCs w:val="18"/>
              </w:rPr>
              <w:t>乙方将通过官方网站、乙方APP、乙方PC交易客户端、交易系统或营业场所中的任意一种方式公告甲方</w:t>
            </w:r>
            <w:r>
              <w:rPr>
                <w:rFonts w:hint="eastAsia" w:asciiTheme="minorEastAsia" w:hAnsiTheme="minorEastAsia" w:eastAsiaTheme="minorEastAsia" w:cstheme="minorEastAsia"/>
                <w:b/>
                <w:color w:val="auto"/>
                <w:sz w:val="18"/>
                <w:szCs w:val="18"/>
                <w:lang w:val="en-US" w:eastAsia="zh-CN"/>
              </w:rPr>
              <w:t>参与</w:t>
            </w:r>
            <w:r>
              <w:rPr>
                <w:rFonts w:hint="eastAsia" w:asciiTheme="minorEastAsia" w:hAnsiTheme="minorEastAsia" w:eastAsiaTheme="minorEastAsia" w:cstheme="minorEastAsia"/>
                <w:b/>
                <w:color w:val="auto"/>
                <w:sz w:val="18"/>
                <w:szCs w:val="18"/>
              </w:rPr>
              <w:t>融资融券</w:t>
            </w:r>
            <w:r>
              <w:rPr>
                <w:rFonts w:hint="eastAsia" w:asciiTheme="minorEastAsia" w:hAnsiTheme="minorEastAsia" w:eastAsiaTheme="minorEastAsia" w:cstheme="minorEastAsia"/>
                <w:b/>
                <w:color w:val="auto"/>
                <w:sz w:val="18"/>
                <w:szCs w:val="18"/>
                <w:lang w:val="en-US" w:eastAsia="zh-CN"/>
              </w:rPr>
              <w:t>业务</w:t>
            </w:r>
            <w:r>
              <w:rPr>
                <w:rFonts w:hint="eastAsia" w:asciiTheme="minorEastAsia" w:hAnsiTheme="minorEastAsia" w:eastAsiaTheme="minorEastAsia" w:cstheme="minorEastAsia"/>
                <w:b/>
                <w:color w:val="auto"/>
                <w:sz w:val="18"/>
                <w:szCs w:val="18"/>
              </w:rPr>
              <w:t>（包括但不限于</w:t>
            </w:r>
            <w:r>
              <w:rPr>
                <w:rFonts w:hint="eastAsia" w:asciiTheme="minorEastAsia" w:hAnsiTheme="minorEastAsia" w:eastAsiaTheme="minorEastAsia" w:cstheme="minorEastAsia"/>
                <w:b/>
                <w:color w:val="auto"/>
                <w:sz w:val="18"/>
                <w:szCs w:val="18"/>
                <w:lang w:val="en-US" w:eastAsia="zh-CN"/>
              </w:rPr>
              <w:t>卖</w:t>
            </w:r>
            <w:r>
              <w:rPr>
                <w:rFonts w:hint="eastAsia" w:asciiTheme="minorEastAsia" w:hAnsiTheme="minorEastAsia" w:eastAsiaTheme="minorEastAsia" w:cstheme="minorEastAsia"/>
                <w:b/>
                <w:color w:val="auto"/>
                <w:sz w:val="18"/>
                <w:szCs w:val="18"/>
              </w:rPr>
              <w:t>券还款、买券还券等内容）相关业务规则，乙方采取上述任何一种方式公告，则视同乙方已经履行该等公告义务。以前述任何一种方式公告的，公告发布之日视为已经通知送达，并即时生效。</w:t>
            </w:r>
          </w:p>
          <w:p>
            <w:pPr>
              <w:numPr>
                <w:ilvl w:val="0"/>
                <w:numId w:val="0"/>
              </w:numPr>
              <w:spacing w:line="240" w:lineRule="auto"/>
              <w:jc w:val="both"/>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b w:val="0"/>
                <w:bCs/>
                <w:color w:val="auto"/>
                <w:sz w:val="18"/>
                <w:szCs w:val="18"/>
                <w:lang w:eastAsia="zh-CN"/>
              </w:rPr>
              <w:t>（</w:t>
            </w:r>
            <w:r>
              <w:rPr>
                <w:rFonts w:hint="eastAsia" w:asciiTheme="minorEastAsia" w:hAnsiTheme="minorEastAsia" w:eastAsiaTheme="minorEastAsia" w:cstheme="minorEastAsia"/>
                <w:b w:val="0"/>
                <w:bCs/>
                <w:color w:val="auto"/>
                <w:sz w:val="18"/>
                <w:szCs w:val="18"/>
                <w:lang w:val="en-US" w:eastAsia="zh-CN"/>
              </w:rPr>
              <w:t>八</w:t>
            </w:r>
            <w:r>
              <w:rPr>
                <w:rFonts w:hint="eastAsia" w:asciiTheme="minorEastAsia" w:hAnsiTheme="minorEastAsia" w:eastAsiaTheme="minorEastAsia" w:cstheme="minorEastAsia"/>
                <w:b w:val="0"/>
                <w:bCs/>
                <w:color w:val="auto"/>
                <w:sz w:val="18"/>
                <w:szCs w:val="18"/>
                <w:lang w:eastAsia="zh-CN"/>
              </w:rPr>
              <w:t>）</w:t>
            </w:r>
            <w:r>
              <w:rPr>
                <w:rFonts w:hint="eastAsia" w:asciiTheme="minorEastAsia" w:hAnsiTheme="minorEastAsia" w:eastAsiaTheme="minorEastAsia" w:cstheme="minorEastAsia"/>
                <w:b/>
                <w:color w:val="auto"/>
                <w:sz w:val="18"/>
                <w:szCs w:val="18"/>
              </w:rPr>
              <w:t>甲方申请开通科创板、创业板等板块证券融资融券交易权限的，应当遵守法律、行政法规、规章、规范性文件、证券交易所或证券登记结算机构有关板块的特别规定，并应遵守乙方关于特定板块的内部业务规则及相关通知公告，甲方承诺将密切关注乙方就特定板块证券融资融券交易发布的相关公告及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noWrap w:val="0"/>
            <w:vAlign w:val="top"/>
          </w:tcPr>
          <w:p>
            <w:pPr>
              <w:pStyle w:val="6"/>
              <w:numPr>
                <w:ilvl w:val="0"/>
                <w:numId w:val="0"/>
              </w:numPr>
              <w:spacing w:line="240" w:lineRule="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bCs/>
                <w:color w:val="auto"/>
                <w:sz w:val="18"/>
                <w:szCs w:val="18"/>
                <w:lang w:val="en-US" w:eastAsia="zh-CN"/>
              </w:rPr>
              <w:t>第四十二条</w:t>
            </w:r>
            <w:r>
              <w:rPr>
                <w:rFonts w:hint="eastAsia" w:asciiTheme="minorEastAsia" w:hAnsiTheme="minorEastAsia" w:eastAsiaTheme="minorEastAsia" w:cstheme="minorEastAsia"/>
                <w:color w:val="auto"/>
                <w:sz w:val="18"/>
                <w:szCs w:val="18"/>
                <w:lang w:val="en-US" w:eastAsia="zh-CN"/>
              </w:rPr>
              <w:t xml:space="preserve"> </w:t>
            </w:r>
            <w:r>
              <w:rPr>
                <w:rFonts w:hint="eastAsia" w:asciiTheme="minorEastAsia" w:hAnsiTheme="minorEastAsia" w:eastAsiaTheme="minorEastAsia" w:cstheme="minorEastAsia"/>
                <w:sz w:val="18"/>
                <w:szCs w:val="18"/>
              </w:rPr>
              <w:t>甲方未了结相关融券交易前，融券卖出所得价款的使用应符合证券交易所和乙方的相关规则，可买券还券或偿还融资融券相关利息、费用和融券交易相关权益现金补偿，可买入或申购乙方认可的现金管理产品、货币市场基金以及其他高流动性证券。乙方将通过乙方官方网站、乙方APP、乙方PC交易客户端、交易系统或乙方营业场所中的任意一种方式公告甲方融券卖出所得价款可买入或申购的证券，甲方应随时留意乙方的公告。</w:t>
            </w:r>
          </w:p>
          <w:p>
            <w:pPr>
              <w:numPr>
                <w:ilvl w:val="0"/>
                <w:numId w:val="0"/>
              </w:numPr>
              <w:spacing w:line="240" w:lineRule="auto"/>
              <w:jc w:val="both"/>
              <w:rPr>
                <w:rFonts w:hint="eastAsia" w:asciiTheme="minorEastAsia" w:hAnsiTheme="minorEastAsia" w:eastAsiaTheme="minorEastAsia" w:cstheme="minorEastAsia"/>
                <w:color w:val="auto"/>
                <w:sz w:val="18"/>
                <w:szCs w:val="18"/>
                <w:lang w:val="en-US" w:eastAsia="zh-CN"/>
              </w:rPr>
            </w:pPr>
          </w:p>
        </w:tc>
        <w:tc>
          <w:tcPr>
            <w:tcW w:w="2500" w:type="pct"/>
            <w:noWrap w:val="0"/>
            <w:vAlign w:val="top"/>
          </w:tcPr>
          <w:p>
            <w:pPr>
              <w:pStyle w:val="6"/>
              <w:numPr>
                <w:ilvl w:val="0"/>
                <w:numId w:val="0"/>
              </w:numPr>
              <w:spacing w:line="240" w:lineRule="auto"/>
              <w:rPr>
                <w:rFonts w:hint="eastAsia" w:asciiTheme="minorEastAsia" w:hAnsiTheme="minorEastAsia" w:eastAsiaTheme="minorEastAsia" w:cstheme="minorEastAsia"/>
                <w:b/>
                <w:color w:val="auto"/>
                <w:sz w:val="18"/>
                <w:szCs w:val="18"/>
                <w:lang w:eastAsia="zh-CN"/>
              </w:rPr>
            </w:pPr>
            <w:r>
              <w:rPr>
                <w:rFonts w:hint="eastAsia" w:asciiTheme="minorEastAsia" w:hAnsiTheme="minorEastAsia" w:eastAsiaTheme="minorEastAsia" w:cstheme="minorEastAsia"/>
                <w:b/>
                <w:bCs/>
                <w:color w:val="auto"/>
                <w:sz w:val="18"/>
                <w:szCs w:val="18"/>
                <w:lang w:val="en-US" w:eastAsia="zh-CN"/>
              </w:rPr>
              <w:t>第四十二条</w:t>
            </w:r>
            <w:r>
              <w:rPr>
                <w:rFonts w:hint="eastAsia" w:asciiTheme="minorEastAsia" w:hAnsiTheme="minorEastAsia" w:eastAsiaTheme="minorEastAsia" w:cstheme="minorEastAsia"/>
                <w:color w:val="auto"/>
                <w:sz w:val="18"/>
                <w:szCs w:val="18"/>
                <w:lang w:val="en-US" w:eastAsia="zh-CN"/>
              </w:rPr>
              <w:t xml:space="preserve"> 甲方未了结相关融券交易前，融券卖出所得价款的使用应符合证券交易所和乙方的相关规则，可买券还券或偿还融资融券相关利息、费用和融券交易相关权益现金补偿，可买入或申购乙方认可的现金管理产品、货币市场基金以及其他高流动性证券。乙方将通过乙方官方网站、乙方APP、乙方PC交易客户端、交易系统或乙方营业场所中的任意一种方式公告调整甲方融券卖出所得价款可买入或申购的证券，相关公告自发布之日或公告约定生效之日起生效，甲方应随时留意乙方的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noWrap w:val="0"/>
            <w:vAlign w:val="top"/>
          </w:tcPr>
          <w:p>
            <w:pPr>
              <w:numPr>
                <w:ilvl w:val="0"/>
                <w:numId w:val="0"/>
              </w:numPr>
              <w:spacing w:line="240" w:lineRule="auto"/>
              <w:ind w:leftChars="0"/>
              <w:jc w:val="both"/>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b/>
                <w:bCs/>
                <w:color w:val="auto"/>
                <w:sz w:val="18"/>
                <w:szCs w:val="18"/>
                <w:lang w:val="en-US" w:eastAsia="zh-CN"/>
              </w:rPr>
              <w:t>第四十三条</w:t>
            </w:r>
            <w:r>
              <w:rPr>
                <w:rFonts w:hint="eastAsia" w:asciiTheme="minorEastAsia" w:hAnsiTheme="minorEastAsia" w:eastAsiaTheme="minorEastAsia" w:cstheme="minorEastAsia"/>
                <w:color w:val="auto"/>
                <w:sz w:val="18"/>
                <w:szCs w:val="18"/>
                <w:lang w:val="en-US" w:eastAsia="zh-CN"/>
              </w:rPr>
              <w:t xml:space="preserve"> </w:t>
            </w:r>
            <w:r>
              <w:rPr>
                <w:rFonts w:hint="eastAsia" w:asciiTheme="minorEastAsia" w:hAnsiTheme="minorEastAsia" w:eastAsiaTheme="minorEastAsia" w:cstheme="minorEastAsia"/>
                <w:color w:val="auto"/>
                <w:sz w:val="18"/>
                <w:szCs w:val="18"/>
              </w:rPr>
              <w:t>甲方在乙方单笔融资、融券债务的期限应符合《融资融券业务管理办法》和证券交易所及乙方规定，并且不超过本合同终止日，自甲方实际融入资金或证券之日起计算。</w:t>
            </w:r>
          </w:p>
        </w:tc>
        <w:tc>
          <w:tcPr>
            <w:tcW w:w="2500" w:type="pct"/>
            <w:noWrap w:val="0"/>
            <w:vAlign w:val="top"/>
          </w:tcPr>
          <w:p>
            <w:pPr>
              <w:numPr>
                <w:ilvl w:val="0"/>
                <w:numId w:val="0"/>
              </w:numPr>
              <w:spacing w:line="240" w:lineRule="auto"/>
              <w:ind w:leftChars="0"/>
              <w:jc w:val="both"/>
              <w:rPr>
                <w:rFonts w:hint="eastAsia" w:asciiTheme="minorEastAsia" w:hAnsiTheme="minorEastAsia" w:eastAsiaTheme="minorEastAsia" w:cstheme="minorEastAsia"/>
                <w:b/>
                <w:color w:val="auto"/>
                <w:sz w:val="18"/>
                <w:szCs w:val="18"/>
                <w:lang w:eastAsia="zh-CN"/>
              </w:rPr>
            </w:pPr>
            <w:r>
              <w:rPr>
                <w:rFonts w:hint="eastAsia" w:asciiTheme="minorEastAsia" w:hAnsiTheme="minorEastAsia" w:eastAsiaTheme="minorEastAsia" w:cstheme="minorEastAsia"/>
                <w:b/>
                <w:bCs/>
                <w:color w:val="auto"/>
                <w:sz w:val="18"/>
                <w:szCs w:val="18"/>
                <w:lang w:val="en-US" w:eastAsia="zh-CN"/>
              </w:rPr>
              <w:t>第四十三条</w:t>
            </w:r>
            <w:r>
              <w:rPr>
                <w:rFonts w:hint="eastAsia" w:asciiTheme="minorEastAsia" w:hAnsiTheme="minorEastAsia" w:eastAsiaTheme="minorEastAsia" w:cstheme="minorEastAsia"/>
                <w:color w:val="auto"/>
                <w:sz w:val="18"/>
                <w:szCs w:val="18"/>
                <w:lang w:val="en-US" w:eastAsia="zh-CN"/>
              </w:rPr>
              <w:t xml:space="preserve"> </w:t>
            </w:r>
            <w:r>
              <w:rPr>
                <w:rFonts w:hint="eastAsia" w:asciiTheme="minorEastAsia" w:hAnsiTheme="minorEastAsia" w:eastAsiaTheme="minorEastAsia" w:cstheme="minorEastAsia"/>
                <w:color w:val="auto"/>
                <w:sz w:val="18"/>
                <w:szCs w:val="18"/>
              </w:rPr>
              <w:t>甲方在乙方单笔融资、融券债务的期限应符合《融资融券业务管理办法》和证券交易所及乙方规定，</w:t>
            </w:r>
            <w:r>
              <w:rPr>
                <w:rFonts w:hint="eastAsia" w:asciiTheme="minorEastAsia" w:hAnsiTheme="minorEastAsia" w:eastAsiaTheme="minorEastAsia" w:cstheme="minorEastAsia"/>
                <w:color w:val="auto"/>
                <w:sz w:val="18"/>
                <w:szCs w:val="18"/>
                <w:lang w:val="en-US" w:eastAsia="zh-CN"/>
              </w:rPr>
              <w:t>最长不超过6个月，</w:t>
            </w:r>
            <w:r>
              <w:rPr>
                <w:rFonts w:hint="eastAsia" w:asciiTheme="minorEastAsia" w:hAnsiTheme="minorEastAsia" w:eastAsiaTheme="minorEastAsia" w:cstheme="minorEastAsia"/>
                <w:color w:val="auto"/>
                <w:sz w:val="18"/>
                <w:szCs w:val="18"/>
              </w:rPr>
              <w:t>并且不超过本合同终止日，自甲方实际融入资金或证券之日起计算。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noWrap w:val="0"/>
            <w:vAlign w:val="top"/>
          </w:tcPr>
          <w:p>
            <w:pPr>
              <w:numPr>
                <w:ilvl w:val="0"/>
                <w:numId w:val="0"/>
              </w:numPr>
              <w:spacing w:line="240" w:lineRule="auto"/>
              <w:ind w:leftChars="0"/>
              <w:jc w:val="both"/>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b/>
                <w:bCs/>
                <w:color w:val="auto"/>
                <w:sz w:val="18"/>
                <w:szCs w:val="18"/>
                <w:lang w:val="en-US" w:eastAsia="zh-CN"/>
              </w:rPr>
              <w:t>第四十六条</w:t>
            </w:r>
            <w:r>
              <w:rPr>
                <w:rFonts w:hint="eastAsia" w:asciiTheme="minorEastAsia" w:hAnsiTheme="minorEastAsia" w:eastAsiaTheme="minorEastAsia" w:cstheme="minorEastAsia"/>
                <w:color w:val="auto"/>
                <w:sz w:val="18"/>
                <w:szCs w:val="18"/>
                <w:lang w:val="en-US" w:eastAsia="zh-CN"/>
              </w:rPr>
              <w:t xml:space="preserve"> </w:t>
            </w:r>
            <w:r>
              <w:rPr>
                <w:rFonts w:hint="eastAsia" w:asciiTheme="minorEastAsia" w:hAnsiTheme="minorEastAsia" w:eastAsiaTheme="minorEastAsia" w:cstheme="minorEastAsia"/>
                <w:color w:val="auto"/>
                <w:sz w:val="18"/>
                <w:szCs w:val="18"/>
              </w:rPr>
              <w:t>融资年利率以甲方签署的融资融券交易要素表中的约定为准，本合同履行期间融资年利率发生调整的，调整日起融资利息按照调整后的利率计算，调整后的利率在乙方确定的有效期内适用。</w:t>
            </w:r>
          </w:p>
          <w:p>
            <w:pPr>
              <w:spacing w:line="240" w:lineRule="auto"/>
              <w:ind w:firstLine="354" w:firstLineChars="196"/>
              <w:jc w:val="both"/>
              <w:rPr>
                <w:rFonts w:hint="eastAsia" w:asciiTheme="minorEastAsia" w:hAnsiTheme="minorEastAsia" w:eastAsiaTheme="minorEastAsia" w:cstheme="minorEastAsia"/>
                <w:b/>
                <w:color w:val="auto"/>
                <w:sz w:val="18"/>
                <w:szCs w:val="18"/>
              </w:rPr>
            </w:pPr>
          </w:p>
          <w:p>
            <w:pPr>
              <w:spacing w:line="240" w:lineRule="auto"/>
              <w:ind w:firstLine="354" w:firstLineChars="196"/>
              <w:jc w:val="both"/>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b/>
                <w:color w:val="auto"/>
                <w:sz w:val="18"/>
                <w:szCs w:val="18"/>
              </w:rPr>
              <w:t>乙方调整融资年利率的，应通过乙方官方网站、乙方APP、乙方PC交易客户端、交易系统或乙方营业场所中的任意一种方式予以公告，甲方应随时留意乙方的相关公告，乙方采取上述任何一种方式公告，则视同乙方已经履行该等公告义务即视为甲方已知晓相关信息。</w:t>
            </w:r>
          </w:p>
          <w:p>
            <w:pPr>
              <w:spacing w:line="240" w:lineRule="auto"/>
              <w:ind w:firstLine="360" w:firstLineChars="200"/>
              <w:jc w:val="both"/>
              <w:rPr>
                <w:rFonts w:hint="eastAsia" w:asciiTheme="minorEastAsia" w:hAnsiTheme="minorEastAsia" w:eastAsiaTheme="minorEastAsia" w:cstheme="minorEastAsia"/>
                <w:color w:val="auto"/>
                <w:sz w:val="18"/>
                <w:szCs w:val="18"/>
              </w:rPr>
            </w:pPr>
          </w:p>
          <w:p>
            <w:pPr>
              <w:spacing w:line="240" w:lineRule="auto"/>
              <w:ind w:firstLine="360" w:firstLineChars="200"/>
              <w:jc w:val="both"/>
              <w:rPr>
                <w:rFonts w:hint="eastAsia" w:asciiTheme="minorEastAsia" w:hAnsiTheme="minorEastAsia" w:eastAsiaTheme="minorEastAsia" w:cstheme="minorEastAsia"/>
                <w:b/>
                <w:color w:val="auto"/>
                <w:sz w:val="18"/>
                <w:szCs w:val="18"/>
              </w:rPr>
            </w:pPr>
            <w:r>
              <w:rPr>
                <w:rFonts w:hint="eastAsia" w:asciiTheme="minorEastAsia" w:hAnsiTheme="minorEastAsia" w:eastAsiaTheme="minorEastAsia" w:cstheme="minorEastAsia"/>
                <w:color w:val="auto"/>
                <w:sz w:val="18"/>
                <w:szCs w:val="18"/>
              </w:rPr>
              <w:t>融资利息按照甲方实际使用资金的自然日天数计算，按当日融资利率每日计算，</w:t>
            </w:r>
            <w:r>
              <w:rPr>
                <w:rFonts w:hint="eastAsia" w:asciiTheme="minorEastAsia" w:hAnsiTheme="minorEastAsia" w:eastAsiaTheme="minorEastAsia" w:cstheme="minorEastAsia"/>
                <w:b/>
                <w:color w:val="auto"/>
                <w:sz w:val="18"/>
                <w:szCs w:val="18"/>
              </w:rPr>
              <w:t>每月最后一个交易日为利息扣收日。乙方未扣收到的融资利息将转成逾期负债，乙方有权按本合同第四十八条约定的罚息率计收罚息，并有权自未扣收成功之日起每个交易日持续扣收甲方应付利息及罚息。</w:t>
            </w:r>
          </w:p>
          <w:p>
            <w:pPr>
              <w:spacing w:line="240" w:lineRule="auto"/>
              <w:ind w:firstLine="360" w:firstLineChars="200"/>
              <w:jc w:val="both"/>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本合同约定融资利息的计算公式为：</w:t>
            </w:r>
          </w:p>
          <w:p>
            <w:pPr>
              <w:spacing w:line="240" w:lineRule="auto"/>
              <w:ind w:firstLine="361" w:firstLineChars="200"/>
              <w:jc w:val="both"/>
              <w:rPr>
                <w:rFonts w:hint="eastAsia" w:asciiTheme="minorEastAsia" w:hAnsiTheme="minorEastAsia" w:eastAsiaTheme="minorEastAsia" w:cstheme="minorEastAsia"/>
                <w:b/>
                <w:color w:val="auto"/>
                <w:sz w:val="18"/>
                <w:szCs w:val="18"/>
              </w:rPr>
            </w:pPr>
            <w:r>
              <w:rPr>
                <w:rFonts w:hint="eastAsia" w:asciiTheme="minorEastAsia" w:hAnsiTheme="minorEastAsia" w:eastAsiaTheme="minorEastAsia" w:cstheme="minorEastAsia"/>
                <w:b/>
                <w:color w:val="auto"/>
                <w:sz w:val="18"/>
                <w:szCs w:val="18"/>
              </w:rPr>
              <w:t>融资利息＝∑（每日融资负债余额×融资年利率/360），每日融资负债余额=∑每日融资合约负债余额。</w:t>
            </w:r>
          </w:p>
          <w:p>
            <w:pPr>
              <w:numPr>
                <w:ilvl w:val="0"/>
                <w:numId w:val="0"/>
              </w:numPr>
              <w:spacing w:line="240" w:lineRule="auto"/>
              <w:jc w:val="both"/>
              <w:rPr>
                <w:rFonts w:hint="eastAsia" w:asciiTheme="minorEastAsia" w:hAnsiTheme="minorEastAsia" w:eastAsiaTheme="minorEastAsia" w:cstheme="minorEastAsia"/>
                <w:color w:val="auto"/>
                <w:sz w:val="18"/>
                <w:szCs w:val="18"/>
                <w:lang w:val="en-US" w:eastAsia="zh-CN"/>
              </w:rPr>
            </w:pPr>
          </w:p>
        </w:tc>
        <w:tc>
          <w:tcPr>
            <w:tcW w:w="2500" w:type="pct"/>
            <w:noWrap w:val="0"/>
            <w:vAlign w:val="top"/>
          </w:tcPr>
          <w:p>
            <w:pPr>
              <w:numPr>
                <w:ilvl w:val="0"/>
                <w:numId w:val="0"/>
              </w:numPr>
              <w:spacing w:line="240" w:lineRule="auto"/>
              <w:ind w:leftChars="0"/>
              <w:jc w:val="both"/>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b/>
                <w:bCs/>
                <w:color w:val="auto"/>
                <w:sz w:val="18"/>
                <w:szCs w:val="18"/>
                <w:lang w:val="en-US" w:eastAsia="zh-CN"/>
              </w:rPr>
              <w:t>第四十六条</w:t>
            </w:r>
            <w:r>
              <w:rPr>
                <w:rFonts w:hint="eastAsia" w:asciiTheme="minorEastAsia" w:hAnsiTheme="minorEastAsia" w:eastAsiaTheme="minorEastAsia" w:cstheme="minorEastAsia"/>
                <w:color w:val="auto"/>
                <w:sz w:val="18"/>
                <w:szCs w:val="18"/>
                <w:lang w:val="en-US" w:eastAsia="zh-CN"/>
              </w:rPr>
              <w:t xml:space="preserve"> </w:t>
            </w:r>
            <w:r>
              <w:rPr>
                <w:rFonts w:hint="eastAsia" w:asciiTheme="minorEastAsia" w:hAnsiTheme="minorEastAsia" w:eastAsiaTheme="minorEastAsia" w:cstheme="minorEastAsia"/>
                <w:color w:val="auto"/>
                <w:sz w:val="18"/>
                <w:szCs w:val="18"/>
              </w:rPr>
              <w:t>融资年利率以甲方签署的融资融券交易要素表中的约定为准，融资利率不低于中国人民银行规定的同期金融机构贷款基准利率</w:t>
            </w:r>
            <w:r>
              <w:rPr>
                <w:rFonts w:hint="eastAsia" w:asciiTheme="minorEastAsia" w:hAnsiTheme="minorEastAsia" w:eastAsiaTheme="minorEastAsia" w:cstheme="minorEastAsia"/>
                <w:color w:val="auto"/>
                <w:sz w:val="18"/>
                <w:szCs w:val="18"/>
                <w:lang w:eastAsia="zh-CN"/>
              </w:rPr>
              <w:t>。</w:t>
            </w:r>
            <w:r>
              <w:rPr>
                <w:rFonts w:hint="eastAsia" w:asciiTheme="minorEastAsia" w:hAnsiTheme="minorEastAsia" w:eastAsiaTheme="minorEastAsia" w:cstheme="minorEastAsia"/>
                <w:color w:val="auto"/>
                <w:sz w:val="18"/>
                <w:szCs w:val="18"/>
              </w:rPr>
              <w:t>本合同履行期间融资年利率发生调整的，调整日起融资利息按照调整后的利率计算，调整后的利率在乙方确定的有效期内适用。</w:t>
            </w:r>
          </w:p>
          <w:p>
            <w:pPr>
              <w:spacing w:line="240" w:lineRule="auto"/>
              <w:ind w:firstLine="354" w:firstLineChars="196"/>
              <w:jc w:val="both"/>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b/>
                <w:color w:val="auto"/>
                <w:sz w:val="18"/>
                <w:szCs w:val="18"/>
              </w:rPr>
              <w:t>乙方调整融资年利率的，应通过乙方官方网站、乙方APP、乙方PC交易客户端、交易系统或乙方营业场所中的任意一种方式予以公告，甲方应随时留意乙方的相关公告，乙方采取上述任何一种方式公告，则视同乙方已经履行该等公告义务即视为甲方已知晓相关信息</w:t>
            </w:r>
            <w:r>
              <w:rPr>
                <w:rFonts w:hint="eastAsia" w:asciiTheme="minorEastAsia" w:hAnsiTheme="minorEastAsia" w:eastAsiaTheme="minorEastAsia" w:cstheme="minorEastAsia"/>
                <w:b/>
                <w:color w:val="auto"/>
                <w:sz w:val="18"/>
                <w:szCs w:val="18"/>
                <w:lang w:eastAsia="zh-CN"/>
              </w:rPr>
              <w:t>，</w:t>
            </w:r>
            <w:r>
              <w:rPr>
                <w:rFonts w:hint="eastAsia" w:asciiTheme="minorEastAsia" w:hAnsiTheme="minorEastAsia" w:eastAsiaTheme="minorEastAsia" w:cstheme="minorEastAsia"/>
                <w:b/>
                <w:color w:val="auto"/>
                <w:sz w:val="18"/>
                <w:szCs w:val="18"/>
                <w:lang w:val="en-US" w:eastAsia="zh-CN"/>
              </w:rPr>
              <w:t>相关公告内容自公告之日起或公告约定生效之日起生效</w:t>
            </w:r>
            <w:r>
              <w:rPr>
                <w:rFonts w:hint="eastAsia" w:asciiTheme="minorEastAsia" w:hAnsiTheme="minorEastAsia" w:eastAsiaTheme="minorEastAsia" w:cstheme="minorEastAsia"/>
                <w:b/>
                <w:color w:val="auto"/>
                <w:sz w:val="18"/>
                <w:szCs w:val="18"/>
              </w:rPr>
              <w:t>。</w:t>
            </w:r>
          </w:p>
          <w:p>
            <w:pPr>
              <w:spacing w:line="240" w:lineRule="auto"/>
              <w:ind w:firstLine="360" w:firstLineChars="200"/>
              <w:jc w:val="both"/>
              <w:rPr>
                <w:rFonts w:hint="eastAsia" w:asciiTheme="minorEastAsia" w:hAnsiTheme="minorEastAsia" w:eastAsiaTheme="minorEastAsia" w:cstheme="minorEastAsia"/>
                <w:b/>
                <w:color w:val="auto"/>
                <w:sz w:val="18"/>
                <w:szCs w:val="18"/>
              </w:rPr>
            </w:pPr>
            <w:r>
              <w:rPr>
                <w:rFonts w:hint="eastAsia" w:asciiTheme="minorEastAsia" w:hAnsiTheme="minorEastAsia" w:eastAsiaTheme="minorEastAsia" w:cstheme="minorEastAsia"/>
                <w:color w:val="auto"/>
                <w:sz w:val="18"/>
                <w:szCs w:val="18"/>
              </w:rPr>
              <w:t>融资利息按照甲方实际使用资金的自然日天数计算，按当日融资利率每日计算，</w:t>
            </w:r>
            <w:r>
              <w:rPr>
                <w:rFonts w:hint="eastAsia" w:asciiTheme="minorEastAsia" w:hAnsiTheme="minorEastAsia" w:eastAsiaTheme="minorEastAsia" w:cstheme="minorEastAsia"/>
                <w:b/>
                <w:color w:val="auto"/>
                <w:sz w:val="18"/>
                <w:szCs w:val="18"/>
              </w:rPr>
              <w:t>每月最后一个交易日为利息扣收日。乙方未扣收到的融资利息将转成逾期负债，乙方有权按本合同第四十八条约定的罚息率计收罚息，并有权自未扣收成功之日起每个交易日持续</w:t>
            </w:r>
            <w:r>
              <w:rPr>
                <w:rFonts w:hint="eastAsia" w:asciiTheme="minorEastAsia" w:hAnsiTheme="minorEastAsia" w:eastAsiaTheme="minorEastAsia" w:cstheme="minorEastAsia"/>
                <w:b/>
                <w:color w:val="auto"/>
                <w:sz w:val="18"/>
                <w:szCs w:val="18"/>
                <w:lang w:eastAsia="zh-CN"/>
              </w:rPr>
              <w:t>、</w:t>
            </w:r>
            <w:r>
              <w:rPr>
                <w:rFonts w:hint="eastAsia" w:asciiTheme="minorEastAsia" w:hAnsiTheme="minorEastAsia" w:eastAsiaTheme="minorEastAsia" w:cstheme="minorEastAsia"/>
                <w:b/>
                <w:color w:val="auto"/>
                <w:sz w:val="18"/>
                <w:szCs w:val="18"/>
                <w:lang w:val="en-US" w:eastAsia="zh-CN"/>
              </w:rPr>
              <w:t>优先</w:t>
            </w:r>
            <w:r>
              <w:rPr>
                <w:rFonts w:hint="eastAsia" w:asciiTheme="minorEastAsia" w:hAnsiTheme="minorEastAsia" w:eastAsiaTheme="minorEastAsia" w:cstheme="minorEastAsia"/>
                <w:b/>
                <w:color w:val="auto"/>
                <w:sz w:val="18"/>
                <w:szCs w:val="18"/>
              </w:rPr>
              <w:t>扣收甲方应付利息及罚息。</w:t>
            </w:r>
          </w:p>
          <w:p>
            <w:pPr>
              <w:spacing w:line="240" w:lineRule="auto"/>
              <w:ind w:firstLine="360" w:firstLineChars="200"/>
              <w:jc w:val="both"/>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本合同约定融资利息的计算公式为：</w:t>
            </w:r>
          </w:p>
          <w:p>
            <w:pPr>
              <w:spacing w:line="240" w:lineRule="auto"/>
              <w:ind w:firstLine="361" w:firstLineChars="200"/>
              <w:jc w:val="both"/>
              <w:rPr>
                <w:rFonts w:hint="eastAsia" w:asciiTheme="minorEastAsia" w:hAnsiTheme="minorEastAsia" w:eastAsiaTheme="minorEastAsia" w:cstheme="minorEastAsia"/>
                <w:b/>
                <w:color w:val="auto"/>
                <w:sz w:val="18"/>
                <w:szCs w:val="18"/>
              </w:rPr>
            </w:pPr>
            <w:r>
              <w:rPr>
                <w:rFonts w:hint="eastAsia" w:asciiTheme="minorEastAsia" w:hAnsiTheme="minorEastAsia" w:eastAsiaTheme="minorEastAsia" w:cstheme="minorEastAsia"/>
                <w:b/>
                <w:color w:val="auto"/>
                <w:sz w:val="18"/>
                <w:szCs w:val="18"/>
              </w:rPr>
              <w:t>融资利息＝∑（每日融资负债余额×融资年利率/360），每日融资负债余额=∑每日每笔融资合约负债余额。</w:t>
            </w:r>
          </w:p>
          <w:p>
            <w:pPr>
              <w:spacing w:line="240" w:lineRule="auto"/>
              <w:ind w:firstLine="361" w:firstLineChars="200"/>
              <w:jc w:val="both"/>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b/>
                <w:color w:val="auto"/>
                <w:sz w:val="18"/>
                <w:szCs w:val="18"/>
              </w:rPr>
              <w:t>融</w:t>
            </w:r>
            <w:r>
              <w:rPr>
                <w:rFonts w:hint="eastAsia" w:asciiTheme="minorEastAsia" w:hAnsiTheme="minorEastAsia" w:eastAsiaTheme="minorEastAsia" w:cstheme="minorEastAsia"/>
                <w:b/>
                <w:color w:val="auto"/>
                <w:sz w:val="18"/>
                <w:szCs w:val="18"/>
                <w:lang w:val="en-US" w:eastAsia="zh-CN"/>
              </w:rPr>
              <w:t>资</w:t>
            </w:r>
            <w:r>
              <w:rPr>
                <w:rFonts w:hint="eastAsia" w:asciiTheme="minorEastAsia" w:hAnsiTheme="minorEastAsia" w:eastAsiaTheme="minorEastAsia" w:cstheme="minorEastAsia"/>
                <w:b/>
                <w:color w:val="auto"/>
                <w:sz w:val="18"/>
                <w:szCs w:val="18"/>
              </w:rPr>
              <w:t>专用头寸对应收取的专项费用系因头寸占用而产生的费用，以相关特别约定为准</w:t>
            </w:r>
            <w:r>
              <w:rPr>
                <w:rFonts w:hint="eastAsia" w:asciiTheme="minorEastAsia" w:hAnsiTheme="minorEastAsia" w:eastAsiaTheme="minorEastAsia" w:cstheme="minorEastAsia"/>
                <w:b/>
                <w:color w:val="auto"/>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noWrap w:val="0"/>
            <w:vAlign w:val="top"/>
          </w:tcPr>
          <w:p>
            <w:pPr>
              <w:spacing w:line="240" w:lineRule="auto"/>
              <w:jc w:val="both"/>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b/>
                <w:color w:val="auto"/>
                <w:sz w:val="18"/>
                <w:szCs w:val="18"/>
                <w:lang w:val="en-US" w:eastAsia="zh-CN"/>
              </w:rPr>
              <w:t xml:space="preserve">第四十七条 </w:t>
            </w:r>
            <w:r>
              <w:rPr>
                <w:rFonts w:hint="eastAsia" w:asciiTheme="minorEastAsia" w:hAnsiTheme="minorEastAsia" w:eastAsiaTheme="minorEastAsia" w:cstheme="minorEastAsia"/>
                <w:b/>
                <w:color w:val="auto"/>
                <w:sz w:val="18"/>
                <w:szCs w:val="18"/>
              </w:rPr>
              <w:t>乙方调整融券年费率的，应通过乙方官方网站、乙方APP、乙方PC交易客户端、交易系统或营业场所中的任意一种方式予以公告，甲方应随时留意乙方的相关公告，乙方采取上述任何一种方式公告，则视同乙方已经履行该等公告义务，即视为甲方已知晓相关信息。</w:t>
            </w:r>
          </w:p>
        </w:tc>
        <w:tc>
          <w:tcPr>
            <w:tcW w:w="2500" w:type="pct"/>
            <w:noWrap w:val="0"/>
            <w:vAlign w:val="top"/>
          </w:tcPr>
          <w:p>
            <w:pPr>
              <w:spacing w:line="240" w:lineRule="auto"/>
              <w:jc w:val="both"/>
              <w:rPr>
                <w:rFonts w:hint="eastAsia" w:asciiTheme="minorEastAsia" w:hAnsiTheme="minorEastAsia" w:eastAsiaTheme="minorEastAsia" w:cstheme="minorEastAsia"/>
                <w:b/>
                <w:color w:val="auto"/>
                <w:sz w:val="18"/>
                <w:szCs w:val="18"/>
              </w:rPr>
            </w:pPr>
            <w:r>
              <w:rPr>
                <w:rFonts w:hint="eastAsia" w:asciiTheme="minorEastAsia" w:hAnsiTheme="minorEastAsia" w:eastAsiaTheme="minorEastAsia" w:cstheme="minorEastAsia"/>
                <w:b/>
                <w:color w:val="auto"/>
                <w:sz w:val="18"/>
                <w:szCs w:val="18"/>
                <w:lang w:val="en-US" w:eastAsia="zh-CN"/>
              </w:rPr>
              <w:t xml:space="preserve">第四十七条 </w:t>
            </w:r>
            <w:r>
              <w:rPr>
                <w:rFonts w:hint="eastAsia" w:asciiTheme="minorEastAsia" w:hAnsiTheme="minorEastAsia" w:eastAsiaTheme="minorEastAsia" w:cstheme="minorEastAsia"/>
                <w:b/>
                <w:color w:val="auto"/>
                <w:sz w:val="18"/>
                <w:szCs w:val="18"/>
              </w:rPr>
              <w:t>乙方调整融券年费率的，应通过乙方官方网站、乙方APP、乙方PC交易客户端、交易系统或营业场所中的任意一种方式予以公告，甲方应随时留意乙方的相关公告，乙方采取上述任何一种方式公告，则视同乙方已经履行该等公告义务，即视为甲方已知晓相关信息，相关公告内容自公告之日起或公告约定生效之日起生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noWrap w:val="0"/>
            <w:vAlign w:val="top"/>
          </w:tcPr>
          <w:p>
            <w:pPr>
              <w:spacing w:line="240" w:lineRule="auto"/>
              <w:jc w:val="center"/>
              <w:rPr>
                <w:rFonts w:hint="eastAsia" w:asciiTheme="minorEastAsia" w:hAnsiTheme="minorEastAsia" w:eastAsiaTheme="minorEastAsia" w:cstheme="minorEastAsia"/>
                <w:b/>
                <w:color w:val="auto"/>
                <w:sz w:val="18"/>
                <w:szCs w:val="18"/>
              </w:rPr>
            </w:pPr>
            <w:bookmarkStart w:id="6" w:name="_Hlk501322244"/>
            <w:r>
              <w:rPr>
                <w:rFonts w:hint="eastAsia" w:asciiTheme="minorEastAsia" w:hAnsiTheme="minorEastAsia" w:eastAsiaTheme="minorEastAsia" w:cstheme="minorEastAsia"/>
                <w:b/>
                <w:bCs/>
                <w:color w:val="auto"/>
                <w:kern w:val="2"/>
                <w:sz w:val="18"/>
                <w:szCs w:val="18"/>
                <w:vertAlign w:val="baseline"/>
                <w:lang w:val="en-US" w:eastAsia="zh-CN" w:bidi="ar-SA"/>
              </w:rPr>
              <w:t>第八章 补充担保物与强制平仓</w:t>
            </w:r>
            <w:bookmarkEnd w:id="6"/>
          </w:p>
        </w:tc>
        <w:tc>
          <w:tcPr>
            <w:tcW w:w="2500" w:type="pct"/>
            <w:noWrap w:val="0"/>
            <w:vAlign w:val="top"/>
          </w:tcPr>
          <w:p>
            <w:pPr>
              <w:spacing w:line="240" w:lineRule="auto"/>
              <w:ind w:firstLine="361" w:firstLineChars="200"/>
              <w:jc w:val="center"/>
              <w:rPr>
                <w:rFonts w:hint="eastAsia" w:asciiTheme="minorEastAsia" w:hAnsiTheme="minorEastAsia" w:eastAsiaTheme="minorEastAsia" w:cstheme="minorEastAsia"/>
                <w:b/>
                <w:color w:val="auto"/>
                <w:sz w:val="18"/>
                <w:szCs w:val="18"/>
              </w:rPr>
            </w:pPr>
            <w:r>
              <w:rPr>
                <w:rFonts w:hint="eastAsia" w:asciiTheme="minorEastAsia" w:hAnsiTheme="minorEastAsia" w:eastAsiaTheme="minorEastAsia" w:cstheme="minorEastAsia"/>
                <w:b/>
                <w:bCs/>
                <w:color w:val="auto"/>
                <w:kern w:val="2"/>
                <w:sz w:val="18"/>
                <w:szCs w:val="18"/>
                <w:vertAlign w:val="baseline"/>
                <w:lang w:val="en-US" w:eastAsia="zh-CN" w:bidi="ar-SA"/>
              </w:rPr>
              <w:t>第八章 补充担保物与强制平仓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noWrap w:val="0"/>
            <w:vAlign w:val="top"/>
          </w:tcPr>
          <w:p>
            <w:pPr>
              <w:spacing w:line="240" w:lineRule="auto"/>
              <w:jc w:val="both"/>
              <w:rPr>
                <w:rFonts w:hint="eastAsia" w:asciiTheme="minorEastAsia" w:hAnsiTheme="minorEastAsia" w:eastAsiaTheme="minorEastAsia" w:cstheme="minorEastAsia"/>
                <w:b/>
                <w:bCs/>
                <w:color w:val="auto"/>
                <w:kern w:val="2"/>
                <w:sz w:val="18"/>
                <w:szCs w:val="18"/>
                <w:vertAlign w:val="baseline"/>
                <w:lang w:val="en-US" w:eastAsia="zh-CN" w:bidi="ar-SA"/>
              </w:rPr>
            </w:pPr>
            <w:r>
              <w:rPr>
                <w:rFonts w:hint="eastAsia" w:asciiTheme="minorEastAsia" w:hAnsiTheme="minorEastAsia" w:eastAsiaTheme="minorEastAsia" w:cstheme="minorEastAsia"/>
                <w:b/>
                <w:color w:val="auto"/>
                <w:sz w:val="18"/>
                <w:szCs w:val="18"/>
                <w:lang w:val="en-US" w:eastAsia="zh-CN"/>
              </w:rPr>
              <w:t xml:space="preserve">第五十一条 </w:t>
            </w:r>
            <w:r>
              <w:rPr>
                <w:rFonts w:hint="eastAsia" w:asciiTheme="minorEastAsia" w:hAnsiTheme="minorEastAsia" w:eastAsiaTheme="minorEastAsia" w:cstheme="minorEastAsia"/>
                <w:b/>
                <w:color w:val="auto"/>
                <w:sz w:val="18"/>
                <w:szCs w:val="18"/>
              </w:rPr>
              <w:t>融资融券交易中设立警戒线、平仓线及应急平仓线，由甲方在融资融券交易要素表中予以签字确认，如乙方根据本合同约定调整警戒线、平仓线和应急平仓线的，将通过乙方官方网站、乙方营业场所、乙方APP、交易系统或乙方PC交易客户端中的任意一种方式予以公告，乙方采取上述任何一种方式公告，则视同乙方已经履行该等公告义务，即视为甲方已知晓相关信息。</w:t>
            </w:r>
          </w:p>
        </w:tc>
        <w:tc>
          <w:tcPr>
            <w:tcW w:w="2500" w:type="pct"/>
            <w:noWrap w:val="0"/>
            <w:vAlign w:val="top"/>
          </w:tcPr>
          <w:p>
            <w:pPr>
              <w:spacing w:line="240" w:lineRule="auto"/>
              <w:jc w:val="both"/>
              <w:rPr>
                <w:rFonts w:hint="eastAsia" w:asciiTheme="minorEastAsia" w:hAnsiTheme="minorEastAsia" w:eastAsiaTheme="minorEastAsia" w:cstheme="minorEastAsia"/>
                <w:b/>
                <w:bCs/>
                <w:color w:val="auto"/>
                <w:kern w:val="2"/>
                <w:sz w:val="18"/>
                <w:szCs w:val="18"/>
                <w:vertAlign w:val="baseline"/>
                <w:lang w:val="en-US" w:eastAsia="zh-CN" w:bidi="ar-SA"/>
              </w:rPr>
            </w:pPr>
            <w:r>
              <w:rPr>
                <w:rFonts w:hint="eastAsia" w:asciiTheme="minorEastAsia" w:hAnsiTheme="minorEastAsia" w:eastAsiaTheme="minorEastAsia" w:cstheme="minorEastAsia"/>
                <w:b/>
                <w:color w:val="auto"/>
                <w:sz w:val="18"/>
                <w:szCs w:val="18"/>
                <w:lang w:val="en-US" w:eastAsia="zh-CN"/>
              </w:rPr>
              <w:t xml:space="preserve">第五十一条 </w:t>
            </w:r>
            <w:r>
              <w:rPr>
                <w:rFonts w:hint="eastAsia" w:asciiTheme="minorEastAsia" w:hAnsiTheme="minorEastAsia" w:eastAsiaTheme="minorEastAsia" w:cstheme="minorEastAsia"/>
                <w:b/>
                <w:color w:val="auto"/>
                <w:sz w:val="18"/>
                <w:szCs w:val="18"/>
              </w:rPr>
              <w:t>融资融券交易中设立警戒线、平仓线及应急平仓线，由甲方在融资融券交易要素表中予以签字确认，如乙方根据本合同约定调整警戒线、平仓线和应急平仓线</w:t>
            </w:r>
            <w:r>
              <w:rPr>
                <w:rFonts w:hint="eastAsia" w:asciiTheme="minorEastAsia" w:hAnsiTheme="minorEastAsia" w:eastAsiaTheme="minorEastAsia" w:cstheme="minorEastAsia"/>
                <w:b/>
                <w:color w:val="auto"/>
                <w:sz w:val="18"/>
                <w:szCs w:val="18"/>
                <w:lang w:val="en-US" w:eastAsia="zh-CN"/>
              </w:rPr>
              <w:t>及补充担保物期限</w:t>
            </w:r>
            <w:r>
              <w:rPr>
                <w:rFonts w:hint="eastAsia" w:asciiTheme="minorEastAsia" w:hAnsiTheme="minorEastAsia" w:eastAsiaTheme="minorEastAsia" w:cstheme="minorEastAsia"/>
                <w:b/>
                <w:color w:val="auto"/>
                <w:sz w:val="18"/>
                <w:szCs w:val="18"/>
              </w:rPr>
              <w:t>的，将通过乙方官方网站、乙方营业场所、乙方APP、交易系统或乙方PC交易客户端中的任意一种方式予以公告，乙方采取上述任何一种方式公告，则视同乙方已经履行该等公告义务，即视为甲方已知晓相关信息</w:t>
            </w:r>
            <w:r>
              <w:rPr>
                <w:rFonts w:hint="eastAsia" w:asciiTheme="minorEastAsia" w:hAnsiTheme="minorEastAsia" w:eastAsiaTheme="minorEastAsia" w:cstheme="minorEastAsia"/>
                <w:b/>
                <w:color w:val="auto"/>
                <w:sz w:val="18"/>
                <w:szCs w:val="18"/>
                <w:lang w:val="en-US" w:eastAsia="zh-CN"/>
              </w:rPr>
              <w:t>，相关公告内容自公告之日起或公告约定生效之日起生效</w:t>
            </w:r>
            <w:r>
              <w:rPr>
                <w:rFonts w:hint="eastAsia" w:asciiTheme="minorEastAsia" w:hAnsiTheme="minorEastAsia" w:eastAsiaTheme="minorEastAsia" w:cstheme="minorEastAsia"/>
                <w:b/>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noWrap w:val="0"/>
            <w:vAlign w:val="top"/>
          </w:tcPr>
          <w:p>
            <w:pPr>
              <w:numPr>
                <w:ilvl w:val="0"/>
                <w:numId w:val="0"/>
              </w:numPr>
              <w:spacing w:line="240" w:lineRule="auto"/>
              <w:jc w:val="both"/>
              <w:rPr>
                <w:rFonts w:hint="eastAsia" w:asciiTheme="minorEastAsia" w:hAnsiTheme="minorEastAsia" w:eastAsiaTheme="minorEastAsia" w:cstheme="minorEastAsia"/>
                <w:b/>
                <w:color w:val="auto"/>
                <w:sz w:val="18"/>
                <w:szCs w:val="18"/>
                <w:lang w:val="en-US" w:eastAsia="zh-CN"/>
              </w:rPr>
            </w:pPr>
            <w:r>
              <w:rPr>
                <w:rFonts w:hint="eastAsia" w:asciiTheme="minorEastAsia" w:hAnsiTheme="minorEastAsia" w:eastAsiaTheme="minorEastAsia" w:cstheme="minorEastAsia"/>
                <w:b/>
                <w:color w:val="auto"/>
                <w:sz w:val="18"/>
                <w:szCs w:val="18"/>
                <w:lang w:val="en-US" w:eastAsia="zh-CN"/>
              </w:rPr>
              <w:t>第五十二条</w:t>
            </w:r>
            <w:r>
              <w:rPr>
                <w:rFonts w:hint="eastAsia" w:asciiTheme="minorEastAsia" w:hAnsiTheme="minorEastAsia" w:eastAsiaTheme="minorEastAsia" w:cstheme="minorEastAsia"/>
                <w:b w:val="0"/>
                <w:bCs/>
                <w:color w:val="auto"/>
                <w:sz w:val="18"/>
                <w:szCs w:val="18"/>
                <w:lang w:val="en-US" w:eastAsia="zh-CN"/>
              </w:rPr>
              <w:t>（一）</w:t>
            </w:r>
            <w:r>
              <w:rPr>
                <w:rFonts w:hint="eastAsia" w:asciiTheme="minorEastAsia" w:hAnsiTheme="minorEastAsia" w:eastAsiaTheme="minorEastAsia" w:cstheme="minorEastAsia"/>
                <w:b/>
                <w:color w:val="auto"/>
                <w:sz w:val="18"/>
                <w:szCs w:val="18"/>
                <w:lang w:val="en-US" w:eastAsia="zh-CN"/>
              </w:rPr>
              <w:t>甲方信用账户在任一交易日（T日）日终清算后的维持担保比例低于应急平仓线的，乙方有权自次一交易日（T+1）起对甲方信用账户实施强制平仓，使甲方信用账户维持担保比例恢复到警戒线以上。</w:t>
            </w:r>
          </w:p>
          <w:p>
            <w:pPr>
              <w:numPr>
                <w:ilvl w:val="0"/>
                <w:numId w:val="0"/>
              </w:numPr>
              <w:spacing w:line="240" w:lineRule="auto"/>
              <w:jc w:val="both"/>
              <w:rPr>
                <w:rFonts w:hint="eastAsia" w:asciiTheme="minorEastAsia" w:hAnsiTheme="minorEastAsia" w:eastAsiaTheme="minorEastAsia" w:cstheme="minorEastAsia"/>
                <w:b/>
                <w:color w:val="auto"/>
                <w:sz w:val="18"/>
                <w:szCs w:val="18"/>
              </w:rPr>
            </w:pPr>
            <w:r>
              <w:rPr>
                <w:rFonts w:hint="eastAsia" w:asciiTheme="minorEastAsia" w:hAnsiTheme="minorEastAsia" w:eastAsiaTheme="minorEastAsia" w:cstheme="minorEastAsia"/>
                <w:b w:val="0"/>
                <w:bCs/>
                <w:color w:val="auto"/>
                <w:sz w:val="18"/>
                <w:szCs w:val="18"/>
                <w:lang w:eastAsia="zh-CN"/>
              </w:rPr>
              <w:t>（</w:t>
            </w:r>
            <w:r>
              <w:rPr>
                <w:rFonts w:hint="eastAsia" w:asciiTheme="minorEastAsia" w:hAnsiTheme="minorEastAsia" w:eastAsiaTheme="minorEastAsia" w:cstheme="minorEastAsia"/>
                <w:b w:val="0"/>
                <w:bCs/>
                <w:color w:val="auto"/>
                <w:sz w:val="18"/>
                <w:szCs w:val="18"/>
                <w:lang w:val="en-US" w:eastAsia="zh-CN"/>
              </w:rPr>
              <w:t>四</w:t>
            </w:r>
            <w:r>
              <w:rPr>
                <w:rFonts w:hint="eastAsia" w:asciiTheme="minorEastAsia" w:hAnsiTheme="minorEastAsia" w:eastAsiaTheme="minorEastAsia" w:cstheme="minorEastAsia"/>
                <w:b w:val="0"/>
                <w:bCs/>
                <w:color w:val="auto"/>
                <w:sz w:val="18"/>
                <w:szCs w:val="18"/>
                <w:lang w:eastAsia="zh-CN"/>
              </w:rPr>
              <w:t>）</w:t>
            </w:r>
            <w:r>
              <w:rPr>
                <w:rFonts w:hint="eastAsia" w:asciiTheme="minorEastAsia" w:hAnsiTheme="minorEastAsia" w:eastAsiaTheme="minorEastAsia" w:cstheme="minorEastAsia"/>
                <w:b/>
                <w:color w:val="auto"/>
                <w:sz w:val="18"/>
                <w:szCs w:val="18"/>
              </w:rPr>
              <w:t>甲方融资买入、融券卖出的标的证券发生范围调整、暂停交易、被交易所实施风险警示、</w:t>
            </w:r>
            <w:r>
              <w:rPr>
                <w:rFonts w:hint="eastAsia" w:asciiTheme="minorEastAsia" w:hAnsiTheme="minorEastAsia" w:eastAsiaTheme="minorEastAsia" w:cstheme="minorEastAsia"/>
                <w:b/>
                <w:color w:val="auto"/>
                <w:sz w:val="18"/>
                <w:szCs w:val="18"/>
                <w:lang w:val="en-US" w:eastAsia="zh-CN"/>
              </w:rPr>
              <w:t>暂停上市或</w:t>
            </w:r>
            <w:r>
              <w:rPr>
                <w:rFonts w:hint="eastAsia" w:asciiTheme="minorEastAsia" w:hAnsiTheme="minorEastAsia" w:eastAsiaTheme="minorEastAsia" w:cstheme="minorEastAsia"/>
                <w:b/>
                <w:color w:val="auto"/>
                <w:sz w:val="18"/>
                <w:szCs w:val="18"/>
              </w:rPr>
              <w:t>终止上市等本合同约定的提前了结该笔融资或融券债务情形，甲方未按约定了结的，乙方有权自违约情形发生之日次一交易日起针对该笔融资或融券债务实施强制平仓，直到偿还完毕该笔融资或融券债务时止。</w:t>
            </w:r>
          </w:p>
          <w:p>
            <w:pPr>
              <w:numPr>
                <w:ilvl w:val="0"/>
                <w:numId w:val="0"/>
              </w:numPr>
              <w:spacing w:line="240" w:lineRule="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bCs/>
                <w:color w:val="auto"/>
                <w:sz w:val="18"/>
                <w:szCs w:val="18"/>
                <w:lang w:eastAsia="zh-CN"/>
              </w:rPr>
              <w:t>（</w:t>
            </w:r>
            <w:r>
              <w:rPr>
                <w:rFonts w:hint="eastAsia" w:asciiTheme="minorEastAsia" w:hAnsiTheme="minorEastAsia" w:eastAsiaTheme="minorEastAsia" w:cstheme="minorEastAsia"/>
                <w:b w:val="0"/>
                <w:bCs/>
                <w:color w:val="auto"/>
                <w:sz w:val="18"/>
                <w:szCs w:val="18"/>
                <w:lang w:val="en-US" w:eastAsia="zh-CN"/>
              </w:rPr>
              <w:t>八</w:t>
            </w:r>
            <w:r>
              <w:rPr>
                <w:rFonts w:hint="eastAsia" w:asciiTheme="minorEastAsia" w:hAnsiTheme="minorEastAsia" w:eastAsiaTheme="minorEastAsia" w:cstheme="minorEastAsia"/>
                <w:b w:val="0"/>
                <w:bCs/>
                <w:color w:val="auto"/>
                <w:sz w:val="18"/>
                <w:szCs w:val="18"/>
                <w:lang w:eastAsia="zh-CN"/>
              </w:rPr>
              <w:t>）</w:t>
            </w:r>
            <w:r>
              <w:rPr>
                <w:rFonts w:hint="eastAsia" w:asciiTheme="minorEastAsia" w:hAnsiTheme="minorEastAsia" w:eastAsiaTheme="minorEastAsia" w:cstheme="minorEastAsia"/>
                <w:b/>
                <w:sz w:val="18"/>
                <w:szCs w:val="18"/>
              </w:rPr>
              <w:t>发生如下情形之一的，乙方有权要求甲方了结融资融券全部债务，有权自情形发生后第一个交易日起开始执行平仓指令，收回甲方融资融券所生债权。平仓金额或数量以偿还甲方所欠乙方全部债务为下限</w:t>
            </w:r>
            <w:r>
              <w:rPr>
                <w:rFonts w:hint="eastAsia" w:asciiTheme="minorEastAsia" w:hAnsiTheme="minorEastAsia" w:eastAsiaTheme="minorEastAsia" w:cstheme="minorEastAsia"/>
                <w:sz w:val="18"/>
                <w:szCs w:val="18"/>
              </w:rPr>
              <w:t>：</w:t>
            </w:r>
          </w:p>
          <w:p>
            <w:pPr>
              <w:widowControl w:val="0"/>
              <w:numPr>
                <w:ilvl w:val="0"/>
                <w:numId w:val="0"/>
              </w:numPr>
              <w:spacing w:line="240" w:lineRule="auto"/>
              <w:jc w:val="both"/>
              <w:rPr>
                <w:rFonts w:hint="eastAsia" w:asciiTheme="minorEastAsia" w:hAnsiTheme="minorEastAsia" w:eastAsiaTheme="minorEastAsia" w:cstheme="minorEastAsia"/>
                <w:b/>
                <w:color w:val="auto"/>
                <w:sz w:val="18"/>
                <w:szCs w:val="18"/>
                <w:lang w:val="en-US" w:eastAsia="zh-CN"/>
              </w:rPr>
            </w:pPr>
            <w:r>
              <w:rPr>
                <w:rFonts w:hint="eastAsia" w:asciiTheme="minorEastAsia" w:hAnsiTheme="minorEastAsia" w:eastAsiaTheme="minorEastAsia" w:cstheme="minorEastAsia"/>
                <w:b w:val="0"/>
                <w:bCs/>
                <w:color w:val="auto"/>
                <w:sz w:val="18"/>
                <w:szCs w:val="18"/>
                <w:lang w:val="en-US" w:eastAsia="zh-CN"/>
              </w:rPr>
              <w:t>5、</w:t>
            </w:r>
            <w:r>
              <w:rPr>
                <w:rFonts w:hint="eastAsia" w:asciiTheme="minorEastAsia" w:hAnsiTheme="minorEastAsia" w:eastAsiaTheme="minorEastAsia" w:cstheme="minorEastAsia"/>
                <w:color w:val="auto"/>
                <w:sz w:val="18"/>
                <w:szCs w:val="18"/>
              </w:rPr>
              <w:t>甲方(机构)停业或出现法定解散事由；或者破产申请已被人民法院受理；</w:t>
            </w:r>
          </w:p>
          <w:p>
            <w:pPr>
              <w:spacing w:line="240" w:lineRule="auto"/>
              <w:jc w:val="both"/>
              <w:rPr>
                <w:rFonts w:hint="eastAsia" w:asciiTheme="minorEastAsia" w:hAnsiTheme="minorEastAsia" w:eastAsiaTheme="minorEastAsia" w:cstheme="minorEastAsia"/>
                <w:b/>
                <w:color w:val="auto"/>
                <w:sz w:val="18"/>
                <w:szCs w:val="18"/>
              </w:rPr>
            </w:pPr>
          </w:p>
        </w:tc>
        <w:tc>
          <w:tcPr>
            <w:tcW w:w="2500" w:type="pct"/>
            <w:noWrap w:val="0"/>
            <w:vAlign w:val="top"/>
          </w:tcPr>
          <w:p>
            <w:pPr>
              <w:numPr>
                <w:ilvl w:val="0"/>
                <w:numId w:val="0"/>
              </w:numPr>
              <w:spacing w:line="240" w:lineRule="auto"/>
              <w:jc w:val="both"/>
              <w:rPr>
                <w:rFonts w:hint="eastAsia" w:asciiTheme="minorEastAsia" w:hAnsiTheme="minorEastAsia" w:eastAsiaTheme="minorEastAsia" w:cstheme="minorEastAsia"/>
                <w:b/>
                <w:color w:val="auto"/>
                <w:sz w:val="18"/>
                <w:szCs w:val="18"/>
                <w:lang w:val="en-US" w:eastAsia="zh-CN"/>
              </w:rPr>
            </w:pPr>
            <w:r>
              <w:rPr>
                <w:rFonts w:hint="eastAsia" w:asciiTheme="minorEastAsia" w:hAnsiTheme="minorEastAsia" w:eastAsiaTheme="minorEastAsia" w:cstheme="minorEastAsia"/>
                <w:b/>
                <w:color w:val="auto"/>
                <w:sz w:val="18"/>
                <w:szCs w:val="18"/>
                <w:lang w:val="en-US" w:eastAsia="zh-CN"/>
              </w:rPr>
              <w:t>第五十二条</w:t>
            </w:r>
            <w:r>
              <w:rPr>
                <w:rFonts w:hint="eastAsia" w:asciiTheme="minorEastAsia" w:hAnsiTheme="minorEastAsia" w:eastAsiaTheme="minorEastAsia" w:cstheme="minorEastAsia"/>
                <w:b w:val="0"/>
                <w:bCs/>
                <w:color w:val="auto"/>
                <w:sz w:val="18"/>
                <w:szCs w:val="18"/>
                <w:lang w:val="en-US" w:eastAsia="zh-CN"/>
              </w:rPr>
              <w:t>（一）</w:t>
            </w:r>
            <w:r>
              <w:rPr>
                <w:rFonts w:hint="eastAsia" w:asciiTheme="minorEastAsia" w:hAnsiTheme="minorEastAsia" w:eastAsiaTheme="minorEastAsia" w:cstheme="minorEastAsia"/>
                <w:b/>
                <w:color w:val="auto"/>
                <w:sz w:val="18"/>
                <w:szCs w:val="18"/>
                <w:lang w:val="en-US" w:eastAsia="zh-CN"/>
              </w:rPr>
              <w:t>甲方信用账户在任一交易日（T日）日终清算后的维持担保比例低于应急平仓线的，乙方有权自次一交易日（T+1日）起对甲方信用账户实施强制平仓，使甲方信用账户维持担保比例恢复到警戒线以上。</w:t>
            </w:r>
          </w:p>
          <w:p>
            <w:pPr>
              <w:numPr>
                <w:ilvl w:val="0"/>
                <w:numId w:val="0"/>
              </w:numPr>
              <w:spacing w:line="240" w:lineRule="auto"/>
              <w:jc w:val="both"/>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b w:val="0"/>
                <w:bCs/>
                <w:color w:val="auto"/>
                <w:sz w:val="18"/>
                <w:szCs w:val="18"/>
                <w:lang w:eastAsia="zh-CN"/>
              </w:rPr>
              <w:t>（</w:t>
            </w:r>
            <w:r>
              <w:rPr>
                <w:rFonts w:hint="eastAsia" w:asciiTheme="minorEastAsia" w:hAnsiTheme="minorEastAsia" w:eastAsiaTheme="minorEastAsia" w:cstheme="minorEastAsia"/>
                <w:b w:val="0"/>
                <w:bCs/>
                <w:color w:val="auto"/>
                <w:sz w:val="18"/>
                <w:szCs w:val="18"/>
                <w:lang w:val="en-US" w:eastAsia="zh-CN"/>
              </w:rPr>
              <w:t>四</w:t>
            </w:r>
            <w:r>
              <w:rPr>
                <w:rFonts w:hint="eastAsia" w:asciiTheme="minorEastAsia" w:hAnsiTheme="minorEastAsia" w:eastAsiaTheme="minorEastAsia" w:cstheme="minorEastAsia"/>
                <w:b w:val="0"/>
                <w:bCs/>
                <w:color w:val="auto"/>
                <w:sz w:val="18"/>
                <w:szCs w:val="18"/>
                <w:lang w:eastAsia="zh-CN"/>
              </w:rPr>
              <w:t>）</w:t>
            </w:r>
            <w:r>
              <w:rPr>
                <w:rFonts w:hint="eastAsia" w:asciiTheme="minorEastAsia" w:hAnsiTheme="minorEastAsia" w:eastAsiaTheme="minorEastAsia" w:cstheme="minorEastAsia"/>
                <w:b/>
                <w:color w:val="auto"/>
                <w:sz w:val="18"/>
                <w:szCs w:val="18"/>
              </w:rPr>
              <w:t>甲方融资买入、融券卖出的标的证券发生范围调整、暂停交易、被交易所实施风险警示、终止上市等本合同约定的提前了结该笔融资或融券债务情形，甲方未按约定了结的，乙方有权自违约情形发生之日次一交易日起针对该笔融资或融券债务实施强制平仓，直到偿还完毕该笔融资或融券债务时止。</w:t>
            </w:r>
          </w:p>
          <w:p>
            <w:pPr>
              <w:numPr>
                <w:ilvl w:val="0"/>
                <w:numId w:val="0"/>
              </w:numPr>
              <w:spacing w:line="240" w:lineRule="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bCs/>
                <w:color w:val="auto"/>
                <w:sz w:val="18"/>
                <w:szCs w:val="18"/>
                <w:lang w:eastAsia="zh-CN"/>
              </w:rPr>
              <w:t>（</w:t>
            </w:r>
            <w:r>
              <w:rPr>
                <w:rFonts w:hint="eastAsia" w:asciiTheme="minorEastAsia" w:hAnsiTheme="minorEastAsia" w:eastAsiaTheme="minorEastAsia" w:cstheme="minorEastAsia"/>
                <w:b w:val="0"/>
                <w:bCs/>
                <w:color w:val="auto"/>
                <w:sz w:val="18"/>
                <w:szCs w:val="18"/>
                <w:lang w:val="en-US" w:eastAsia="zh-CN"/>
              </w:rPr>
              <w:t>八</w:t>
            </w:r>
            <w:r>
              <w:rPr>
                <w:rFonts w:hint="eastAsia" w:asciiTheme="minorEastAsia" w:hAnsiTheme="minorEastAsia" w:eastAsiaTheme="minorEastAsia" w:cstheme="minorEastAsia"/>
                <w:b w:val="0"/>
                <w:bCs/>
                <w:color w:val="auto"/>
                <w:sz w:val="18"/>
                <w:szCs w:val="18"/>
                <w:lang w:eastAsia="zh-CN"/>
              </w:rPr>
              <w:t>）</w:t>
            </w:r>
            <w:r>
              <w:rPr>
                <w:rFonts w:hint="eastAsia" w:asciiTheme="minorEastAsia" w:hAnsiTheme="minorEastAsia" w:eastAsiaTheme="minorEastAsia" w:cstheme="minorEastAsia"/>
                <w:b/>
                <w:sz w:val="18"/>
                <w:szCs w:val="18"/>
              </w:rPr>
              <w:t>发生如下情形之一的，乙方有权要求甲方了结融资融券全部债务，有权自情形发生后第一个交易日起开始执行平仓指令，收回甲方融资融券所生债权。平仓金额或数量以偿还甲方所欠乙方全部债务为下限</w:t>
            </w:r>
            <w:r>
              <w:rPr>
                <w:rFonts w:hint="eastAsia" w:asciiTheme="minorEastAsia" w:hAnsiTheme="minorEastAsia" w:eastAsiaTheme="minorEastAsia" w:cstheme="minorEastAsia"/>
                <w:sz w:val="18"/>
                <w:szCs w:val="18"/>
              </w:rPr>
              <w:t>：</w:t>
            </w:r>
          </w:p>
          <w:p>
            <w:pPr>
              <w:widowControl w:val="0"/>
              <w:numPr>
                <w:ilvl w:val="0"/>
                <w:numId w:val="0"/>
              </w:numPr>
              <w:spacing w:line="240" w:lineRule="auto"/>
              <w:jc w:val="both"/>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lang w:val="en-US" w:eastAsia="zh-CN"/>
              </w:rPr>
              <w:t>5、</w:t>
            </w:r>
            <w:r>
              <w:rPr>
                <w:rFonts w:hint="eastAsia" w:asciiTheme="minorEastAsia" w:hAnsiTheme="minorEastAsia" w:eastAsiaTheme="minorEastAsia" w:cstheme="minorEastAsia"/>
                <w:color w:val="auto"/>
                <w:sz w:val="18"/>
                <w:szCs w:val="18"/>
              </w:rPr>
              <w:t>甲方</w:t>
            </w:r>
            <w:r>
              <w:rPr>
                <w:rFonts w:hint="eastAsia" w:asciiTheme="minorEastAsia" w:hAnsiTheme="minorEastAsia" w:eastAsiaTheme="minorEastAsia" w:cstheme="minorEastAsia"/>
                <w:color w:val="auto"/>
                <w:sz w:val="18"/>
                <w:szCs w:val="18"/>
                <w:lang w:eastAsia="zh-CN"/>
              </w:rPr>
              <w:t>（</w:t>
            </w:r>
            <w:r>
              <w:rPr>
                <w:rFonts w:hint="eastAsia" w:asciiTheme="minorEastAsia" w:hAnsiTheme="minorEastAsia" w:eastAsiaTheme="minorEastAsia" w:cstheme="minorEastAsia"/>
                <w:color w:val="auto"/>
                <w:sz w:val="18"/>
                <w:szCs w:val="18"/>
                <w:lang w:val="en-US" w:eastAsia="zh-CN"/>
              </w:rPr>
              <w:t>机构或产品管理人）</w:t>
            </w:r>
            <w:r>
              <w:rPr>
                <w:rFonts w:hint="eastAsia" w:asciiTheme="minorEastAsia" w:hAnsiTheme="minorEastAsia" w:eastAsiaTheme="minorEastAsia" w:cstheme="minorEastAsia"/>
                <w:color w:val="auto"/>
                <w:sz w:val="18"/>
                <w:szCs w:val="18"/>
              </w:rPr>
              <w:t>停业或出现法定解散事由；或者破产申请已被人民法院受理；</w:t>
            </w:r>
          </w:p>
          <w:p>
            <w:pPr>
              <w:numPr>
                <w:ilvl w:val="0"/>
                <w:numId w:val="0"/>
              </w:numPr>
              <w:spacing w:line="240" w:lineRule="auto"/>
              <w:ind w:right="-4" w:rightChars="0"/>
              <w:jc w:val="both"/>
              <w:rPr>
                <w:rFonts w:hint="eastAsia" w:asciiTheme="minorEastAsia" w:hAnsiTheme="minorEastAsia" w:eastAsiaTheme="minorEastAsia" w:cstheme="minorEastAsia"/>
                <w:b/>
                <w:color w:val="auto"/>
                <w:sz w:val="18"/>
                <w:szCs w:val="18"/>
              </w:rPr>
            </w:pPr>
            <w:r>
              <w:rPr>
                <w:rFonts w:hint="eastAsia" w:asciiTheme="minorEastAsia" w:hAnsiTheme="minorEastAsia" w:eastAsiaTheme="minorEastAsia" w:cstheme="minorEastAsia"/>
                <w:color w:val="auto"/>
                <w:sz w:val="18"/>
                <w:szCs w:val="18"/>
                <w:lang w:val="en-US" w:eastAsia="zh-CN"/>
              </w:rPr>
              <w:t>6、甲方（机构或产品管理人）申请或发生停业、歇业、被注销登记、被吊销营业执照、法定代表人或主要负责人从事违法活动、涉及重大诉讼活动、经营出现严重困难、财务状况恶化等严重影响其偿还能力的事件和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noWrap w:val="0"/>
            <w:vAlign w:val="top"/>
          </w:tcPr>
          <w:p>
            <w:pPr>
              <w:spacing w:line="240" w:lineRule="auto"/>
              <w:jc w:val="both"/>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color w:val="auto"/>
                <w:sz w:val="18"/>
                <w:szCs w:val="18"/>
                <w:lang w:val="en-US" w:eastAsia="zh-CN"/>
              </w:rPr>
              <w:t xml:space="preserve">第五十四条 </w:t>
            </w:r>
            <w:r>
              <w:rPr>
                <w:rFonts w:hint="eastAsia" w:asciiTheme="minorEastAsia" w:hAnsiTheme="minorEastAsia" w:eastAsiaTheme="minorEastAsia" w:cstheme="minorEastAsia"/>
                <w:b/>
                <w:sz w:val="18"/>
                <w:szCs w:val="18"/>
              </w:rPr>
              <w:t>发生以下任一情形的，甲方同意授权乙方对甲方开立在乙方处的全部证券账户采取限制资产转出（包括限制资金转出、限制转托管、限制撤消指定交易）、限制交易、买卖证券、划转资金或证券等措施实现债权，乙方有权要求甲方立即偿还信用账户项下全部合约负债，并有权对甲方追索债务，直至乙方债权全部得以实现：</w:t>
            </w:r>
          </w:p>
          <w:p>
            <w:pPr>
              <w:pStyle w:val="6"/>
              <w:numPr>
                <w:ilvl w:val="0"/>
                <w:numId w:val="0"/>
              </w:numPr>
              <w:spacing w:line="240" w:lineRule="auto"/>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val="0"/>
                <w:bCs/>
                <w:sz w:val="18"/>
                <w:szCs w:val="18"/>
                <w:lang w:val="en-US" w:eastAsia="zh-CN"/>
              </w:rPr>
              <w:t>3、</w:t>
            </w:r>
            <w:r>
              <w:rPr>
                <w:rFonts w:hint="eastAsia" w:asciiTheme="minorEastAsia" w:hAnsiTheme="minorEastAsia" w:eastAsiaTheme="minorEastAsia" w:cstheme="minorEastAsia"/>
                <w:b/>
                <w:sz w:val="18"/>
                <w:szCs w:val="18"/>
              </w:rPr>
              <w:t>信用账户内的证券因减持规则、停牌、暂停上市、终止上市等因素导致强制平仓全部或部分未成交的；</w:t>
            </w:r>
          </w:p>
        </w:tc>
        <w:tc>
          <w:tcPr>
            <w:tcW w:w="2500" w:type="pct"/>
            <w:noWrap w:val="0"/>
            <w:vAlign w:val="top"/>
          </w:tcPr>
          <w:p>
            <w:pPr>
              <w:numPr>
                <w:ilvl w:val="0"/>
                <w:numId w:val="0"/>
              </w:numPr>
              <w:spacing w:line="240" w:lineRule="auto"/>
              <w:ind w:right="-4" w:rightChars="0"/>
              <w:jc w:val="both"/>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color w:val="auto"/>
                <w:sz w:val="18"/>
                <w:szCs w:val="18"/>
                <w:lang w:val="en-US" w:eastAsia="zh-CN"/>
              </w:rPr>
              <w:t xml:space="preserve">第五十四条 </w:t>
            </w:r>
            <w:r>
              <w:rPr>
                <w:rFonts w:hint="eastAsia" w:asciiTheme="minorEastAsia" w:hAnsiTheme="minorEastAsia" w:eastAsiaTheme="minorEastAsia" w:cstheme="minorEastAsia"/>
                <w:b/>
                <w:sz w:val="18"/>
                <w:szCs w:val="18"/>
              </w:rPr>
              <w:t>发生以下任一情形的，甲方同意授权乙方对甲方开立在乙方处的全部证券账户采取限制资产转出（包括限制资金转出、限制转托管、限制撤消指定交易）、限制交易、买卖证券、划转资金或证券等措施实现债权，乙方有权要求甲方立即偿还信用账户项下全部合约负债，并有权对甲方追索债务，直至乙方债权全部得以实现：</w:t>
            </w:r>
          </w:p>
          <w:p>
            <w:pPr>
              <w:pStyle w:val="6"/>
              <w:numPr>
                <w:ilvl w:val="0"/>
                <w:numId w:val="0"/>
              </w:numPr>
              <w:spacing w:line="240" w:lineRule="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bCs/>
                <w:sz w:val="18"/>
                <w:szCs w:val="18"/>
                <w:lang w:val="en-US" w:eastAsia="zh-CN"/>
              </w:rPr>
              <w:t>3、</w:t>
            </w:r>
            <w:r>
              <w:rPr>
                <w:rFonts w:hint="eastAsia" w:asciiTheme="minorEastAsia" w:hAnsiTheme="minorEastAsia" w:eastAsiaTheme="minorEastAsia" w:cstheme="minorEastAsia"/>
                <w:b/>
                <w:sz w:val="18"/>
                <w:szCs w:val="18"/>
              </w:rPr>
              <w:t>信用账户内的证券因减持规则、停牌、终止上市等因素导致强制平仓全部或部分未成交的；</w:t>
            </w:r>
          </w:p>
          <w:p>
            <w:pPr>
              <w:numPr>
                <w:ilvl w:val="0"/>
                <w:numId w:val="0"/>
              </w:numPr>
              <w:spacing w:line="240" w:lineRule="auto"/>
              <w:ind w:right="-4" w:rightChars="0"/>
              <w:jc w:val="both"/>
              <w:rPr>
                <w:rFonts w:hint="eastAsia" w:asciiTheme="minorEastAsia" w:hAnsiTheme="minorEastAsia" w:eastAsiaTheme="minorEastAsia" w:cstheme="minorEastAsia"/>
                <w:b/>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noWrap w:val="0"/>
            <w:vAlign w:val="top"/>
          </w:tcPr>
          <w:p>
            <w:pPr>
              <w:spacing w:line="240" w:lineRule="auto"/>
              <w:jc w:val="center"/>
              <w:rPr>
                <w:rFonts w:hint="eastAsia" w:asciiTheme="minorEastAsia" w:hAnsiTheme="minorEastAsia" w:eastAsiaTheme="minorEastAsia" w:cstheme="minorEastAsia"/>
                <w:b/>
                <w:color w:val="auto"/>
                <w:sz w:val="18"/>
                <w:szCs w:val="18"/>
                <w:lang w:val="en-US"/>
              </w:rPr>
            </w:pPr>
            <w:r>
              <w:rPr>
                <w:rFonts w:hint="eastAsia" w:asciiTheme="minorEastAsia" w:hAnsiTheme="minorEastAsia" w:eastAsiaTheme="minorEastAsia" w:cstheme="minorEastAsia"/>
                <w:b/>
                <w:bCs/>
                <w:color w:val="auto"/>
                <w:kern w:val="2"/>
                <w:sz w:val="18"/>
                <w:szCs w:val="18"/>
                <w:vertAlign w:val="baseline"/>
                <w:lang w:val="en-US" w:eastAsia="zh-CN" w:bidi="ar-SA"/>
              </w:rPr>
              <w:t>第九章 权益处理</w:t>
            </w:r>
          </w:p>
        </w:tc>
        <w:tc>
          <w:tcPr>
            <w:tcW w:w="2500" w:type="pct"/>
            <w:noWrap w:val="0"/>
            <w:vAlign w:val="top"/>
          </w:tcPr>
          <w:p>
            <w:pPr>
              <w:numPr>
                <w:ilvl w:val="0"/>
                <w:numId w:val="0"/>
              </w:numPr>
              <w:spacing w:line="240" w:lineRule="auto"/>
              <w:ind w:right="-4" w:rightChars="0"/>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b/>
                <w:bCs/>
                <w:color w:val="auto"/>
                <w:kern w:val="2"/>
                <w:sz w:val="18"/>
                <w:szCs w:val="18"/>
                <w:vertAlign w:val="baseline"/>
                <w:lang w:val="en-US" w:eastAsia="zh-CN" w:bidi="ar-SA"/>
              </w:rPr>
              <w:t>第九章 权益处理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noWrap w:val="0"/>
            <w:vAlign w:val="top"/>
          </w:tcPr>
          <w:p>
            <w:pPr>
              <w:numPr>
                <w:ilvl w:val="0"/>
                <w:numId w:val="0"/>
              </w:numPr>
              <w:spacing w:line="240" w:lineRule="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bCs/>
                <w:color w:val="auto"/>
                <w:sz w:val="18"/>
                <w:szCs w:val="18"/>
                <w:lang w:val="en-US" w:eastAsia="zh-CN"/>
              </w:rPr>
              <w:t>第五十六条</w:t>
            </w:r>
            <w:r>
              <w:rPr>
                <w:rFonts w:hint="eastAsia" w:asciiTheme="minorEastAsia" w:hAnsiTheme="minorEastAsia" w:eastAsiaTheme="minorEastAsia" w:cstheme="minorEastAsia"/>
                <w:color w:val="auto"/>
                <w:sz w:val="18"/>
                <w:szCs w:val="18"/>
                <w:lang w:val="en-US" w:eastAsia="zh-CN"/>
              </w:rPr>
              <w:t xml:space="preserve"> </w:t>
            </w:r>
            <w:r>
              <w:rPr>
                <w:rFonts w:hint="eastAsia" w:asciiTheme="minorEastAsia" w:hAnsiTheme="minorEastAsia" w:eastAsiaTheme="minorEastAsia" w:cstheme="minorEastAsia"/>
                <w:sz w:val="18"/>
                <w:szCs w:val="18"/>
              </w:rPr>
              <w:t>甲方信用证券账户内证券的权益处理：</w:t>
            </w:r>
          </w:p>
          <w:p>
            <w:pPr>
              <w:spacing w:line="240" w:lineRule="auto"/>
              <w:ind w:firstLine="360" w:firstLineChars="20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甲方信用证券账户内的证券在融资融券交易结束前派生的权益作为乙方债权担保物的法定孳息，直接成为担保物并由乙方记入甲方的信用账户。</w:t>
            </w:r>
          </w:p>
          <w:p>
            <w:pPr>
              <w:spacing w:line="240" w:lineRule="auto"/>
              <w:ind w:firstLine="360" w:firstLineChars="200"/>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sz w:val="18"/>
                <w:szCs w:val="18"/>
              </w:rPr>
              <w:t>对于交易所以T+1DVP交收的证券，若客户在股权登记日前融券卖出该证券，且在股权登记日当天归还，客户仍应将相应的权益补偿给公司。</w:t>
            </w:r>
          </w:p>
          <w:p>
            <w:pPr>
              <w:spacing w:line="240" w:lineRule="auto"/>
              <w:ind w:firstLine="360" w:firstLineChars="200"/>
              <w:jc w:val="both"/>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发生前款约定情形时，乙方以自己的名义为甲方的利益行使对证券发行人的权利。前款所称对证券发行人的权利，是指请求召开证券持有人会议、参加证券持有人会议、提案、表决、配售股份的认购、请求分配投资收益等因持有证券而产生的权利。</w:t>
            </w:r>
          </w:p>
          <w:p>
            <w:pPr>
              <w:numPr>
                <w:ilvl w:val="0"/>
                <w:numId w:val="0"/>
              </w:numPr>
              <w:spacing w:line="240" w:lineRule="auto"/>
              <w:jc w:val="both"/>
              <w:rPr>
                <w:rFonts w:hint="eastAsia" w:asciiTheme="minorEastAsia" w:hAnsiTheme="minorEastAsia" w:eastAsiaTheme="minorEastAsia" w:cstheme="minorEastAsia"/>
                <w:color w:val="auto"/>
                <w:sz w:val="18"/>
                <w:szCs w:val="18"/>
                <w:lang w:eastAsia="zh-CN"/>
              </w:rPr>
            </w:pPr>
          </w:p>
          <w:p>
            <w:pPr>
              <w:numPr>
                <w:ilvl w:val="0"/>
                <w:numId w:val="0"/>
              </w:numPr>
              <w:spacing w:line="240" w:lineRule="auto"/>
              <w:jc w:val="both"/>
              <w:rPr>
                <w:rFonts w:hint="eastAsia" w:asciiTheme="minorEastAsia" w:hAnsiTheme="minorEastAsia" w:eastAsiaTheme="minorEastAsia" w:cstheme="minorEastAsia"/>
                <w:color w:val="auto"/>
                <w:sz w:val="18"/>
                <w:szCs w:val="18"/>
                <w:lang w:eastAsia="zh-CN"/>
              </w:rPr>
            </w:pPr>
          </w:p>
          <w:p>
            <w:pPr>
              <w:numPr>
                <w:ilvl w:val="0"/>
                <w:numId w:val="0"/>
              </w:numPr>
              <w:spacing w:line="240" w:lineRule="auto"/>
              <w:jc w:val="both"/>
              <w:rPr>
                <w:rFonts w:hint="eastAsia" w:asciiTheme="minorEastAsia" w:hAnsiTheme="minorEastAsia" w:eastAsiaTheme="minorEastAsia" w:cstheme="minorEastAsia"/>
                <w:b/>
                <w:bCs/>
                <w:color w:val="auto"/>
                <w:kern w:val="2"/>
                <w:sz w:val="18"/>
                <w:szCs w:val="18"/>
                <w:vertAlign w:val="baseline"/>
                <w:lang w:val="en-US" w:eastAsia="zh-CN" w:bidi="ar-SA"/>
              </w:rPr>
            </w:pPr>
            <w:r>
              <w:rPr>
                <w:rFonts w:hint="eastAsia" w:asciiTheme="minorEastAsia" w:hAnsiTheme="minorEastAsia" w:eastAsiaTheme="minorEastAsia" w:cstheme="minorEastAsia"/>
                <w:color w:val="auto"/>
                <w:sz w:val="18"/>
                <w:szCs w:val="18"/>
                <w:lang w:eastAsia="zh-CN"/>
              </w:rPr>
              <w:t>（</w:t>
            </w:r>
            <w:r>
              <w:rPr>
                <w:rFonts w:hint="eastAsia" w:asciiTheme="minorEastAsia" w:hAnsiTheme="minorEastAsia" w:eastAsiaTheme="minorEastAsia" w:cstheme="minorEastAsia"/>
                <w:color w:val="auto"/>
                <w:sz w:val="18"/>
                <w:szCs w:val="18"/>
                <w:lang w:val="en-US" w:eastAsia="zh-CN"/>
              </w:rPr>
              <w:t>一</w:t>
            </w:r>
            <w:r>
              <w:rPr>
                <w:rFonts w:hint="eastAsia" w:asciiTheme="minorEastAsia" w:hAnsiTheme="minorEastAsia" w:eastAsiaTheme="minorEastAsia" w:cstheme="minorEastAsia"/>
                <w:color w:val="auto"/>
                <w:sz w:val="18"/>
                <w:szCs w:val="18"/>
                <w:lang w:eastAsia="zh-CN"/>
              </w:rPr>
              <w:t>）</w:t>
            </w:r>
            <w:r>
              <w:rPr>
                <w:rFonts w:hint="eastAsia" w:asciiTheme="minorEastAsia" w:hAnsiTheme="minorEastAsia" w:eastAsiaTheme="minorEastAsia" w:cstheme="minorEastAsia"/>
                <w:color w:val="auto"/>
                <w:sz w:val="18"/>
                <w:szCs w:val="18"/>
              </w:rPr>
              <w:t>如甲方需要行使表决权，甲方</w:t>
            </w:r>
            <w:r>
              <w:rPr>
                <w:rFonts w:hint="eastAsia" w:asciiTheme="minorEastAsia" w:hAnsiTheme="minorEastAsia" w:eastAsiaTheme="minorEastAsia" w:cstheme="minorEastAsia"/>
                <w:color w:val="auto"/>
                <w:sz w:val="18"/>
                <w:szCs w:val="18"/>
                <w:lang w:val="en-US" w:eastAsia="zh-CN"/>
              </w:rPr>
              <w:t>在登记日持有上海市场证券的</w:t>
            </w:r>
            <w:r>
              <w:rPr>
                <w:rFonts w:hint="eastAsia" w:asciiTheme="minorEastAsia" w:hAnsiTheme="minorEastAsia" w:eastAsiaTheme="minorEastAsia" w:cstheme="minorEastAsia"/>
                <w:color w:val="auto"/>
                <w:sz w:val="18"/>
                <w:szCs w:val="18"/>
              </w:rPr>
              <w:t>，应于投票日前五个交易日向乙方提出投票需求，</w:t>
            </w:r>
            <w:r>
              <w:rPr>
                <w:rFonts w:hint="eastAsia" w:asciiTheme="minorEastAsia" w:hAnsiTheme="minorEastAsia" w:eastAsiaTheme="minorEastAsia" w:cstheme="minorEastAsia"/>
                <w:color w:val="auto"/>
                <w:sz w:val="18"/>
                <w:szCs w:val="18"/>
                <w:lang w:val="en-US" w:eastAsia="zh-CN"/>
              </w:rPr>
              <w:t>甲方在登记日持有深圳市场证券的，应于投票日前一个交易日向乙方提出投票需求。</w:t>
            </w:r>
            <w:r>
              <w:rPr>
                <w:rFonts w:hint="eastAsia" w:asciiTheme="minorEastAsia" w:hAnsiTheme="minorEastAsia" w:eastAsiaTheme="minorEastAsia" w:cstheme="minorEastAsia"/>
                <w:color w:val="auto"/>
                <w:sz w:val="18"/>
                <w:szCs w:val="18"/>
              </w:rPr>
              <w:t>乙方</w:t>
            </w:r>
            <w:r>
              <w:rPr>
                <w:rFonts w:hint="eastAsia" w:asciiTheme="minorEastAsia" w:hAnsiTheme="minorEastAsia" w:eastAsiaTheme="minorEastAsia" w:cstheme="minorEastAsia"/>
                <w:color w:val="auto"/>
                <w:sz w:val="18"/>
                <w:szCs w:val="18"/>
                <w:lang w:val="en-US" w:eastAsia="zh-CN"/>
              </w:rPr>
              <w:t>于截止日的前一交易日</w:t>
            </w:r>
            <w:r>
              <w:rPr>
                <w:rFonts w:hint="eastAsia" w:asciiTheme="minorEastAsia" w:hAnsiTheme="minorEastAsia" w:eastAsiaTheme="minorEastAsia" w:cstheme="minorEastAsia"/>
                <w:color w:val="auto"/>
                <w:sz w:val="18"/>
                <w:szCs w:val="18"/>
              </w:rPr>
              <w:t>统计“同意”、“反对”、“弃权”分类投票结果，以名义持有人的名义，</w:t>
            </w:r>
            <w:r>
              <w:rPr>
                <w:rFonts w:hint="eastAsia" w:asciiTheme="minorEastAsia" w:hAnsiTheme="minorEastAsia" w:eastAsiaTheme="minorEastAsia" w:cstheme="minorEastAsia"/>
                <w:color w:val="auto"/>
                <w:sz w:val="18"/>
                <w:szCs w:val="18"/>
                <w:lang w:val="en-US" w:eastAsia="zh-CN"/>
              </w:rPr>
              <w:t>通过证券交易所的网络投票系统分类投票；</w:t>
            </w:r>
            <w:r>
              <w:rPr>
                <w:rFonts w:hint="eastAsia" w:asciiTheme="minorEastAsia" w:hAnsiTheme="minorEastAsia" w:eastAsiaTheme="minorEastAsia" w:cstheme="minorEastAsia"/>
                <w:b/>
                <w:color w:val="auto"/>
                <w:sz w:val="18"/>
                <w:szCs w:val="18"/>
              </w:rPr>
              <w:t>甲方须在乙方规定的截止时间前通过乙方表达投票意见，截止时间之后的投票意见，视为弃权。</w:t>
            </w:r>
            <w:r>
              <w:rPr>
                <w:rFonts w:hint="eastAsia" w:asciiTheme="minorEastAsia" w:hAnsiTheme="minorEastAsia" w:eastAsiaTheme="minorEastAsia" w:cstheme="minorEastAsia"/>
                <w:color w:val="auto"/>
                <w:sz w:val="18"/>
                <w:szCs w:val="18"/>
              </w:rPr>
              <w:t>乙方也可根据证券发行人的要求</w:t>
            </w:r>
            <w:r>
              <w:rPr>
                <w:rFonts w:hint="eastAsia" w:asciiTheme="minorEastAsia" w:hAnsiTheme="minorEastAsia" w:eastAsiaTheme="minorEastAsia" w:cstheme="minorEastAsia"/>
                <w:color w:val="auto"/>
                <w:sz w:val="18"/>
                <w:szCs w:val="18"/>
                <w:lang w:val="en-US" w:eastAsia="zh-CN"/>
              </w:rPr>
              <w:t>直接</w:t>
            </w:r>
            <w:r>
              <w:rPr>
                <w:rFonts w:hint="eastAsia" w:asciiTheme="minorEastAsia" w:hAnsiTheme="minorEastAsia" w:eastAsiaTheme="minorEastAsia" w:cstheme="minorEastAsia"/>
                <w:color w:val="auto"/>
                <w:sz w:val="18"/>
                <w:szCs w:val="18"/>
              </w:rPr>
              <w:t>前往证券持有人会议现场进</w:t>
            </w:r>
            <w:r>
              <w:rPr>
                <w:rFonts w:hint="eastAsia" w:asciiTheme="minorEastAsia" w:hAnsiTheme="minorEastAsia" w:eastAsiaTheme="minorEastAsia" w:cstheme="minorEastAsia"/>
                <w:color w:val="auto"/>
                <w:sz w:val="18"/>
                <w:szCs w:val="18"/>
                <w:lang w:val="en-US" w:eastAsia="zh-CN"/>
              </w:rPr>
              <w:t>行分类投票；如甲方与上市公司审议事项存在关联关系，应当在征求意见阶段向乙方说明，并严格遵守有关法律法规关于投票回避的规</w:t>
            </w:r>
            <w:r>
              <w:rPr>
                <w:rFonts w:hint="eastAsia" w:asciiTheme="minorEastAsia" w:hAnsiTheme="minorEastAsia" w:eastAsiaTheme="minorEastAsia" w:cstheme="minorEastAsia"/>
                <w:color w:val="auto"/>
                <w:sz w:val="18"/>
                <w:szCs w:val="18"/>
              </w:rPr>
              <w:t>定，否则乙方有权拒绝按甲方的意见进行投票。</w:t>
            </w:r>
          </w:p>
        </w:tc>
        <w:tc>
          <w:tcPr>
            <w:tcW w:w="2500" w:type="pct"/>
            <w:noWrap w:val="0"/>
            <w:vAlign w:val="top"/>
          </w:tcPr>
          <w:p>
            <w:pPr>
              <w:numPr>
                <w:ilvl w:val="0"/>
                <w:numId w:val="0"/>
              </w:numPr>
              <w:spacing w:line="240" w:lineRule="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bCs/>
                <w:color w:val="auto"/>
                <w:sz w:val="18"/>
                <w:szCs w:val="18"/>
                <w:lang w:val="en-US" w:eastAsia="zh-CN"/>
              </w:rPr>
              <w:t>第五十六条</w:t>
            </w:r>
            <w:r>
              <w:rPr>
                <w:rFonts w:hint="eastAsia" w:asciiTheme="minorEastAsia" w:hAnsiTheme="minorEastAsia" w:eastAsiaTheme="minorEastAsia" w:cstheme="minorEastAsia"/>
                <w:color w:val="auto"/>
                <w:sz w:val="18"/>
                <w:szCs w:val="18"/>
                <w:lang w:val="en-US" w:eastAsia="zh-CN"/>
              </w:rPr>
              <w:t xml:space="preserve"> </w:t>
            </w:r>
            <w:r>
              <w:rPr>
                <w:rFonts w:hint="eastAsia" w:asciiTheme="minorEastAsia" w:hAnsiTheme="minorEastAsia" w:eastAsiaTheme="minorEastAsia" w:cstheme="minorEastAsia"/>
                <w:sz w:val="18"/>
                <w:szCs w:val="18"/>
              </w:rPr>
              <w:t>甲方信用证券账户内证券的权益处理：</w:t>
            </w:r>
          </w:p>
          <w:p>
            <w:pPr>
              <w:spacing w:line="240" w:lineRule="auto"/>
              <w:ind w:firstLine="360" w:firstLineChars="20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甲方信用证券账户内的证券在融资融券交易结束前派生的权益作为乙方债权担保物的法定孳息，直接成为担保物并由乙方记入甲方的信用账户。</w:t>
            </w:r>
          </w:p>
          <w:p>
            <w:pPr>
              <w:spacing w:line="240" w:lineRule="auto"/>
              <w:jc w:val="both"/>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sz w:val="18"/>
                <w:szCs w:val="18"/>
              </w:rPr>
              <w:t>对于交易所以T+1DVP交收的证券，若客户在股权登记日前融券卖出该证券，且在股权登记日当天归还，客户仍应将相应的权益补偿给公司。</w:t>
            </w:r>
          </w:p>
          <w:p>
            <w:pPr>
              <w:spacing w:line="240" w:lineRule="auto"/>
              <w:ind w:firstLine="360" w:firstLineChars="200"/>
              <w:jc w:val="both"/>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发生前款约定情形时，乙方以自己的名义为甲方的利益行使对证券发行人的权利。乙方行使对证券发行人的权利，应当事先征求甲方的意见，并按照甲方意见办理；甲方未表示意见的，乙方不得行使对证券发行人的权利。前款所称对证券发行人的权利，是指请求召开证券持有人会议、参加证券持有人会议、提案、表决、配售股份的认购、请求分配投资收益等因持有证券而产生的权利。</w:t>
            </w:r>
          </w:p>
          <w:p>
            <w:pPr>
              <w:numPr>
                <w:ilvl w:val="0"/>
                <w:numId w:val="0"/>
              </w:numPr>
              <w:spacing w:line="240" w:lineRule="auto"/>
              <w:jc w:val="both"/>
              <w:rPr>
                <w:rFonts w:hint="eastAsia" w:asciiTheme="minorEastAsia" w:hAnsiTheme="minorEastAsia" w:eastAsiaTheme="minorEastAsia" w:cstheme="minorEastAsia"/>
                <w:b/>
                <w:bCs/>
                <w:color w:val="auto"/>
                <w:kern w:val="2"/>
                <w:sz w:val="18"/>
                <w:szCs w:val="18"/>
                <w:vertAlign w:val="baseline"/>
                <w:lang w:val="en-US" w:eastAsia="zh-CN" w:bidi="ar-SA"/>
              </w:rPr>
            </w:pPr>
            <w:r>
              <w:rPr>
                <w:rFonts w:hint="eastAsia" w:asciiTheme="minorEastAsia" w:hAnsiTheme="minorEastAsia" w:eastAsiaTheme="minorEastAsia" w:cstheme="minorEastAsia"/>
                <w:color w:val="auto"/>
                <w:sz w:val="18"/>
                <w:szCs w:val="18"/>
                <w:lang w:eastAsia="zh-CN"/>
              </w:rPr>
              <w:t>（</w:t>
            </w:r>
            <w:r>
              <w:rPr>
                <w:rFonts w:hint="eastAsia" w:asciiTheme="minorEastAsia" w:hAnsiTheme="minorEastAsia" w:eastAsiaTheme="minorEastAsia" w:cstheme="minorEastAsia"/>
                <w:color w:val="auto"/>
                <w:sz w:val="18"/>
                <w:szCs w:val="18"/>
                <w:lang w:val="en-US" w:eastAsia="zh-CN"/>
              </w:rPr>
              <w:t>一</w:t>
            </w:r>
            <w:r>
              <w:rPr>
                <w:rFonts w:hint="eastAsia" w:asciiTheme="minorEastAsia" w:hAnsiTheme="minorEastAsia" w:eastAsiaTheme="minorEastAsia" w:cstheme="minorEastAsia"/>
                <w:color w:val="auto"/>
                <w:sz w:val="18"/>
                <w:szCs w:val="18"/>
                <w:lang w:eastAsia="zh-CN"/>
              </w:rPr>
              <w:t>）</w:t>
            </w:r>
            <w:r>
              <w:rPr>
                <w:rFonts w:hint="eastAsia" w:asciiTheme="minorEastAsia" w:hAnsiTheme="minorEastAsia" w:eastAsiaTheme="minorEastAsia" w:cstheme="minorEastAsia"/>
                <w:color w:val="auto"/>
                <w:sz w:val="18"/>
                <w:szCs w:val="18"/>
              </w:rPr>
              <w:t>如甲方需要行使表决权，甲方应于投票日前</w:t>
            </w:r>
            <w:r>
              <w:rPr>
                <w:rFonts w:hint="eastAsia" w:asciiTheme="minorEastAsia" w:hAnsiTheme="minorEastAsia" w:eastAsiaTheme="minorEastAsia" w:cstheme="minorEastAsia"/>
                <w:color w:val="auto"/>
                <w:sz w:val="18"/>
                <w:szCs w:val="18"/>
                <w:lang w:val="en-US" w:eastAsia="zh-CN"/>
              </w:rPr>
              <w:t>一</w:t>
            </w:r>
            <w:r>
              <w:rPr>
                <w:rFonts w:hint="eastAsia" w:asciiTheme="minorEastAsia" w:hAnsiTheme="minorEastAsia" w:eastAsiaTheme="minorEastAsia" w:cstheme="minorEastAsia"/>
                <w:color w:val="auto"/>
                <w:sz w:val="18"/>
                <w:szCs w:val="18"/>
              </w:rPr>
              <w:t>个交易日</w:t>
            </w:r>
            <w:r>
              <w:rPr>
                <w:rFonts w:hint="eastAsia" w:asciiTheme="minorEastAsia" w:hAnsiTheme="minorEastAsia" w:eastAsiaTheme="minorEastAsia" w:cstheme="minorEastAsia"/>
                <w:color w:val="auto"/>
                <w:sz w:val="18"/>
                <w:szCs w:val="18"/>
                <w:lang w:val="en-US" w:eastAsia="zh-CN"/>
              </w:rPr>
              <w:t>15：00前</w:t>
            </w:r>
            <w:r>
              <w:rPr>
                <w:rFonts w:hint="eastAsia" w:asciiTheme="minorEastAsia" w:hAnsiTheme="minorEastAsia" w:eastAsiaTheme="minorEastAsia" w:cstheme="minorEastAsia"/>
                <w:color w:val="auto"/>
                <w:sz w:val="18"/>
                <w:szCs w:val="18"/>
              </w:rPr>
              <w:t>向乙方提出投票需求。乙方</w:t>
            </w:r>
            <w:r>
              <w:rPr>
                <w:rFonts w:hint="eastAsia" w:asciiTheme="minorEastAsia" w:hAnsiTheme="minorEastAsia" w:eastAsiaTheme="minorEastAsia" w:cstheme="minorEastAsia"/>
                <w:color w:val="auto"/>
                <w:sz w:val="18"/>
                <w:szCs w:val="18"/>
                <w:lang w:val="en-US" w:eastAsia="zh-CN"/>
              </w:rPr>
              <w:t>汇总投资者投票意愿，</w:t>
            </w:r>
            <w:r>
              <w:rPr>
                <w:rFonts w:hint="eastAsia" w:asciiTheme="minorEastAsia" w:hAnsiTheme="minorEastAsia" w:eastAsiaTheme="minorEastAsia" w:cstheme="minorEastAsia"/>
                <w:color w:val="auto"/>
                <w:sz w:val="18"/>
                <w:szCs w:val="18"/>
              </w:rPr>
              <w:t>统计“同意”、“反对”、“弃权”分类投票结果，以名义持有人的名义</w:t>
            </w:r>
            <w:r>
              <w:rPr>
                <w:rFonts w:hint="eastAsia" w:asciiTheme="minorEastAsia" w:hAnsiTheme="minorEastAsia" w:eastAsiaTheme="minorEastAsia" w:cstheme="minorEastAsia"/>
                <w:color w:val="auto"/>
                <w:sz w:val="18"/>
                <w:szCs w:val="18"/>
                <w:lang w:val="en-US" w:eastAsia="zh-CN"/>
              </w:rPr>
              <w:t>进行投票</w:t>
            </w:r>
            <w:r>
              <w:rPr>
                <w:rFonts w:hint="eastAsia" w:asciiTheme="minorEastAsia" w:hAnsiTheme="minorEastAsia" w:eastAsiaTheme="minorEastAsia" w:cstheme="minorEastAsia"/>
                <w:color w:val="auto"/>
                <w:sz w:val="18"/>
                <w:szCs w:val="18"/>
                <w:lang w:eastAsia="zh-CN"/>
              </w:rPr>
              <w:t>。</w:t>
            </w:r>
            <w:r>
              <w:rPr>
                <w:rFonts w:hint="eastAsia" w:asciiTheme="minorEastAsia" w:hAnsiTheme="minorEastAsia" w:eastAsiaTheme="minorEastAsia" w:cstheme="minorEastAsia"/>
                <w:b/>
                <w:color w:val="auto"/>
                <w:sz w:val="18"/>
                <w:szCs w:val="18"/>
              </w:rPr>
              <w:t>甲方须在乙方规定的截止时间前通过乙方表达投票意见，截止时间之后的投票意见，视为弃权。</w:t>
            </w:r>
            <w:r>
              <w:rPr>
                <w:rFonts w:hint="eastAsia" w:asciiTheme="minorEastAsia" w:hAnsiTheme="minorEastAsia" w:eastAsiaTheme="minorEastAsia" w:cstheme="minorEastAsia"/>
                <w:color w:val="auto"/>
                <w:sz w:val="18"/>
                <w:szCs w:val="18"/>
                <w:lang w:val="en-US" w:eastAsia="zh-CN"/>
              </w:rPr>
              <w:t>甲方</w:t>
            </w:r>
            <w:r>
              <w:rPr>
                <w:rFonts w:hint="eastAsia" w:asciiTheme="minorEastAsia" w:hAnsiTheme="minorEastAsia" w:eastAsiaTheme="minorEastAsia" w:cstheme="minorEastAsia"/>
                <w:color w:val="auto"/>
                <w:sz w:val="18"/>
                <w:szCs w:val="18"/>
              </w:rPr>
              <w:t>也可根据证券发行人的要求</w:t>
            </w:r>
            <w:r>
              <w:rPr>
                <w:rFonts w:hint="eastAsia" w:asciiTheme="minorEastAsia" w:hAnsiTheme="minorEastAsia" w:eastAsiaTheme="minorEastAsia" w:cstheme="minorEastAsia"/>
                <w:color w:val="auto"/>
                <w:sz w:val="18"/>
                <w:szCs w:val="18"/>
                <w:lang w:eastAsia="zh-CN"/>
              </w:rPr>
              <w:t>“</w:t>
            </w:r>
            <w:r>
              <w:rPr>
                <w:rFonts w:hint="eastAsia" w:asciiTheme="minorEastAsia" w:hAnsiTheme="minorEastAsia" w:eastAsiaTheme="minorEastAsia" w:cstheme="minorEastAsia"/>
                <w:color w:val="auto"/>
                <w:sz w:val="18"/>
                <w:szCs w:val="18"/>
                <w:lang w:val="en-US" w:eastAsia="zh-CN"/>
              </w:rPr>
              <w:t>参加证券持有人会议”，</w:t>
            </w:r>
            <w:r>
              <w:rPr>
                <w:rFonts w:hint="eastAsia" w:asciiTheme="minorEastAsia" w:hAnsiTheme="minorEastAsia" w:eastAsiaTheme="minorEastAsia" w:cstheme="minorEastAsia"/>
                <w:color w:val="auto"/>
                <w:sz w:val="18"/>
                <w:szCs w:val="18"/>
              </w:rPr>
              <w:t>前往证券持有人会议现场进行投票</w:t>
            </w:r>
            <w:r>
              <w:rPr>
                <w:rFonts w:hint="eastAsia" w:asciiTheme="minorEastAsia" w:hAnsiTheme="minorEastAsia" w:eastAsiaTheme="minorEastAsia" w:cstheme="minorEastAsia"/>
                <w:color w:val="auto"/>
                <w:sz w:val="18"/>
                <w:szCs w:val="18"/>
                <w:lang w:eastAsia="zh-CN"/>
              </w:rPr>
              <w:t>，</w:t>
            </w:r>
            <w:r>
              <w:rPr>
                <w:rFonts w:hint="eastAsia" w:asciiTheme="minorEastAsia" w:hAnsiTheme="minorEastAsia" w:eastAsiaTheme="minorEastAsia" w:cstheme="minorEastAsia"/>
                <w:color w:val="auto"/>
                <w:sz w:val="18"/>
                <w:szCs w:val="18"/>
                <w:lang w:val="en-US" w:eastAsia="zh-CN"/>
              </w:rPr>
              <w:t>但须按本条（二）款要求向乙方提出申请</w:t>
            </w:r>
            <w:r>
              <w:rPr>
                <w:rFonts w:hint="eastAsia" w:asciiTheme="minorEastAsia" w:hAnsiTheme="minorEastAsia" w:eastAsiaTheme="minorEastAsia" w:cstheme="minorEastAsia"/>
                <w:color w:val="auto"/>
                <w:sz w:val="18"/>
                <w:szCs w:val="18"/>
              </w:rPr>
              <w:t>；如甲方与上市公司审议事项存在关联关系，应当在征求意见阶段向乙方说明，并严格遵守有关法律法规关于投票回避的规定，否则乙方有权拒绝按甲方的意见进行投票。</w:t>
            </w:r>
            <w:r>
              <w:rPr>
                <w:rFonts w:hint="eastAsia" w:asciiTheme="minorEastAsia" w:hAnsiTheme="minorEastAsia" w:eastAsiaTheme="minorEastAsia" w:cstheme="minorEastAsia"/>
                <w:color w:val="auto"/>
                <w:sz w:val="18"/>
                <w:szCs w:val="18"/>
                <w:lang w:val="en-US" w:eastAsia="zh-CN"/>
              </w:rPr>
              <w:t>乙方代表甲方行使投票权所产生的相关费用，应有甲方自行承担。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noWrap w:val="0"/>
            <w:vAlign w:val="top"/>
          </w:tcPr>
          <w:p>
            <w:pPr>
              <w:numPr>
                <w:ilvl w:val="0"/>
                <w:numId w:val="0"/>
              </w:numPr>
              <w:spacing w:line="240" w:lineRule="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b/>
                <w:bCs/>
                <w:color w:val="auto"/>
                <w:sz w:val="18"/>
                <w:szCs w:val="18"/>
                <w:lang w:val="en-US" w:eastAsia="zh-CN"/>
              </w:rPr>
              <w:t>第五十七条</w:t>
            </w:r>
            <w:r>
              <w:rPr>
                <w:rFonts w:hint="eastAsia" w:asciiTheme="minorEastAsia" w:hAnsiTheme="minorEastAsia" w:eastAsiaTheme="minorEastAsia" w:cstheme="minorEastAsia"/>
                <w:color w:val="auto"/>
                <w:sz w:val="18"/>
                <w:szCs w:val="18"/>
                <w:lang w:val="en-US" w:eastAsia="zh-CN"/>
              </w:rPr>
              <w:t xml:space="preserve"> </w:t>
            </w:r>
            <w:r>
              <w:rPr>
                <w:rFonts w:hint="eastAsia" w:asciiTheme="minorEastAsia" w:hAnsiTheme="minorEastAsia" w:eastAsiaTheme="minorEastAsia" w:cstheme="minorEastAsia"/>
                <w:sz w:val="18"/>
                <w:szCs w:val="18"/>
              </w:rPr>
              <w:t>甲方融入证券的权益处理：</w:t>
            </w:r>
          </w:p>
          <w:p>
            <w:pPr>
              <w:numPr>
                <w:ilvl w:val="0"/>
                <w:numId w:val="0"/>
              </w:numPr>
              <w:spacing w:line="240" w:lineRule="auto"/>
              <w:jc w:val="both"/>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lang w:eastAsia="zh-CN"/>
              </w:rPr>
              <w:t>（</w:t>
            </w:r>
            <w:r>
              <w:rPr>
                <w:rFonts w:hint="eastAsia" w:asciiTheme="minorEastAsia" w:hAnsiTheme="minorEastAsia" w:eastAsiaTheme="minorEastAsia" w:cstheme="minorEastAsia"/>
                <w:color w:val="auto"/>
                <w:sz w:val="18"/>
                <w:szCs w:val="18"/>
                <w:lang w:val="en-US" w:eastAsia="zh-CN"/>
              </w:rPr>
              <w:t>二</w:t>
            </w:r>
            <w:r>
              <w:rPr>
                <w:rFonts w:hint="eastAsia" w:asciiTheme="minorEastAsia" w:hAnsiTheme="minorEastAsia" w:eastAsiaTheme="minorEastAsia" w:cstheme="minorEastAsia"/>
                <w:color w:val="auto"/>
                <w:sz w:val="18"/>
                <w:szCs w:val="18"/>
                <w:lang w:eastAsia="zh-CN"/>
              </w:rPr>
              <w:t>）</w:t>
            </w:r>
            <w:r>
              <w:rPr>
                <w:rFonts w:hint="eastAsia" w:asciiTheme="minorEastAsia" w:hAnsiTheme="minorEastAsia" w:eastAsiaTheme="minorEastAsia" w:cstheme="minorEastAsia"/>
                <w:color w:val="auto"/>
                <w:sz w:val="18"/>
                <w:szCs w:val="18"/>
              </w:rPr>
              <w:t>发生送股或转增股本的，甲方应当向乙方补偿相应数量的证券。在相应除权日由乙方在甲方信用账户中直接增加相应融券卖出证券的数量；</w:t>
            </w:r>
          </w:p>
          <w:p>
            <w:pPr>
              <w:numPr>
                <w:ilvl w:val="0"/>
                <w:numId w:val="0"/>
              </w:numPr>
              <w:spacing w:line="240" w:lineRule="auto"/>
              <w:jc w:val="both"/>
              <w:rPr>
                <w:rFonts w:hint="eastAsia" w:asciiTheme="minorEastAsia" w:hAnsiTheme="minorEastAsia" w:eastAsiaTheme="minorEastAsia" w:cstheme="minorEastAsia"/>
                <w:color w:val="auto"/>
                <w:sz w:val="18"/>
                <w:szCs w:val="18"/>
                <w:lang w:val="en-US" w:eastAsia="zh-CN"/>
              </w:rPr>
            </w:pPr>
          </w:p>
        </w:tc>
        <w:tc>
          <w:tcPr>
            <w:tcW w:w="2500" w:type="pct"/>
            <w:noWrap w:val="0"/>
            <w:vAlign w:val="top"/>
          </w:tcPr>
          <w:p>
            <w:pPr>
              <w:numPr>
                <w:ilvl w:val="0"/>
                <w:numId w:val="0"/>
              </w:numPr>
              <w:spacing w:line="240" w:lineRule="auto"/>
              <w:jc w:val="both"/>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b/>
                <w:bCs/>
                <w:color w:val="auto"/>
                <w:sz w:val="18"/>
                <w:szCs w:val="18"/>
                <w:lang w:val="en-US" w:eastAsia="zh-CN"/>
              </w:rPr>
              <w:t>第五十七条</w:t>
            </w:r>
            <w:r>
              <w:rPr>
                <w:rFonts w:hint="eastAsia" w:asciiTheme="minorEastAsia" w:hAnsiTheme="minorEastAsia" w:eastAsiaTheme="minorEastAsia" w:cstheme="minorEastAsia"/>
                <w:color w:val="auto"/>
                <w:sz w:val="18"/>
                <w:szCs w:val="18"/>
                <w:lang w:val="en-US" w:eastAsia="zh-CN"/>
              </w:rPr>
              <w:t xml:space="preserve"> </w:t>
            </w:r>
            <w:r>
              <w:rPr>
                <w:rFonts w:hint="eastAsia" w:asciiTheme="minorEastAsia" w:hAnsiTheme="minorEastAsia" w:eastAsiaTheme="minorEastAsia" w:cstheme="minorEastAsia"/>
                <w:sz w:val="18"/>
                <w:szCs w:val="18"/>
              </w:rPr>
              <w:t>甲方融入证券的权益处理：</w:t>
            </w:r>
          </w:p>
          <w:p>
            <w:pPr>
              <w:numPr>
                <w:ilvl w:val="0"/>
                <w:numId w:val="0"/>
              </w:numPr>
              <w:spacing w:line="240" w:lineRule="auto"/>
              <w:jc w:val="both"/>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lang w:eastAsia="zh-CN"/>
              </w:rPr>
              <w:t>（</w:t>
            </w:r>
            <w:r>
              <w:rPr>
                <w:rFonts w:hint="eastAsia" w:asciiTheme="minorEastAsia" w:hAnsiTheme="minorEastAsia" w:eastAsiaTheme="minorEastAsia" w:cstheme="minorEastAsia"/>
                <w:color w:val="auto"/>
                <w:sz w:val="18"/>
                <w:szCs w:val="18"/>
                <w:lang w:val="en-US" w:eastAsia="zh-CN"/>
              </w:rPr>
              <w:t>二</w:t>
            </w:r>
            <w:r>
              <w:rPr>
                <w:rFonts w:hint="eastAsia" w:asciiTheme="minorEastAsia" w:hAnsiTheme="minorEastAsia" w:eastAsiaTheme="minorEastAsia" w:cstheme="minorEastAsia"/>
                <w:color w:val="auto"/>
                <w:sz w:val="18"/>
                <w:szCs w:val="18"/>
                <w:lang w:eastAsia="zh-CN"/>
              </w:rPr>
              <w:t>）</w:t>
            </w:r>
            <w:r>
              <w:rPr>
                <w:rFonts w:hint="eastAsia" w:asciiTheme="minorEastAsia" w:hAnsiTheme="minorEastAsia" w:eastAsiaTheme="minorEastAsia" w:cstheme="minorEastAsia"/>
                <w:color w:val="auto"/>
                <w:sz w:val="18"/>
                <w:szCs w:val="18"/>
              </w:rPr>
              <w:t>发生送股或转增股本的，甲方应当向乙方补偿相应数量的证券。在相应除权日由乙方在甲方信用账户中直接增加相应融券卖出证券的数量；</w:t>
            </w:r>
            <w:r>
              <w:rPr>
                <w:rFonts w:hint="eastAsia" w:asciiTheme="minorEastAsia" w:hAnsiTheme="minorEastAsia" w:eastAsiaTheme="minorEastAsia" w:cstheme="minorEastAsia"/>
                <w:color w:val="auto"/>
                <w:kern w:val="0"/>
                <w:sz w:val="18"/>
                <w:szCs w:val="18"/>
                <w:lang w:val="en-US" w:eastAsia="zh-CN"/>
              </w:rPr>
              <w:t>甲方应通过买券还券或现券还券方式优先偿还该标的证券全部融券合约的</w:t>
            </w:r>
            <w:r>
              <w:rPr>
                <w:rFonts w:hint="eastAsia" w:asciiTheme="minorEastAsia" w:hAnsiTheme="minorEastAsia" w:eastAsiaTheme="minorEastAsia" w:cstheme="minorEastAsia"/>
                <w:color w:val="auto"/>
                <w:sz w:val="18"/>
                <w:szCs w:val="18"/>
              </w:rPr>
              <w:t>送股或转增股本</w:t>
            </w:r>
            <w:r>
              <w:rPr>
                <w:rFonts w:hint="eastAsia" w:asciiTheme="minorEastAsia" w:hAnsiTheme="minorEastAsia" w:eastAsiaTheme="minorEastAsia" w:cstheme="minorEastAsia"/>
                <w:color w:val="auto"/>
                <w:kern w:val="0"/>
                <w:sz w:val="18"/>
                <w:szCs w:val="18"/>
                <w:lang w:val="en-US" w:eastAsia="zh-CN"/>
              </w:rPr>
              <w:t>权益数量。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noWrap w:val="0"/>
            <w:vAlign w:val="top"/>
          </w:tcPr>
          <w:p>
            <w:pPr>
              <w:numPr>
                <w:ilvl w:val="0"/>
                <w:numId w:val="0"/>
              </w:numPr>
              <w:spacing w:line="240" w:lineRule="auto"/>
              <w:jc w:val="both"/>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b/>
                <w:bCs/>
                <w:color w:val="auto"/>
                <w:sz w:val="18"/>
                <w:szCs w:val="18"/>
                <w:lang w:val="en-US" w:eastAsia="zh-CN"/>
              </w:rPr>
              <w:t>第五十八条</w:t>
            </w:r>
            <w:r>
              <w:rPr>
                <w:rFonts w:hint="eastAsia" w:asciiTheme="minorEastAsia" w:hAnsiTheme="minorEastAsia" w:eastAsiaTheme="minorEastAsia" w:cstheme="minorEastAsia"/>
                <w:color w:val="auto"/>
                <w:sz w:val="18"/>
                <w:szCs w:val="18"/>
                <w:lang w:val="en-US" w:eastAsia="zh-CN"/>
              </w:rPr>
              <w:t xml:space="preserve"> </w:t>
            </w:r>
            <w:r>
              <w:rPr>
                <w:rFonts w:hint="eastAsia" w:asciiTheme="minorEastAsia" w:hAnsiTheme="minorEastAsia" w:eastAsiaTheme="minorEastAsia" w:cstheme="minorEastAsia"/>
                <w:sz w:val="18"/>
                <w:szCs w:val="18"/>
              </w:rPr>
              <w:t>甲方余券权益处理</w:t>
            </w:r>
          </w:p>
          <w:p>
            <w:pPr>
              <w:numPr>
                <w:ilvl w:val="0"/>
                <w:numId w:val="0"/>
              </w:numPr>
              <w:spacing w:line="240" w:lineRule="auto"/>
              <w:jc w:val="both"/>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lang w:eastAsia="zh-CN"/>
              </w:rPr>
              <w:t>（</w:t>
            </w:r>
            <w:r>
              <w:rPr>
                <w:rFonts w:hint="eastAsia" w:asciiTheme="minorEastAsia" w:hAnsiTheme="minorEastAsia" w:eastAsiaTheme="minorEastAsia" w:cstheme="minorEastAsia"/>
                <w:color w:val="auto"/>
                <w:sz w:val="18"/>
                <w:szCs w:val="18"/>
                <w:lang w:val="en-US" w:eastAsia="zh-CN"/>
              </w:rPr>
              <w:t>二</w:t>
            </w:r>
            <w:r>
              <w:rPr>
                <w:rFonts w:hint="eastAsia" w:asciiTheme="minorEastAsia" w:hAnsiTheme="minorEastAsia" w:eastAsiaTheme="minorEastAsia" w:cstheme="minorEastAsia"/>
                <w:color w:val="auto"/>
                <w:sz w:val="18"/>
                <w:szCs w:val="18"/>
                <w:lang w:eastAsia="zh-CN"/>
              </w:rPr>
              <w:t>）</w:t>
            </w:r>
            <w:r>
              <w:rPr>
                <w:rFonts w:hint="eastAsia" w:asciiTheme="minorEastAsia" w:hAnsiTheme="minorEastAsia" w:eastAsiaTheme="minorEastAsia" w:cstheme="minorEastAsia"/>
                <w:color w:val="auto"/>
                <w:sz w:val="18"/>
                <w:szCs w:val="18"/>
              </w:rPr>
              <w:t>配股、增发、优先认购权、投票权等其他权益</w:t>
            </w:r>
          </w:p>
          <w:p>
            <w:pPr>
              <w:spacing w:line="240" w:lineRule="auto"/>
              <w:ind w:firstLine="360" w:firstLineChars="200"/>
              <w:jc w:val="both"/>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rPr>
              <w:t>余券证券产生配股、增发、优先认购权或投票权的，</w:t>
            </w:r>
            <w:r>
              <w:rPr>
                <w:rFonts w:hint="eastAsia" w:asciiTheme="minorEastAsia" w:hAnsiTheme="minorEastAsia" w:eastAsiaTheme="minorEastAsia" w:cstheme="minorEastAsia"/>
                <w:color w:val="auto"/>
                <w:sz w:val="18"/>
                <w:szCs w:val="18"/>
                <w:lang w:val="en-US" w:eastAsia="zh-CN"/>
              </w:rPr>
              <w:t>故乙方与甲方约定，</w:t>
            </w:r>
            <w:r>
              <w:rPr>
                <w:rFonts w:hint="eastAsia" w:asciiTheme="minorEastAsia" w:hAnsiTheme="minorEastAsia" w:eastAsiaTheme="minorEastAsia" w:cstheme="minorEastAsia"/>
                <w:color w:val="auto"/>
                <w:sz w:val="18"/>
                <w:szCs w:val="18"/>
              </w:rPr>
              <w:t>甲方放弃余券在划回前的上述权益，乙方无须承担相应的补偿责任。</w:t>
            </w:r>
          </w:p>
        </w:tc>
        <w:tc>
          <w:tcPr>
            <w:tcW w:w="2500" w:type="pct"/>
            <w:noWrap w:val="0"/>
            <w:vAlign w:val="top"/>
          </w:tcPr>
          <w:p>
            <w:pPr>
              <w:numPr>
                <w:ilvl w:val="0"/>
                <w:numId w:val="0"/>
              </w:numPr>
              <w:spacing w:line="240" w:lineRule="auto"/>
              <w:jc w:val="both"/>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b/>
                <w:bCs/>
                <w:color w:val="auto"/>
                <w:sz w:val="18"/>
                <w:szCs w:val="18"/>
                <w:lang w:val="en-US" w:eastAsia="zh-CN"/>
              </w:rPr>
              <w:t>第五十八条</w:t>
            </w:r>
            <w:r>
              <w:rPr>
                <w:rFonts w:hint="eastAsia" w:asciiTheme="minorEastAsia" w:hAnsiTheme="minorEastAsia" w:eastAsiaTheme="minorEastAsia" w:cstheme="minorEastAsia"/>
                <w:color w:val="auto"/>
                <w:sz w:val="18"/>
                <w:szCs w:val="18"/>
                <w:lang w:val="en-US" w:eastAsia="zh-CN"/>
              </w:rPr>
              <w:t xml:space="preserve"> </w:t>
            </w:r>
            <w:r>
              <w:rPr>
                <w:rFonts w:hint="eastAsia" w:asciiTheme="minorEastAsia" w:hAnsiTheme="minorEastAsia" w:eastAsiaTheme="minorEastAsia" w:cstheme="minorEastAsia"/>
                <w:sz w:val="18"/>
                <w:szCs w:val="18"/>
              </w:rPr>
              <w:t>甲方余券权益处理</w:t>
            </w:r>
          </w:p>
          <w:p>
            <w:pPr>
              <w:numPr>
                <w:ilvl w:val="0"/>
                <w:numId w:val="0"/>
              </w:numPr>
              <w:spacing w:line="240" w:lineRule="auto"/>
              <w:jc w:val="both"/>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lang w:eastAsia="zh-CN"/>
              </w:rPr>
              <w:t>（</w:t>
            </w:r>
            <w:r>
              <w:rPr>
                <w:rFonts w:hint="eastAsia" w:asciiTheme="minorEastAsia" w:hAnsiTheme="minorEastAsia" w:eastAsiaTheme="minorEastAsia" w:cstheme="minorEastAsia"/>
                <w:color w:val="auto"/>
                <w:sz w:val="18"/>
                <w:szCs w:val="18"/>
                <w:lang w:val="en-US" w:eastAsia="zh-CN"/>
              </w:rPr>
              <w:t>二</w:t>
            </w:r>
            <w:r>
              <w:rPr>
                <w:rFonts w:hint="eastAsia" w:asciiTheme="minorEastAsia" w:hAnsiTheme="minorEastAsia" w:eastAsiaTheme="minorEastAsia" w:cstheme="minorEastAsia"/>
                <w:color w:val="auto"/>
                <w:sz w:val="18"/>
                <w:szCs w:val="18"/>
                <w:lang w:eastAsia="zh-CN"/>
              </w:rPr>
              <w:t>）</w:t>
            </w:r>
            <w:r>
              <w:rPr>
                <w:rFonts w:hint="eastAsia" w:asciiTheme="minorEastAsia" w:hAnsiTheme="minorEastAsia" w:eastAsiaTheme="minorEastAsia" w:cstheme="minorEastAsia"/>
                <w:color w:val="auto"/>
                <w:sz w:val="18"/>
                <w:szCs w:val="18"/>
              </w:rPr>
              <w:t>配股、增发、优先认购权、投票权等其他权益</w:t>
            </w:r>
          </w:p>
          <w:p>
            <w:pPr>
              <w:spacing w:line="240" w:lineRule="auto"/>
              <w:ind w:firstLine="360" w:firstLineChars="200"/>
              <w:jc w:val="both"/>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rPr>
              <w:t>余券证券产生配股、增发、优先认购权或投票权的，甲</w:t>
            </w:r>
            <w:r>
              <w:rPr>
                <w:rFonts w:hint="eastAsia" w:asciiTheme="minorEastAsia" w:hAnsiTheme="minorEastAsia" w:eastAsiaTheme="minorEastAsia" w:cstheme="minorEastAsia"/>
                <w:color w:val="auto"/>
                <w:sz w:val="18"/>
                <w:szCs w:val="18"/>
                <w:lang w:val="en-US" w:eastAsia="zh-CN"/>
              </w:rPr>
              <w:t>乙</w:t>
            </w:r>
            <w:r>
              <w:rPr>
                <w:rFonts w:hint="eastAsia" w:asciiTheme="minorEastAsia" w:hAnsiTheme="minorEastAsia" w:eastAsiaTheme="minorEastAsia" w:cstheme="minorEastAsia"/>
                <w:color w:val="auto"/>
                <w:sz w:val="18"/>
                <w:szCs w:val="18"/>
              </w:rPr>
              <w:t>方</w:t>
            </w:r>
            <w:r>
              <w:rPr>
                <w:rFonts w:hint="eastAsia" w:asciiTheme="minorEastAsia" w:hAnsiTheme="minorEastAsia" w:eastAsiaTheme="minorEastAsia" w:cstheme="minorEastAsia"/>
                <w:color w:val="auto"/>
                <w:sz w:val="18"/>
                <w:szCs w:val="18"/>
                <w:lang w:val="en-US" w:eastAsia="zh-CN"/>
              </w:rPr>
              <w:t>一致同意</w:t>
            </w:r>
            <w:r>
              <w:rPr>
                <w:rFonts w:hint="eastAsia" w:asciiTheme="minorEastAsia" w:hAnsiTheme="minorEastAsia" w:eastAsiaTheme="minorEastAsia" w:cstheme="minorEastAsia"/>
                <w:color w:val="auto"/>
                <w:sz w:val="18"/>
                <w:szCs w:val="18"/>
              </w:rPr>
              <w:t>，甲方放弃余券在划回前的上述权益，乙方无须承担相应的补偿责任。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noWrap w:val="0"/>
            <w:vAlign w:val="top"/>
          </w:tcPr>
          <w:p>
            <w:pPr>
              <w:spacing w:line="240" w:lineRule="auto"/>
              <w:ind w:firstLine="361" w:firstLineChars="200"/>
              <w:jc w:val="center"/>
              <w:rPr>
                <w:rFonts w:hint="eastAsia" w:asciiTheme="minorEastAsia" w:hAnsiTheme="minorEastAsia" w:eastAsiaTheme="minorEastAsia" w:cstheme="minorEastAsia"/>
                <w:color w:val="auto"/>
                <w:sz w:val="18"/>
                <w:szCs w:val="18"/>
                <w:lang w:val="en-US"/>
              </w:rPr>
            </w:pPr>
            <w:r>
              <w:rPr>
                <w:rFonts w:hint="eastAsia" w:asciiTheme="minorEastAsia" w:hAnsiTheme="minorEastAsia" w:eastAsiaTheme="minorEastAsia" w:cstheme="minorEastAsia"/>
                <w:b/>
                <w:bCs/>
                <w:color w:val="auto"/>
                <w:kern w:val="2"/>
                <w:sz w:val="18"/>
                <w:szCs w:val="18"/>
                <w:vertAlign w:val="baseline"/>
                <w:lang w:val="en-US" w:eastAsia="zh-CN" w:bidi="ar-SA"/>
              </w:rPr>
              <w:t>第十二章 通知和送达</w:t>
            </w:r>
          </w:p>
        </w:tc>
        <w:tc>
          <w:tcPr>
            <w:tcW w:w="2500" w:type="pct"/>
            <w:noWrap w:val="0"/>
            <w:vAlign w:val="top"/>
          </w:tcPr>
          <w:p>
            <w:pPr>
              <w:spacing w:line="240" w:lineRule="auto"/>
              <w:ind w:firstLine="361" w:firstLineChars="200"/>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b/>
                <w:bCs/>
                <w:color w:val="auto"/>
                <w:kern w:val="2"/>
                <w:sz w:val="18"/>
                <w:szCs w:val="18"/>
                <w:vertAlign w:val="baseline"/>
                <w:lang w:val="en-US" w:eastAsia="zh-CN" w:bidi="ar-SA"/>
              </w:rPr>
              <w:t>第十二章 通知和送达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noWrap w:val="0"/>
            <w:vAlign w:val="top"/>
          </w:tcPr>
          <w:p>
            <w:pPr>
              <w:spacing w:line="240" w:lineRule="auto"/>
              <w:ind w:firstLine="361" w:firstLineChars="200"/>
              <w:jc w:val="both"/>
              <w:rPr>
                <w:rFonts w:hint="eastAsia" w:asciiTheme="minorEastAsia" w:hAnsiTheme="minorEastAsia" w:eastAsiaTheme="minorEastAsia" w:cstheme="minorEastAsia"/>
                <w:b/>
                <w:bCs/>
                <w:color w:val="auto"/>
                <w:kern w:val="2"/>
                <w:sz w:val="18"/>
                <w:szCs w:val="18"/>
                <w:vertAlign w:val="baseline"/>
                <w:lang w:val="en-US" w:eastAsia="zh-CN" w:bidi="ar-SA"/>
              </w:rPr>
            </w:pPr>
          </w:p>
        </w:tc>
        <w:tc>
          <w:tcPr>
            <w:tcW w:w="2500" w:type="pct"/>
            <w:noWrap w:val="0"/>
            <w:vAlign w:val="top"/>
          </w:tcPr>
          <w:p>
            <w:pPr>
              <w:numPr>
                <w:ilvl w:val="0"/>
                <w:numId w:val="0"/>
              </w:numPr>
              <w:spacing w:line="240" w:lineRule="auto"/>
              <w:jc w:val="both"/>
              <w:rPr>
                <w:rFonts w:hint="eastAsia" w:asciiTheme="minorEastAsia" w:hAnsiTheme="minorEastAsia" w:eastAsiaTheme="minorEastAsia" w:cstheme="minorEastAsia"/>
                <w:b/>
                <w:bCs/>
                <w:color w:val="auto"/>
                <w:kern w:val="2"/>
                <w:sz w:val="18"/>
                <w:szCs w:val="18"/>
                <w:vertAlign w:val="baseline"/>
                <w:lang w:val="en-US" w:eastAsia="zh-CN" w:bidi="ar-SA"/>
              </w:rPr>
            </w:pPr>
            <w:r>
              <w:rPr>
                <w:rFonts w:hint="eastAsia" w:asciiTheme="minorEastAsia" w:hAnsiTheme="minorEastAsia" w:eastAsiaTheme="minorEastAsia" w:cstheme="minorEastAsia"/>
                <w:b/>
                <w:color w:val="auto"/>
                <w:sz w:val="18"/>
                <w:szCs w:val="18"/>
                <w:lang w:val="en-US" w:eastAsia="zh-CN"/>
              </w:rPr>
              <w:t>第七十条 若甲方为资产管理计划及相关产品，乙方仅向甲方发送</w:t>
            </w:r>
            <w:r>
              <w:rPr>
                <w:rFonts w:hint="eastAsia" w:asciiTheme="minorEastAsia" w:hAnsiTheme="minorEastAsia" w:eastAsiaTheme="minorEastAsia" w:cstheme="minorEastAsia"/>
                <w:b/>
                <w:color w:val="auto"/>
                <w:sz w:val="18"/>
                <w:szCs w:val="18"/>
              </w:rPr>
              <w:t>本合同所约定的通知</w:t>
            </w:r>
            <w:r>
              <w:rPr>
                <w:rFonts w:hint="eastAsia" w:asciiTheme="minorEastAsia" w:hAnsiTheme="minorEastAsia" w:eastAsiaTheme="minorEastAsia" w:cstheme="minorEastAsia"/>
                <w:b/>
                <w:color w:val="auto"/>
                <w:sz w:val="18"/>
                <w:szCs w:val="18"/>
                <w:lang w:eastAsia="zh-CN"/>
              </w:rPr>
              <w:t>。</w:t>
            </w:r>
            <w:r>
              <w:rPr>
                <w:rFonts w:hint="eastAsia" w:asciiTheme="minorEastAsia" w:hAnsiTheme="minorEastAsia" w:eastAsiaTheme="minorEastAsia" w:cstheme="minorEastAsia"/>
                <w:b/>
                <w:color w:val="auto"/>
                <w:sz w:val="18"/>
                <w:szCs w:val="18"/>
                <w:lang w:val="en-US" w:eastAsia="zh-CN"/>
              </w:rPr>
              <w:t>甲方需根据相关法律法规、部门规章以及资产管理计划或金融产品相关合同的约定向产品委托人履行通知及信息披露义务。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noWrap w:val="0"/>
            <w:vAlign w:val="top"/>
          </w:tcPr>
          <w:p>
            <w:pPr>
              <w:spacing w:line="240" w:lineRule="auto"/>
              <w:jc w:val="both"/>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b/>
                <w:color w:val="auto"/>
                <w:sz w:val="18"/>
                <w:szCs w:val="18"/>
                <w:lang w:val="en-US" w:eastAsia="zh-CN"/>
              </w:rPr>
              <w:t xml:space="preserve">第七十四条 </w:t>
            </w:r>
            <w:r>
              <w:rPr>
                <w:rFonts w:hint="eastAsia" w:asciiTheme="minorEastAsia" w:hAnsiTheme="minorEastAsia" w:eastAsiaTheme="minorEastAsia" w:cstheme="minorEastAsia"/>
                <w:b/>
                <w:color w:val="auto"/>
                <w:sz w:val="18"/>
                <w:szCs w:val="18"/>
              </w:rPr>
              <w:t>乙方依甲方申请提供书面对账单的服务，除非甲方申请，乙方不另外向甲方寄送书面对账单，但乙方向甲方提供方便的对账查询服务供甲方查询信用账户的相关数据，</w:t>
            </w:r>
            <w:r>
              <w:rPr>
                <w:rFonts w:hint="eastAsia" w:asciiTheme="minorEastAsia" w:hAnsiTheme="minorEastAsia" w:eastAsiaTheme="minorEastAsia" w:cstheme="minorEastAsia"/>
                <w:color w:val="auto"/>
                <w:sz w:val="18"/>
                <w:szCs w:val="18"/>
              </w:rPr>
              <w:t>甲方可以在通过身份验证后于乙方APP、乙方PC交易客户端、乙方官方网站中进行数据查询，甲方也可以通过致电乙方官方服务热线或至乙方分支机构网点申请查询信用账户的相关数据。甲方可以持有效身份证明材料至乙方分支机构网点申请打印纸质对账单。乙方向甲方提供的对账单，主要载明如下事项：</w:t>
            </w:r>
          </w:p>
          <w:p>
            <w:pPr>
              <w:spacing w:line="240" w:lineRule="auto"/>
              <w:jc w:val="both"/>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kern w:val="0"/>
                <w:sz w:val="18"/>
                <w:szCs w:val="18"/>
                <w:lang w:eastAsia="zh-CN"/>
              </w:rPr>
              <w:t>（</w:t>
            </w:r>
            <w:r>
              <w:rPr>
                <w:rFonts w:hint="eastAsia" w:asciiTheme="minorEastAsia" w:hAnsiTheme="minorEastAsia" w:eastAsiaTheme="minorEastAsia" w:cstheme="minorEastAsia"/>
                <w:color w:val="auto"/>
                <w:kern w:val="0"/>
                <w:sz w:val="18"/>
                <w:szCs w:val="18"/>
              </w:rPr>
              <w:t>二）甲方信用账户资产总值、负债总额、保证金可用余额担保证券市值、维持担保比例；</w:t>
            </w:r>
          </w:p>
        </w:tc>
        <w:tc>
          <w:tcPr>
            <w:tcW w:w="2500" w:type="pct"/>
            <w:noWrap w:val="0"/>
            <w:vAlign w:val="top"/>
          </w:tcPr>
          <w:p>
            <w:pPr>
              <w:spacing w:line="240" w:lineRule="auto"/>
              <w:jc w:val="both"/>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b/>
                <w:color w:val="auto"/>
                <w:sz w:val="18"/>
                <w:szCs w:val="18"/>
                <w:lang w:val="en-US" w:eastAsia="zh-CN"/>
              </w:rPr>
              <w:t xml:space="preserve">第七十四条 </w:t>
            </w:r>
            <w:r>
              <w:rPr>
                <w:rFonts w:hint="eastAsia" w:asciiTheme="minorEastAsia" w:hAnsiTheme="minorEastAsia" w:eastAsiaTheme="minorEastAsia" w:cstheme="minorEastAsia"/>
                <w:b/>
                <w:color w:val="auto"/>
                <w:sz w:val="18"/>
                <w:szCs w:val="18"/>
              </w:rPr>
              <w:t>乙方向甲方提供方便的对账查询服务供甲方查询信用账户的相关数据，</w:t>
            </w:r>
            <w:r>
              <w:rPr>
                <w:rFonts w:hint="eastAsia" w:asciiTheme="minorEastAsia" w:hAnsiTheme="minorEastAsia" w:eastAsiaTheme="minorEastAsia" w:cstheme="minorEastAsia"/>
                <w:color w:val="auto"/>
                <w:sz w:val="18"/>
                <w:szCs w:val="18"/>
              </w:rPr>
              <w:t>甲方可以在通过身份验证后于乙方APP、乙方PC交易客户端、乙方官方网站中进行数据查询，甲方也可以通过致电乙方官方服务热线或至乙方分支机构网点申请查询信用账户的相关数据。甲方可以持有效身份证明材料至乙方分支机构网点申请打印纸质对账单。</w:t>
            </w:r>
            <w:r>
              <w:rPr>
                <w:rFonts w:hint="eastAsia" w:asciiTheme="minorEastAsia" w:hAnsiTheme="minorEastAsia" w:eastAsiaTheme="minorEastAsia" w:cstheme="minorEastAsia"/>
                <w:color w:val="auto"/>
                <w:sz w:val="18"/>
                <w:szCs w:val="18"/>
                <w:lang w:val="en-US" w:eastAsia="zh-CN"/>
              </w:rPr>
              <w:t>同时，</w:t>
            </w:r>
            <w:r>
              <w:rPr>
                <w:rFonts w:hint="eastAsia" w:asciiTheme="minorEastAsia" w:hAnsiTheme="minorEastAsia" w:eastAsiaTheme="minorEastAsia" w:cstheme="minorEastAsia"/>
                <w:b w:val="0"/>
                <w:bCs/>
                <w:color w:val="auto"/>
                <w:sz w:val="18"/>
                <w:szCs w:val="18"/>
                <w:lang w:val="en-US" w:eastAsia="zh-CN"/>
              </w:rPr>
              <w:t>乙方每月以电子邮件方式通过甲方融资融券业务指定邮箱提供对账服务。</w:t>
            </w:r>
            <w:r>
              <w:rPr>
                <w:rFonts w:hint="eastAsia" w:asciiTheme="minorEastAsia" w:hAnsiTheme="minorEastAsia" w:eastAsiaTheme="minorEastAsia" w:cstheme="minorEastAsia"/>
                <w:color w:val="auto"/>
                <w:sz w:val="18"/>
                <w:szCs w:val="18"/>
              </w:rPr>
              <w:t>乙方向甲方提供的对账单，主要载明如下事项</w:t>
            </w:r>
            <w:r>
              <w:rPr>
                <w:rFonts w:hint="eastAsia" w:asciiTheme="minorEastAsia" w:hAnsiTheme="minorEastAsia" w:eastAsiaTheme="minorEastAsia" w:cstheme="minorEastAsia"/>
                <w:color w:val="auto"/>
                <w:sz w:val="18"/>
                <w:szCs w:val="18"/>
                <w:lang w:eastAsia="zh-CN"/>
              </w:rPr>
              <w:t>：</w:t>
            </w:r>
          </w:p>
          <w:p>
            <w:pPr>
              <w:spacing w:line="240" w:lineRule="auto"/>
              <w:jc w:val="both"/>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kern w:val="0"/>
                <w:sz w:val="18"/>
                <w:szCs w:val="18"/>
                <w:lang w:eastAsia="zh-CN"/>
              </w:rPr>
              <w:t>（</w:t>
            </w:r>
            <w:r>
              <w:rPr>
                <w:rFonts w:hint="eastAsia" w:asciiTheme="minorEastAsia" w:hAnsiTheme="minorEastAsia" w:eastAsiaTheme="minorEastAsia" w:cstheme="minorEastAsia"/>
                <w:color w:val="auto"/>
                <w:kern w:val="0"/>
                <w:sz w:val="18"/>
                <w:szCs w:val="18"/>
              </w:rPr>
              <w:t>二）甲方信用账户资产总值、负债总额、保证金可用余额</w:t>
            </w:r>
            <w:r>
              <w:rPr>
                <w:rFonts w:hint="eastAsia" w:asciiTheme="minorEastAsia" w:hAnsiTheme="minorEastAsia" w:eastAsiaTheme="minorEastAsia" w:cstheme="minorEastAsia"/>
                <w:color w:val="auto"/>
                <w:kern w:val="0"/>
                <w:sz w:val="18"/>
                <w:szCs w:val="18"/>
                <w:lang w:val="en-US" w:eastAsia="zh-CN"/>
              </w:rPr>
              <w:t>与可提取金额</w:t>
            </w:r>
            <w:r>
              <w:rPr>
                <w:rFonts w:hint="eastAsia" w:asciiTheme="minorEastAsia" w:hAnsiTheme="minorEastAsia" w:eastAsiaTheme="minorEastAsia" w:cstheme="minorEastAsia"/>
                <w:color w:val="auto"/>
                <w:kern w:val="0"/>
                <w:sz w:val="18"/>
                <w:szCs w:val="18"/>
                <w:lang w:eastAsia="zh-CN"/>
              </w:rPr>
              <w:t>、</w:t>
            </w:r>
            <w:r>
              <w:rPr>
                <w:rFonts w:hint="eastAsia" w:asciiTheme="minorEastAsia" w:hAnsiTheme="minorEastAsia" w:eastAsiaTheme="minorEastAsia" w:cstheme="minorEastAsia"/>
                <w:color w:val="auto"/>
                <w:kern w:val="0"/>
                <w:sz w:val="18"/>
                <w:szCs w:val="18"/>
              </w:rPr>
              <w:t>担保证券市值、维持担保比例；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noWrap w:val="0"/>
            <w:vAlign w:val="top"/>
          </w:tcPr>
          <w:p>
            <w:pPr>
              <w:spacing w:line="240" w:lineRule="auto"/>
              <w:jc w:val="center"/>
              <w:rPr>
                <w:rFonts w:hint="eastAsia" w:asciiTheme="minorEastAsia" w:hAnsiTheme="minorEastAsia" w:eastAsiaTheme="minorEastAsia" w:cstheme="minorEastAsia"/>
                <w:color w:val="auto"/>
                <w:kern w:val="0"/>
                <w:sz w:val="18"/>
                <w:szCs w:val="18"/>
                <w:lang w:val="en-US" w:eastAsia="zh-CN"/>
              </w:rPr>
            </w:pPr>
            <w:r>
              <w:rPr>
                <w:rFonts w:hint="eastAsia" w:asciiTheme="minorEastAsia" w:hAnsiTheme="minorEastAsia" w:eastAsiaTheme="minorEastAsia" w:cstheme="minorEastAsia"/>
                <w:b/>
                <w:bCs/>
                <w:color w:val="auto"/>
                <w:kern w:val="2"/>
                <w:sz w:val="18"/>
                <w:szCs w:val="18"/>
                <w:vertAlign w:val="baseline"/>
                <w:lang w:val="en-US" w:eastAsia="zh-CN" w:bidi="ar-SA"/>
              </w:rPr>
              <w:t>第十三章 合同的补充</w:t>
            </w:r>
            <w:r>
              <w:rPr>
                <w:rFonts w:hint="eastAsia" w:asciiTheme="minorEastAsia" w:hAnsiTheme="minorEastAsia" w:eastAsiaTheme="minorEastAsia" w:cstheme="minorEastAsia"/>
                <w:sz w:val="18"/>
                <w:szCs w:val="18"/>
              </w:rPr>
              <w:t>、</w:t>
            </w:r>
            <w:r>
              <w:rPr>
                <w:rFonts w:hint="eastAsia" w:asciiTheme="minorEastAsia" w:hAnsiTheme="minorEastAsia" w:eastAsiaTheme="minorEastAsia" w:cstheme="minorEastAsia"/>
                <w:b/>
                <w:bCs/>
                <w:color w:val="auto"/>
                <w:kern w:val="2"/>
                <w:sz w:val="18"/>
                <w:szCs w:val="18"/>
                <w:vertAlign w:val="baseline"/>
                <w:lang w:val="en-US" w:eastAsia="zh-CN" w:bidi="ar-SA"/>
              </w:rPr>
              <w:t>变更和终止</w:t>
            </w:r>
          </w:p>
        </w:tc>
        <w:tc>
          <w:tcPr>
            <w:tcW w:w="2500" w:type="pct"/>
            <w:noWrap w:val="0"/>
            <w:vAlign w:val="top"/>
          </w:tcPr>
          <w:p>
            <w:pPr>
              <w:spacing w:line="240" w:lineRule="auto"/>
              <w:jc w:val="center"/>
              <w:rPr>
                <w:rFonts w:hint="eastAsia" w:asciiTheme="minorEastAsia" w:hAnsiTheme="minorEastAsia" w:eastAsiaTheme="minorEastAsia" w:cstheme="minorEastAsia"/>
                <w:color w:val="auto"/>
                <w:kern w:val="0"/>
                <w:sz w:val="18"/>
                <w:szCs w:val="18"/>
                <w:lang w:eastAsia="zh-CN"/>
              </w:rPr>
            </w:pPr>
            <w:r>
              <w:rPr>
                <w:rFonts w:hint="eastAsia" w:asciiTheme="minorEastAsia" w:hAnsiTheme="minorEastAsia" w:eastAsiaTheme="minorEastAsia" w:cstheme="minorEastAsia"/>
                <w:b/>
                <w:bCs/>
                <w:color w:val="auto"/>
                <w:kern w:val="2"/>
                <w:sz w:val="18"/>
                <w:szCs w:val="18"/>
                <w:vertAlign w:val="baseline"/>
                <w:lang w:val="en-US" w:eastAsia="zh-CN" w:bidi="ar-SA"/>
              </w:rPr>
              <w:t>第十三章 合同的补充</w:t>
            </w:r>
            <w:r>
              <w:rPr>
                <w:rFonts w:hint="eastAsia" w:asciiTheme="minorEastAsia" w:hAnsiTheme="minorEastAsia" w:eastAsiaTheme="minorEastAsia" w:cstheme="minorEastAsia"/>
                <w:sz w:val="18"/>
                <w:szCs w:val="18"/>
              </w:rPr>
              <w:t>、</w:t>
            </w:r>
            <w:r>
              <w:rPr>
                <w:rFonts w:hint="eastAsia" w:asciiTheme="minorEastAsia" w:hAnsiTheme="minorEastAsia" w:eastAsiaTheme="minorEastAsia" w:cstheme="minorEastAsia"/>
                <w:b/>
                <w:bCs/>
                <w:color w:val="auto"/>
                <w:kern w:val="2"/>
                <w:sz w:val="18"/>
                <w:szCs w:val="18"/>
                <w:vertAlign w:val="baseline"/>
                <w:lang w:val="en-US" w:eastAsia="zh-CN" w:bidi="ar-SA"/>
              </w:rPr>
              <w:t>变更和终止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noWrap w:val="0"/>
            <w:vAlign w:val="top"/>
          </w:tcPr>
          <w:p>
            <w:pPr>
              <w:autoSpaceDE w:val="0"/>
              <w:autoSpaceDN w:val="0"/>
              <w:adjustRightInd w:val="0"/>
              <w:spacing w:line="240" w:lineRule="auto"/>
              <w:jc w:val="both"/>
              <w:rPr>
                <w:rFonts w:hint="eastAsia" w:asciiTheme="minorEastAsia" w:hAnsiTheme="minorEastAsia" w:eastAsiaTheme="minorEastAsia" w:cstheme="minorEastAsia"/>
                <w:b/>
                <w:bCs/>
                <w:color w:val="auto"/>
                <w:kern w:val="2"/>
                <w:sz w:val="18"/>
                <w:szCs w:val="18"/>
                <w:vertAlign w:val="baseline"/>
                <w:lang w:val="en-US" w:eastAsia="zh-CN" w:bidi="ar-SA"/>
              </w:rPr>
            </w:pPr>
            <w:r>
              <w:rPr>
                <w:rFonts w:hint="eastAsia" w:asciiTheme="minorEastAsia" w:hAnsiTheme="minorEastAsia" w:eastAsiaTheme="minorEastAsia" w:cstheme="minorEastAsia"/>
                <w:b/>
                <w:color w:val="auto"/>
                <w:sz w:val="18"/>
                <w:szCs w:val="18"/>
                <w:lang w:val="en-US" w:eastAsia="zh-CN"/>
              </w:rPr>
              <w:t xml:space="preserve">第七十五条 </w:t>
            </w:r>
            <w:r>
              <w:rPr>
                <w:rFonts w:hint="eastAsia" w:asciiTheme="minorEastAsia" w:hAnsiTheme="minorEastAsia" w:eastAsiaTheme="minorEastAsia" w:cstheme="minorEastAsia"/>
                <w:b/>
                <w:color w:val="auto"/>
                <w:sz w:val="18"/>
                <w:szCs w:val="18"/>
              </w:rPr>
              <w:t>因法律、行政法规、规范性文件或证券交易所、证券登记结算机构的业务规则或行业协会的自律规则等的新增或变更而需修改或增补的合同内容，以及本合同约定由乙方公告或通知后即修改的内容，乙方依本合同约定进行公告或通知的，则公告或通知之日起相关公告或通知内容即成为本合同组成部分。</w:t>
            </w:r>
          </w:p>
        </w:tc>
        <w:tc>
          <w:tcPr>
            <w:tcW w:w="2500" w:type="pct"/>
            <w:noWrap w:val="0"/>
            <w:vAlign w:val="top"/>
          </w:tcPr>
          <w:p>
            <w:pPr>
              <w:autoSpaceDE w:val="0"/>
              <w:autoSpaceDN w:val="0"/>
              <w:adjustRightInd w:val="0"/>
              <w:spacing w:line="240" w:lineRule="auto"/>
              <w:jc w:val="both"/>
              <w:rPr>
                <w:rFonts w:hint="eastAsia" w:asciiTheme="minorEastAsia" w:hAnsiTheme="minorEastAsia" w:eastAsiaTheme="minorEastAsia" w:cstheme="minorEastAsia"/>
                <w:b/>
                <w:bCs/>
                <w:color w:val="auto"/>
                <w:kern w:val="2"/>
                <w:sz w:val="18"/>
                <w:szCs w:val="18"/>
                <w:vertAlign w:val="baseline"/>
                <w:lang w:val="en-US" w:eastAsia="zh-CN" w:bidi="ar-SA"/>
              </w:rPr>
            </w:pPr>
            <w:r>
              <w:rPr>
                <w:rFonts w:hint="eastAsia" w:asciiTheme="minorEastAsia" w:hAnsiTheme="minorEastAsia" w:eastAsiaTheme="minorEastAsia" w:cstheme="minorEastAsia"/>
                <w:b/>
                <w:color w:val="auto"/>
                <w:sz w:val="18"/>
                <w:szCs w:val="18"/>
                <w:lang w:val="en-US" w:eastAsia="zh-CN"/>
              </w:rPr>
              <w:t xml:space="preserve">第七十五条 </w:t>
            </w:r>
            <w:r>
              <w:rPr>
                <w:rFonts w:hint="eastAsia" w:asciiTheme="minorEastAsia" w:hAnsiTheme="minorEastAsia" w:eastAsiaTheme="minorEastAsia" w:cstheme="minorEastAsia"/>
                <w:b/>
                <w:color w:val="auto"/>
                <w:sz w:val="18"/>
                <w:szCs w:val="18"/>
              </w:rPr>
              <w:t>因法律、行政法规、规范性文件或证券交易所、证券登记结算机构的业务规则或行业协会的自律规则等的新增或变更而需修改或增补的合同内容，依照本合同约定乙方有权修改或调整的内容以及本合同约定由乙方公告或通知后即修改的内容，乙方依本合同约定进行公告或通知的，则公告或通知之日起相关公告或通知内容即成为本合同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noWrap w:val="0"/>
            <w:vAlign w:val="top"/>
          </w:tcPr>
          <w:p>
            <w:pPr>
              <w:autoSpaceDE w:val="0"/>
              <w:autoSpaceDN w:val="0"/>
              <w:adjustRightInd w:val="0"/>
              <w:spacing w:line="240" w:lineRule="auto"/>
              <w:jc w:val="both"/>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b/>
                <w:color w:val="auto"/>
                <w:sz w:val="18"/>
                <w:szCs w:val="18"/>
                <w:lang w:val="en-US" w:eastAsia="zh-CN"/>
              </w:rPr>
              <w:t>第七十六条</w:t>
            </w:r>
            <w:r>
              <w:rPr>
                <w:rFonts w:hint="eastAsia" w:asciiTheme="minorEastAsia" w:hAnsiTheme="minorEastAsia" w:eastAsiaTheme="minorEastAsia" w:cstheme="minorEastAsia"/>
                <w:color w:val="auto"/>
                <w:sz w:val="18"/>
                <w:szCs w:val="18"/>
                <w:lang w:eastAsia="zh-CN"/>
              </w:rPr>
              <w:t>（</w:t>
            </w:r>
            <w:r>
              <w:rPr>
                <w:rFonts w:hint="eastAsia" w:asciiTheme="minorEastAsia" w:hAnsiTheme="minorEastAsia" w:eastAsiaTheme="minorEastAsia" w:cstheme="minorEastAsia"/>
                <w:color w:val="auto"/>
                <w:sz w:val="18"/>
                <w:szCs w:val="18"/>
                <w:lang w:val="en-US" w:eastAsia="zh-CN"/>
              </w:rPr>
              <w:t>四）</w:t>
            </w:r>
            <w:r>
              <w:rPr>
                <w:rFonts w:hint="eastAsia" w:asciiTheme="minorEastAsia" w:hAnsiTheme="minorEastAsia" w:eastAsiaTheme="minorEastAsia" w:cstheme="minorEastAsia"/>
                <w:color w:val="auto"/>
                <w:sz w:val="18"/>
                <w:szCs w:val="18"/>
              </w:rPr>
              <w:t>甲方（机构）被人民法院宣告进入破产程序或解散</w:t>
            </w:r>
          </w:p>
          <w:p>
            <w:pPr>
              <w:autoSpaceDE w:val="0"/>
              <w:autoSpaceDN w:val="0"/>
              <w:adjustRightInd w:val="0"/>
              <w:spacing w:line="240" w:lineRule="auto"/>
              <w:jc w:val="both"/>
              <w:rPr>
                <w:rFonts w:hint="eastAsia" w:asciiTheme="minorEastAsia" w:hAnsiTheme="minorEastAsia" w:eastAsiaTheme="minorEastAsia" w:cstheme="minorEastAsia"/>
                <w:color w:val="auto"/>
                <w:sz w:val="18"/>
                <w:szCs w:val="18"/>
              </w:rPr>
            </w:pPr>
          </w:p>
          <w:p>
            <w:pPr>
              <w:autoSpaceDE w:val="0"/>
              <w:autoSpaceDN w:val="0"/>
              <w:adjustRightInd w:val="0"/>
              <w:spacing w:line="240" w:lineRule="auto"/>
              <w:jc w:val="both"/>
              <w:rPr>
                <w:rFonts w:hint="eastAsia" w:asciiTheme="minorEastAsia" w:hAnsiTheme="minorEastAsia" w:eastAsiaTheme="minorEastAsia" w:cstheme="minorEastAsia"/>
                <w:color w:val="auto"/>
                <w:sz w:val="18"/>
                <w:szCs w:val="18"/>
              </w:rPr>
            </w:pPr>
          </w:p>
          <w:p>
            <w:pPr>
              <w:autoSpaceDE w:val="0"/>
              <w:autoSpaceDN w:val="0"/>
              <w:adjustRightInd w:val="0"/>
              <w:spacing w:line="240" w:lineRule="auto"/>
              <w:jc w:val="both"/>
              <w:rPr>
                <w:rFonts w:hint="eastAsia" w:asciiTheme="minorEastAsia" w:hAnsiTheme="minorEastAsia" w:eastAsiaTheme="minorEastAsia" w:cstheme="minorEastAsia"/>
                <w:color w:val="auto"/>
                <w:sz w:val="18"/>
                <w:szCs w:val="18"/>
              </w:rPr>
            </w:pPr>
          </w:p>
          <w:p>
            <w:pPr>
              <w:autoSpaceDE w:val="0"/>
              <w:autoSpaceDN w:val="0"/>
              <w:adjustRightInd w:val="0"/>
              <w:spacing w:line="240" w:lineRule="auto"/>
              <w:jc w:val="both"/>
              <w:rPr>
                <w:rFonts w:hint="eastAsia" w:asciiTheme="minorEastAsia" w:hAnsiTheme="minorEastAsia" w:eastAsiaTheme="minorEastAsia" w:cstheme="minorEastAsia"/>
                <w:color w:val="auto"/>
                <w:sz w:val="18"/>
                <w:szCs w:val="18"/>
              </w:rPr>
            </w:pPr>
          </w:p>
          <w:p>
            <w:pPr>
              <w:autoSpaceDE w:val="0"/>
              <w:autoSpaceDN w:val="0"/>
              <w:adjustRightInd w:val="0"/>
              <w:spacing w:line="240" w:lineRule="auto"/>
              <w:ind w:firstLine="360" w:firstLineChars="200"/>
              <w:jc w:val="left"/>
              <w:rPr>
                <w:rFonts w:hint="eastAsia" w:asciiTheme="minorEastAsia" w:hAnsiTheme="minorEastAsia" w:eastAsiaTheme="minorEastAsia" w:cstheme="minorEastAsia"/>
                <w:sz w:val="18"/>
                <w:szCs w:val="18"/>
              </w:rPr>
            </w:pPr>
          </w:p>
          <w:p>
            <w:pPr>
              <w:autoSpaceDE w:val="0"/>
              <w:autoSpaceDN w:val="0"/>
              <w:adjustRightInd w:val="0"/>
              <w:spacing w:line="240" w:lineRule="auto"/>
              <w:ind w:firstLine="360" w:firstLineChars="200"/>
              <w:jc w:val="left"/>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sz w:val="18"/>
                <w:szCs w:val="18"/>
              </w:rPr>
              <w:t>出现本条（一）、（三）、（四）、（五）、（八）款情形时，乙方有权对甲方尚有未及时了结的融资融券交易进行强制平仓处理；出现本条（六）、（七）、（九）（十）款情形时，按照有关法律、法规和有权机关的规定执行。</w:t>
            </w:r>
          </w:p>
        </w:tc>
        <w:tc>
          <w:tcPr>
            <w:tcW w:w="2500" w:type="pct"/>
            <w:noWrap w:val="0"/>
            <w:vAlign w:val="top"/>
          </w:tcPr>
          <w:p>
            <w:pPr>
              <w:autoSpaceDE w:val="0"/>
              <w:autoSpaceDN w:val="0"/>
              <w:adjustRightInd w:val="0"/>
              <w:spacing w:line="240" w:lineRule="auto"/>
              <w:jc w:val="both"/>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b/>
                <w:color w:val="auto"/>
                <w:sz w:val="18"/>
                <w:szCs w:val="18"/>
                <w:lang w:val="en-US" w:eastAsia="zh-CN"/>
              </w:rPr>
              <w:t>第七十六条</w:t>
            </w:r>
            <w:r>
              <w:rPr>
                <w:rFonts w:hint="eastAsia" w:asciiTheme="minorEastAsia" w:hAnsiTheme="minorEastAsia" w:eastAsiaTheme="minorEastAsia" w:cstheme="minorEastAsia"/>
                <w:color w:val="auto"/>
                <w:sz w:val="18"/>
                <w:szCs w:val="18"/>
                <w:lang w:eastAsia="zh-CN"/>
              </w:rPr>
              <w:t>（</w:t>
            </w:r>
            <w:r>
              <w:rPr>
                <w:rFonts w:hint="eastAsia" w:asciiTheme="minorEastAsia" w:hAnsiTheme="minorEastAsia" w:eastAsiaTheme="minorEastAsia" w:cstheme="minorEastAsia"/>
                <w:color w:val="auto"/>
                <w:sz w:val="18"/>
                <w:szCs w:val="18"/>
                <w:lang w:val="en-US" w:eastAsia="zh-CN"/>
              </w:rPr>
              <w:t>四</w:t>
            </w:r>
            <w:r>
              <w:rPr>
                <w:rFonts w:hint="eastAsia" w:asciiTheme="minorEastAsia" w:hAnsiTheme="minorEastAsia" w:eastAsiaTheme="minorEastAsia" w:cstheme="minorEastAsia"/>
                <w:color w:val="auto"/>
                <w:sz w:val="18"/>
                <w:szCs w:val="18"/>
                <w:lang w:eastAsia="zh-CN"/>
              </w:rPr>
              <w:t>）</w:t>
            </w:r>
            <w:r>
              <w:rPr>
                <w:rFonts w:hint="eastAsia" w:asciiTheme="minorEastAsia" w:hAnsiTheme="minorEastAsia" w:eastAsiaTheme="minorEastAsia" w:cstheme="minorEastAsia"/>
                <w:color w:val="auto"/>
                <w:sz w:val="18"/>
                <w:szCs w:val="18"/>
              </w:rPr>
              <w:t>甲方（机构</w:t>
            </w:r>
            <w:r>
              <w:rPr>
                <w:rFonts w:hint="eastAsia" w:asciiTheme="minorEastAsia" w:hAnsiTheme="minorEastAsia" w:eastAsiaTheme="minorEastAsia" w:cstheme="minorEastAsia"/>
                <w:color w:val="auto"/>
                <w:sz w:val="18"/>
                <w:szCs w:val="18"/>
                <w:lang w:val="en-US" w:eastAsia="zh-CN"/>
              </w:rPr>
              <w:t>或产品管理人</w:t>
            </w:r>
            <w:r>
              <w:rPr>
                <w:rFonts w:hint="eastAsia" w:asciiTheme="minorEastAsia" w:hAnsiTheme="minorEastAsia" w:eastAsiaTheme="minorEastAsia" w:cstheme="minorEastAsia"/>
                <w:color w:val="auto"/>
                <w:sz w:val="18"/>
                <w:szCs w:val="18"/>
              </w:rPr>
              <w:t>）被人民法院宣告进入破产程序或解散；</w:t>
            </w:r>
          </w:p>
          <w:p>
            <w:pPr>
              <w:numPr>
                <w:ilvl w:val="0"/>
                <w:numId w:val="2"/>
              </w:numPr>
              <w:spacing w:line="240" w:lineRule="auto"/>
              <w:jc w:val="both"/>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甲方（机构或产品管理人）申请或发生停业、歇业、被注销登记、被吊销营业执照、法定代表人或主要负责人从事违法活动、涉及重大诉讼活动、经营出现严重困难、财务状况恶化等严重影响其偿还能力的事件和行为；</w:t>
            </w:r>
          </w:p>
          <w:p>
            <w:pPr>
              <w:autoSpaceDE w:val="0"/>
              <w:autoSpaceDN w:val="0"/>
              <w:adjustRightInd w:val="0"/>
              <w:spacing w:line="240" w:lineRule="auto"/>
              <w:ind w:firstLine="360" w:firstLineChars="200"/>
              <w:jc w:val="left"/>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sz w:val="18"/>
                <w:szCs w:val="18"/>
              </w:rPr>
              <w:t>出现本条（一）、（三）、（四）、（五）、</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lang w:val="en-US" w:eastAsia="zh-CN"/>
              </w:rPr>
              <w:t>六）、</w:t>
            </w:r>
            <w:r>
              <w:rPr>
                <w:rFonts w:hint="eastAsia" w:asciiTheme="minorEastAsia" w:hAnsiTheme="minorEastAsia" w:eastAsiaTheme="minorEastAsia" w:cstheme="minorEastAsia"/>
                <w:sz w:val="18"/>
                <w:szCs w:val="18"/>
              </w:rPr>
              <w:t>（</w:t>
            </w:r>
            <w:r>
              <w:rPr>
                <w:rFonts w:hint="eastAsia" w:asciiTheme="minorEastAsia" w:hAnsiTheme="minorEastAsia" w:eastAsiaTheme="minorEastAsia" w:cstheme="minorEastAsia"/>
                <w:sz w:val="18"/>
                <w:szCs w:val="18"/>
                <w:lang w:val="en-US" w:eastAsia="zh-CN"/>
              </w:rPr>
              <w:t>九</w:t>
            </w:r>
            <w:r>
              <w:rPr>
                <w:rFonts w:hint="eastAsia" w:asciiTheme="minorEastAsia" w:hAnsiTheme="minorEastAsia" w:eastAsiaTheme="minorEastAsia" w:cstheme="minorEastAsia"/>
                <w:sz w:val="18"/>
                <w:szCs w:val="18"/>
              </w:rPr>
              <w:t>）款情形时，乙方有权对甲方尚有未及时了结的融资融券交易进行强制平仓处理；出现本条（七）、（</w:t>
            </w:r>
            <w:r>
              <w:rPr>
                <w:rFonts w:hint="eastAsia" w:asciiTheme="minorEastAsia" w:hAnsiTheme="minorEastAsia" w:eastAsiaTheme="minorEastAsia" w:cstheme="minorEastAsia"/>
                <w:sz w:val="18"/>
                <w:szCs w:val="18"/>
                <w:lang w:val="en-US" w:eastAsia="zh-CN"/>
              </w:rPr>
              <w:t>八</w:t>
            </w:r>
            <w:r>
              <w:rPr>
                <w:rFonts w:hint="eastAsia" w:asciiTheme="minorEastAsia" w:hAnsiTheme="minorEastAsia" w:eastAsiaTheme="minorEastAsia" w:cstheme="minorEastAsia"/>
                <w:sz w:val="18"/>
                <w:szCs w:val="18"/>
              </w:rPr>
              <w:t>）</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rPr>
              <w:t>（十）</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lang w:val="en-US" w:eastAsia="zh-CN"/>
              </w:rPr>
              <w:t>十一）</w:t>
            </w:r>
            <w:r>
              <w:rPr>
                <w:rFonts w:hint="eastAsia" w:asciiTheme="minorEastAsia" w:hAnsiTheme="minorEastAsia" w:eastAsiaTheme="minorEastAsia" w:cstheme="minorEastAsia"/>
                <w:sz w:val="18"/>
                <w:szCs w:val="18"/>
              </w:rPr>
              <w:t>款情形时，按照有关法律、法规和有权机关的规定执行。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noWrap w:val="0"/>
            <w:vAlign w:val="top"/>
          </w:tcPr>
          <w:p>
            <w:pPr>
              <w:autoSpaceDE w:val="0"/>
              <w:autoSpaceDN w:val="0"/>
              <w:adjustRightInd w:val="0"/>
              <w:spacing w:line="240" w:lineRule="auto"/>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b/>
                <w:bCs/>
                <w:color w:val="auto"/>
                <w:kern w:val="2"/>
                <w:sz w:val="18"/>
                <w:szCs w:val="18"/>
                <w:vertAlign w:val="baseline"/>
                <w:lang w:val="en-US" w:eastAsia="zh-CN" w:bidi="ar-SA"/>
              </w:rPr>
              <w:t>第十五章 附则</w:t>
            </w:r>
          </w:p>
        </w:tc>
        <w:tc>
          <w:tcPr>
            <w:tcW w:w="2500" w:type="pct"/>
            <w:noWrap w:val="0"/>
            <w:vAlign w:val="top"/>
          </w:tcPr>
          <w:p>
            <w:pPr>
              <w:numPr>
                <w:ilvl w:val="0"/>
                <w:numId w:val="0"/>
              </w:numPr>
              <w:spacing w:line="240" w:lineRule="auto"/>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b/>
                <w:bCs/>
                <w:color w:val="auto"/>
                <w:kern w:val="2"/>
                <w:sz w:val="18"/>
                <w:szCs w:val="18"/>
                <w:vertAlign w:val="baseline"/>
                <w:lang w:val="en-US" w:eastAsia="zh-CN" w:bidi="ar-SA"/>
              </w:rPr>
              <w:t>第十五章 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noWrap w:val="0"/>
            <w:vAlign w:val="top"/>
          </w:tcPr>
          <w:p>
            <w:pPr>
              <w:spacing w:line="240" w:lineRule="auto"/>
              <w:jc w:val="both"/>
              <w:rPr>
                <w:rFonts w:hint="eastAsia" w:asciiTheme="minorEastAsia" w:hAnsiTheme="minorEastAsia" w:eastAsiaTheme="minorEastAsia" w:cstheme="minorEastAsia"/>
                <w:b/>
                <w:color w:val="auto"/>
                <w:sz w:val="18"/>
                <w:szCs w:val="18"/>
              </w:rPr>
            </w:pPr>
            <w:r>
              <w:rPr>
                <w:rFonts w:hint="eastAsia" w:asciiTheme="minorEastAsia" w:hAnsiTheme="minorEastAsia" w:eastAsiaTheme="minorEastAsia" w:cstheme="minorEastAsia"/>
                <w:b/>
                <w:color w:val="auto"/>
                <w:sz w:val="18"/>
                <w:szCs w:val="18"/>
              </w:rPr>
              <w:t>第八十四条 甲方同意乙方向中国人民银行、中国证券监督管理委员会、中国证券业协会、证券交易所及其他征信主管部门或有关单位、部门查询甲方的信用数据及相关状况，并同意乙方将甲方相关信息提供给中国人民银行及其他有权机关。</w:t>
            </w:r>
          </w:p>
          <w:p>
            <w:pPr>
              <w:autoSpaceDE w:val="0"/>
              <w:autoSpaceDN w:val="0"/>
              <w:adjustRightInd w:val="0"/>
              <w:spacing w:line="240" w:lineRule="auto"/>
              <w:jc w:val="both"/>
              <w:rPr>
                <w:rFonts w:hint="eastAsia" w:asciiTheme="minorEastAsia" w:hAnsiTheme="minorEastAsia" w:eastAsiaTheme="minorEastAsia" w:cstheme="minorEastAsia"/>
                <w:b/>
                <w:bCs/>
                <w:color w:val="auto"/>
                <w:kern w:val="2"/>
                <w:sz w:val="18"/>
                <w:szCs w:val="18"/>
                <w:vertAlign w:val="baseline"/>
                <w:lang w:val="en-US" w:eastAsia="zh-CN" w:bidi="ar-SA"/>
              </w:rPr>
            </w:pPr>
          </w:p>
        </w:tc>
        <w:tc>
          <w:tcPr>
            <w:tcW w:w="2500" w:type="pct"/>
            <w:noWrap w:val="0"/>
            <w:vAlign w:val="top"/>
          </w:tcPr>
          <w:p>
            <w:pPr>
              <w:spacing w:line="240" w:lineRule="auto"/>
              <w:jc w:val="both"/>
              <w:rPr>
                <w:rFonts w:hint="eastAsia" w:asciiTheme="minorEastAsia" w:hAnsiTheme="minorEastAsia" w:eastAsiaTheme="minorEastAsia" w:cstheme="minorEastAsia"/>
                <w:b/>
                <w:bCs/>
                <w:color w:val="auto"/>
                <w:kern w:val="2"/>
                <w:sz w:val="18"/>
                <w:szCs w:val="18"/>
                <w:vertAlign w:val="baseline"/>
                <w:lang w:val="en-US" w:eastAsia="zh-CN" w:bidi="ar-SA"/>
              </w:rPr>
            </w:pPr>
            <w:r>
              <w:rPr>
                <w:rFonts w:hint="eastAsia" w:asciiTheme="minorEastAsia" w:hAnsiTheme="minorEastAsia" w:eastAsiaTheme="minorEastAsia" w:cstheme="minorEastAsia"/>
                <w:b/>
                <w:color w:val="auto"/>
                <w:sz w:val="18"/>
                <w:szCs w:val="18"/>
              </w:rPr>
              <w:t>第八十四条 甲方同意乙方向</w:t>
            </w:r>
            <w:r>
              <w:rPr>
                <w:rFonts w:hint="eastAsia" w:asciiTheme="minorEastAsia" w:hAnsiTheme="minorEastAsia" w:eastAsiaTheme="minorEastAsia" w:cstheme="minorEastAsia"/>
                <w:b/>
                <w:color w:val="auto"/>
                <w:sz w:val="18"/>
                <w:szCs w:val="18"/>
                <w:lang w:val="en-US" w:eastAsia="zh-CN"/>
              </w:rPr>
              <w:t>中国证监会</w:t>
            </w:r>
            <w:r>
              <w:rPr>
                <w:rFonts w:hint="eastAsia" w:asciiTheme="minorEastAsia" w:hAnsiTheme="minorEastAsia" w:eastAsiaTheme="minorEastAsia" w:cstheme="minorEastAsia"/>
                <w:b/>
                <w:color w:val="auto"/>
                <w:sz w:val="18"/>
                <w:szCs w:val="18"/>
              </w:rPr>
              <w:t>、中国证券业协会、证券交易所</w:t>
            </w:r>
            <w:r>
              <w:rPr>
                <w:rFonts w:hint="eastAsia" w:asciiTheme="minorEastAsia" w:hAnsiTheme="minorEastAsia" w:eastAsiaTheme="minorEastAsia" w:cstheme="minorEastAsia"/>
                <w:b/>
                <w:color w:val="auto"/>
                <w:sz w:val="18"/>
                <w:szCs w:val="18"/>
                <w:lang w:eastAsia="zh-CN"/>
              </w:rPr>
              <w:t>、</w:t>
            </w:r>
            <w:r>
              <w:rPr>
                <w:rFonts w:hint="eastAsia" w:asciiTheme="minorEastAsia" w:hAnsiTheme="minorEastAsia" w:eastAsiaTheme="minorEastAsia" w:cstheme="minorEastAsia"/>
                <w:b/>
                <w:color w:val="auto"/>
                <w:sz w:val="18"/>
                <w:szCs w:val="18"/>
                <w:lang w:val="en-US" w:eastAsia="zh-CN"/>
              </w:rPr>
              <w:t>证券登记结算机构、中国证券金融股份有限公司、司法机构、中国人民银行金融信用信息基础数据库、依法设立的征信机构</w:t>
            </w:r>
            <w:r>
              <w:rPr>
                <w:rFonts w:hint="eastAsia" w:asciiTheme="minorEastAsia" w:hAnsiTheme="minorEastAsia" w:eastAsiaTheme="minorEastAsia" w:cstheme="minorEastAsia"/>
                <w:b/>
                <w:color w:val="auto"/>
                <w:sz w:val="18"/>
                <w:szCs w:val="18"/>
              </w:rPr>
              <w:t>查询甲方的信用</w:t>
            </w:r>
            <w:r>
              <w:rPr>
                <w:rFonts w:hint="eastAsia" w:asciiTheme="minorEastAsia" w:hAnsiTheme="minorEastAsia" w:eastAsiaTheme="minorEastAsia" w:cstheme="minorEastAsia"/>
                <w:b/>
                <w:color w:val="auto"/>
                <w:sz w:val="18"/>
                <w:szCs w:val="18"/>
                <w:lang w:val="en-US" w:eastAsia="zh-CN"/>
              </w:rPr>
              <w:t>信息</w:t>
            </w:r>
            <w:r>
              <w:rPr>
                <w:rFonts w:hint="eastAsia" w:asciiTheme="minorEastAsia" w:hAnsiTheme="minorEastAsia" w:eastAsiaTheme="minorEastAsia" w:cstheme="minorEastAsia"/>
                <w:b/>
                <w:color w:val="auto"/>
                <w:sz w:val="18"/>
                <w:szCs w:val="18"/>
              </w:rPr>
              <w:t>及相关状况，</w:t>
            </w:r>
            <w:r>
              <w:rPr>
                <w:rFonts w:hint="eastAsia" w:asciiTheme="minorEastAsia" w:hAnsiTheme="minorEastAsia" w:eastAsiaTheme="minorEastAsia" w:cstheme="minorEastAsia"/>
                <w:b/>
                <w:color w:val="auto"/>
                <w:sz w:val="18"/>
                <w:szCs w:val="18"/>
                <w:lang w:val="en-US" w:eastAsia="zh-CN"/>
              </w:rPr>
              <w:t>用于乙方对甲方信用账户进行信用等级评定、授信额度评估及风险管理等方面，</w:t>
            </w:r>
            <w:r>
              <w:rPr>
                <w:rFonts w:hint="eastAsia" w:asciiTheme="minorEastAsia" w:hAnsiTheme="minorEastAsia" w:eastAsiaTheme="minorEastAsia" w:cstheme="minorEastAsia"/>
                <w:b/>
                <w:color w:val="auto"/>
                <w:sz w:val="18"/>
                <w:szCs w:val="18"/>
              </w:rPr>
              <w:t>并同意乙方将甲方相关信息提供给中国人民银行</w:t>
            </w:r>
            <w:r>
              <w:rPr>
                <w:rFonts w:hint="eastAsia" w:asciiTheme="minorEastAsia" w:hAnsiTheme="minorEastAsia" w:eastAsiaTheme="minorEastAsia" w:cstheme="minorEastAsia"/>
                <w:b/>
                <w:color w:val="auto"/>
                <w:sz w:val="18"/>
                <w:szCs w:val="18"/>
                <w:lang w:val="en-US" w:eastAsia="zh-CN"/>
              </w:rPr>
              <w:t>、依法设立的征信机构</w:t>
            </w:r>
            <w:r>
              <w:rPr>
                <w:rFonts w:hint="eastAsia" w:asciiTheme="minorEastAsia" w:hAnsiTheme="minorEastAsia" w:eastAsiaTheme="minorEastAsia" w:cstheme="minorEastAsia"/>
                <w:b/>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noWrap w:val="0"/>
            <w:vAlign w:val="top"/>
          </w:tcPr>
          <w:p>
            <w:pPr>
              <w:spacing w:line="240" w:lineRule="auto"/>
              <w:jc w:val="both"/>
              <w:rPr>
                <w:rFonts w:hint="eastAsia" w:asciiTheme="minorEastAsia" w:hAnsiTheme="minorEastAsia" w:eastAsiaTheme="minorEastAsia" w:cstheme="minorEastAsia"/>
                <w:b/>
                <w:bCs/>
                <w:color w:val="auto"/>
                <w:kern w:val="2"/>
                <w:sz w:val="18"/>
                <w:szCs w:val="18"/>
                <w:vertAlign w:val="baseline"/>
                <w:lang w:val="en-US" w:eastAsia="zh-CN" w:bidi="ar-SA"/>
              </w:rPr>
            </w:pPr>
            <w:r>
              <w:rPr>
                <w:rFonts w:hint="eastAsia" w:asciiTheme="minorEastAsia" w:hAnsiTheme="minorEastAsia" w:eastAsiaTheme="minorEastAsia" w:cstheme="minorEastAsia"/>
                <w:b/>
                <w:color w:val="auto"/>
                <w:sz w:val="18"/>
                <w:szCs w:val="18"/>
              </w:rPr>
              <w:t>第八十</w:t>
            </w:r>
            <w:r>
              <w:rPr>
                <w:rFonts w:hint="eastAsia" w:asciiTheme="minorEastAsia" w:hAnsiTheme="minorEastAsia" w:eastAsiaTheme="minorEastAsia" w:cstheme="minorEastAsia"/>
                <w:b/>
                <w:color w:val="auto"/>
                <w:sz w:val="18"/>
                <w:szCs w:val="18"/>
                <w:lang w:val="en-US" w:eastAsia="zh-CN"/>
              </w:rPr>
              <w:t>五</w:t>
            </w:r>
            <w:r>
              <w:rPr>
                <w:rFonts w:hint="eastAsia" w:asciiTheme="minorEastAsia" w:hAnsiTheme="minorEastAsia" w:eastAsiaTheme="minorEastAsia" w:cstheme="minorEastAsia"/>
                <w:b/>
                <w:color w:val="auto"/>
                <w:sz w:val="18"/>
                <w:szCs w:val="18"/>
              </w:rPr>
              <w:t>条 融资融券交易有关的申请材料、融资融券交易要素表以及其他所有业务办理凭证或单据、数据电文等，与《融资融券业务交易风险揭示书》共同构成本合同的附件，是本合同的有效组成部分，与本合同具有同等的法律效力。</w:t>
            </w:r>
          </w:p>
        </w:tc>
        <w:tc>
          <w:tcPr>
            <w:tcW w:w="2500" w:type="pct"/>
            <w:noWrap w:val="0"/>
            <w:vAlign w:val="top"/>
          </w:tcPr>
          <w:p>
            <w:pPr>
              <w:spacing w:line="240" w:lineRule="auto"/>
              <w:jc w:val="both"/>
              <w:rPr>
                <w:rFonts w:hint="eastAsia" w:asciiTheme="minorEastAsia" w:hAnsiTheme="minorEastAsia" w:eastAsiaTheme="minorEastAsia" w:cstheme="minorEastAsia"/>
                <w:b/>
                <w:color w:val="auto"/>
                <w:sz w:val="18"/>
                <w:szCs w:val="18"/>
              </w:rPr>
            </w:pPr>
            <w:r>
              <w:rPr>
                <w:rFonts w:hint="eastAsia" w:asciiTheme="minorEastAsia" w:hAnsiTheme="minorEastAsia" w:eastAsiaTheme="minorEastAsia" w:cstheme="minorEastAsia"/>
                <w:b/>
                <w:color w:val="auto"/>
                <w:sz w:val="18"/>
                <w:szCs w:val="18"/>
              </w:rPr>
              <w:t>第八十</w:t>
            </w:r>
            <w:r>
              <w:rPr>
                <w:rFonts w:hint="eastAsia" w:asciiTheme="minorEastAsia" w:hAnsiTheme="minorEastAsia" w:eastAsiaTheme="minorEastAsia" w:cstheme="minorEastAsia"/>
                <w:b/>
                <w:color w:val="auto"/>
                <w:sz w:val="18"/>
                <w:szCs w:val="18"/>
                <w:lang w:val="en-US" w:eastAsia="zh-CN"/>
              </w:rPr>
              <w:t>五</w:t>
            </w:r>
            <w:r>
              <w:rPr>
                <w:rFonts w:hint="eastAsia" w:asciiTheme="minorEastAsia" w:hAnsiTheme="minorEastAsia" w:eastAsiaTheme="minorEastAsia" w:cstheme="minorEastAsia"/>
                <w:b/>
                <w:color w:val="auto"/>
                <w:sz w:val="18"/>
                <w:szCs w:val="18"/>
              </w:rPr>
              <w:t>条 融资融券交易有关的申请材料、融资融券交易要素表以及其他所有业务办理凭证或单据、数据电文等，乙方</w:t>
            </w:r>
            <w:r>
              <w:rPr>
                <w:rFonts w:hint="eastAsia" w:asciiTheme="minorEastAsia" w:hAnsiTheme="minorEastAsia" w:eastAsiaTheme="minorEastAsia" w:cstheme="minorEastAsia"/>
                <w:b/>
                <w:color w:val="auto"/>
                <w:sz w:val="18"/>
                <w:szCs w:val="18"/>
                <w:lang w:val="en-US" w:eastAsia="zh-CN"/>
              </w:rPr>
              <w:t>于乙方官方网站</w:t>
            </w:r>
            <w:r>
              <w:rPr>
                <w:rFonts w:hint="eastAsia" w:asciiTheme="minorEastAsia" w:hAnsiTheme="minorEastAsia" w:eastAsiaTheme="minorEastAsia" w:cstheme="minorEastAsia"/>
                <w:b/>
                <w:color w:val="auto"/>
                <w:sz w:val="18"/>
                <w:szCs w:val="18"/>
              </w:rPr>
              <w:t>发布</w:t>
            </w:r>
            <w:r>
              <w:rPr>
                <w:rFonts w:hint="eastAsia" w:asciiTheme="minorEastAsia" w:hAnsiTheme="minorEastAsia" w:eastAsiaTheme="minorEastAsia" w:cstheme="minorEastAsia"/>
                <w:b/>
                <w:color w:val="auto"/>
                <w:sz w:val="18"/>
                <w:szCs w:val="18"/>
                <w:lang w:val="en-US" w:eastAsia="zh-CN"/>
              </w:rPr>
              <w:t>/</w:t>
            </w:r>
            <w:r>
              <w:rPr>
                <w:rFonts w:hint="eastAsia" w:asciiTheme="minorEastAsia" w:hAnsiTheme="minorEastAsia" w:eastAsiaTheme="minorEastAsia" w:cstheme="minorEastAsia"/>
                <w:b/>
                <w:color w:val="auto"/>
                <w:sz w:val="18"/>
                <w:szCs w:val="18"/>
              </w:rPr>
              <w:t>更新的乙方业务规则及通知公告与《融资融券业务交易风险揭示书》共同构成本合同的附件，是本合同的有效组成部分，与本合同具有同等的法律效力。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noWrap w:val="0"/>
            <w:vAlign w:val="top"/>
          </w:tcPr>
          <w:p>
            <w:pPr>
              <w:spacing w:before="156" w:beforeLines="50" w:line="240" w:lineRule="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甲方：                 签名/盖章：</w:t>
            </w:r>
          </w:p>
          <w:p>
            <w:pPr>
              <w:spacing w:before="156" w:beforeLines="50" w:line="240" w:lineRule="auto"/>
              <w:rPr>
                <w:rFonts w:hint="eastAsia" w:asciiTheme="minorEastAsia" w:hAnsiTheme="minorEastAsia" w:eastAsiaTheme="minorEastAsia" w:cstheme="minorEastAsia"/>
                <w:b/>
                <w:color w:val="auto"/>
                <w:sz w:val="18"/>
                <w:szCs w:val="18"/>
              </w:rPr>
            </w:pPr>
            <w:r>
              <w:rPr>
                <w:rFonts w:hint="eastAsia" w:asciiTheme="minorEastAsia" w:hAnsiTheme="minorEastAsia" w:eastAsiaTheme="minorEastAsia" w:cstheme="minorEastAsia"/>
                <w:sz w:val="18"/>
                <w:szCs w:val="18"/>
              </w:rPr>
              <w:t>法定代表人/授权代表（适用于机构投资者）：</w:t>
            </w:r>
          </w:p>
        </w:tc>
        <w:tc>
          <w:tcPr>
            <w:tcW w:w="2500" w:type="pct"/>
            <w:noWrap w:val="0"/>
            <w:vAlign w:val="top"/>
          </w:tcPr>
          <w:p>
            <w:pPr>
              <w:spacing w:before="156" w:beforeLines="50" w:line="240" w:lineRule="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甲方签名/盖章：</w:t>
            </w:r>
          </w:p>
          <w:p>
            <w:pPr>
              <w:spacing w:before="156" w:beforeLines="50" w:line="240" w:lineRule="auto"/>
              <w:rPr>
                <w:rFonts w:hint="eastAsia" w:asciiTheme="minorEastAsia" w:hAnsiTheme="minorEastAsia" w:eastAsiaTheme="minorEastAsia" w:cstheme="minorEastAsia"/>
                <w:b/>
                <w:color w:val="auto"/>
                <w:sz w:val="18"/>
                <w:szCs w:val="18"/>
              </w:rPr>
            </w:pPr>
            <w:r>
              <w:rPr>
                <w:rFonts w:hint="eastAsia" w:asciiTheme="minorEastAsia" w:hAnsiTheme="minorEastAsia" w:eastAsiaTheme="minorEastAsia" w:cstheme="minorEastAsia"/>
                <w:sz w:val="18"/>
                <w:szCs w:val="18"/>
              </w:rPr>
              <w:t>法定代表人/授权代</w:t>
            </w:r>
            <w:r>
              <w:rPr>
                <w:rFonts w:hint="eastAsia" w:asciiTheme="minorEastAsia" w:hAnsiTheme="minorEastAsia" w:eastAsiaTheme="minorEastAsia" w:cstheme="minorEastAsia"/>
                <w:sz w:val="18"/>
                <w:szCs w:val="18"/>
                <w:lang w:val="en-US" w:eastAsia="zh-CN"/>
              </w:rPr>
              <w:t>理人</w:t>
            </w:r>
            <w:r>
              <w:rPr>
                <w:rFonts w:hint="eastAsia" w:asciiTheme="minorEastAsia" w:hAnsiTheme="minorEastAsia" w:eastAsiaTheme="minorEastAsia" w:cstheme="minorEastAsia"/>
                <w:sz w:val="18"/>
                <w:szCs w:val="18"/>
              </w:rPr>
              <w:t>（适用于机构投资者）：</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814F88"/>
    <w:multiLevelType w:val="singleLevel"/>
    <w:tmpl w:val="A4814F88"/>
    <w:lvl w:ilvl="0" w:tentative="0">
      <w:start w:val="5"/>
      <w:numFmt w:val="chineseCounting"/>
      <w:suff w:val="nothing"/>
      <w:lvlText w:val="（%1）"/>
      <w:lvlJc w:val="left"/>
      <w:rPr>
        <w:rFonts w:hint="eastAsia"/>
      </w:rPr>
    </w:lvl>
  </w:abstractNum>
  <w:abstractNum w:abstractNumId="1">
    <w:nsid w:val="20176540"/>
    <w:multiLevelType w:val="singleLevel"/>
    <w:tmpl w:val="20176540"/>
    <w:lvl w:ilvl="0" w:tentative="0">
      <w:start w:val="9"/>
      <w:numFmt w:val="decimal"/>
      <w:suff w:val="nothing"/>
      <w:lvlText w:val="%1、"/>
      <w:lvlJc w:val="left"/>
      <w:rPr>
        <w:rFonts w:hint="default"/>
        <w:b w:val="0"/>
        <w:bCs w:val="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36E"/>
    <w:rsid w:val="001C336E"/>
    <w:rsid w:val="09862CF1"/>
    <w:rsid w:val="0A2A3D3C"/>
    <w:rsid w:val="0F977E09"/>
    <w:rsid w:val="2F7D6084"/>
    <w:rsid w:val="394B72D2"/>
    <w:rsid w:val="3F961996"/>
    <w:rsid w:val="3FE04D0D"/>
    <w:rsid w:val="42D65A2E"/>
    <w:rsid w:val="45F12DF0"/>
    <w:rsid w:val="4B0F5C65"/>
    <w:rsid w:val="52B206AF"/>
    <w:rsid w:val="6367429A"/>
    <w:rsid w:val="784959BF"/>
    <w:rsid w:val="79CE0D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List Paragraph"/>
    <w:basedOn w:val="1"/>
    <w:qFormat/>
    <w:uiPriority w:val="34"/>
    <w:pPr>
      <w:ind w:firstLine="420" w:firstLineChars="200"/>
    </w:pPr>
    <w:rPr>
      <w:rFonts w:ascii="Times New Roman" w:hAnsi="Times New Roman"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Office_11.1.0.11551_F1E327BC-269C-435d-A152-05C5408002CA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2022-02-23T07:00:00Z</dcterms:created>
  <dc:creator>snowfallen</dc:creator>
  <cp:lastModifiedBy>snowfallen</cp:lastModifiedBy>
  <dcterms:modified xsi:type="dcterms:W3CDTF">2022-03-08T03:30:23Z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2052-11.1.0.11551</vt:lpwstr>
  </property>
  <property fmtid="{D5CDD505-2E9C-101B-9397-08002B2CF9AE}" pid="3" name="ICV">
    <vt:lpwstr>3869C2DBB8D44369BB4DF10A98307594</vt:lpwstr>
  </property>
</Properties>
</file>