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附件1</w:t>
      </w:r>
    </w:p>
    <w:p>
      <w:pPr>
        <w:spacing w:line="360" w:lineRule="exact"/>
        <w:ind w:left="1111" w:leftChars="129" w:hanging="840" w:hangingChars="300"/>
        <w:rPr>
          <w:rFonts w:ascii="仿宋_GB2312" w:eastAsia="仿宋_GB2312"/>
          <w:bCs/>
          <w:sz w:val="28"/>
          <w:szCs w:val="28"/>
        </w:rPr>
      </w:pPr>
    </w:p>
    <w:p>
      <w:pPr>
        <w:widowControl/>
        <w:spacing w:line="540" w:lineRule="exact"/>
        <w:jc w:val="center"/>
        <w:rPr>
          <w:rFonts w:hint="eastAsia" w:ascii="方正大标宋简体" w:hAnsi="黑体" w:eastAsia="方正大标宋简体"/>
          <w:sz w:val="42"/>
          <w:szCs w:val="42"/>
        </w:rPr>
      </w:pPr>
      <w:r>
        <w:rPr>
          <w:rFonts w:hint="eastAsia" w:ascii="方正大标宋简体" w:hAnsi="黑体" w:eastAsia="方正大标宋简体"/>
          <w:sz w:val="42"/>
          <w:szCs w:val="42"/>
        </w:rPr>
        <w:t>华夏科创50ETF期权合约基本条款</w:t>
      </w:r>
    </w:p>
    <w:p>
      <w:pPr>
        <w:spacing w:line="360" w:lineRule="exact"/>
        <w:ind w:left="1111" w:leftChars="129" w:hanging="840" w:hangingChars="300"/>
        <w:rPr>
          <w:rFonts w:ascii="仿宋_GB2312" w:eastAsia="仿宋_GB2312"/>
          <w:bCs/>
          <w:sz w:val="28"/>
          <w:szCs w:val="28"/>
        </w:rPr>
      </w:pPr>
    </w:p>
    <w:tbl>
      <w:tblPr>
        <w:tblStyle w:val="3"/>
        <w:tblW w:w="7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74"/>
        <w:gridCol w:w="5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合约标的</w:t>
            </w:r>
          </w:p>
        </w:tc>
        <w:tc>
          <w:tcPr>
            <w:tcW w:w="5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华夏上证科创板50成份交易型开放式指数证券投资基金（证券扩位简称：科创50ETF，证券代码：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588000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合约类型</w:t>
            </w:r>
          </w:p>
        </w:tc>
        <w:tc>
          <w:tcPr>
            <w:tcW w:w="5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认购期权和认沽期权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合约单位</w:t>
            </w:r>
          </w:p>
        </w:tc>
        <w:tc>
          <w:tcPr>
            <w:tcW w:w="5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10000份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合约到期月份</w:t>
            </w:r>
          </w:p>
        </w:tc>
        <w:tc>
          <w:tcPr>
            <w:tcW w:w="5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当月、下月及随后两个季月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行权价格</w:t>
            </w:r>
          </w:p>
        </w:tc>
        <w:tc>
          <w:tcPr>
            <w:tcW w:w="5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9个（1个平值合约、4个虚值合约、4个实值合约）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行权价格间距</w:t>
            </w:r>
          </w:p>
        </w:tc>
        <w:tc>
          <w:tcPr>
            <w:tcW w:w="5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3元或以下为0.05元，3元至5元（含）为0.1元，5元至10元（含）为0.25元，10元至20元（含）为0.5元，20元至50元（含）为1元，50元至100元（含）为2.5元，100元以上为5元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行权方式</w:t>
            </w:r>
          </w:p>
        </w:tc>
        <w:tc>
          <w:tcPr>
            <w:tcW w:w="5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到期日行权（欧式）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交割方式</w:t>
            </w:r>
          </w:p>
        </w:tc>
        <w:tc>
          <w:tcPr>
            <w:tcW w:w="5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实物交割（业务规则另有规定的除外）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到期日</w:t>
            </w:r>
          </w:p>
        </w:tc>
        <w:tc>
          <w:tcPr>
            <w:tcW w:w="5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到期月份的第四个星期三（遇法定节假日、本所休市日顺延）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行权日</w:t>
            </w:r>
          </w:p>
        </w:tc>
        <w:tc>
          <w:tcPr>
            <w:tcW w:w="5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 xml:space="preserve">同合约到期日，行权指令提交时间为9:15-9:25，9:30-11:30，13:00-15:30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交收日</w:t>
            </w:r>
          </w:p>
        </w:tc>
        <w:tc>
          <w:tcPr>
            <w:tcW w:w="5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行权日次一交易日</w:t>
            </w:r>
          </w:p>
        </w:tc>
      </w:tr>
    </w:tbl>
    <w:p>
      <w:pPr>
        <w:spacing w:line="360" w:lineRule="exact"/>
        <w:ind w:left="1111" w:leftChars="129" w:hanging="840" w:hangingChars="300"/>
        <w:rPr>
          <w:rFonts w:ascii="仿宋_GB2312" w:eastAsia="仿宋_GB2312"/>
          <w:bCs/>
          <w:sz w:val="28"/>
          <w:szCs w:val="28"/>
        </w:rPr>
      </w:pPr>
    </w:p>
    <w:p/>
    <w:p/>
    <w:p/>
    <w:p>
      <w:pPr>
        <w:widowControl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附件2</w:t>
      </w:r>
    </w:p>
    <w:p>
      <w:pPr>
        <w:spacing w:line="360" w:lineRule="exact"/>
        <w:ind w:left="1111" w:leftChars="129" w:hanging="840" w:hangingChars="300"/>
        <w:rPr>
          <w:rFonts w:ascii="仿宋_GB2312" w:eastAsia="仿宋_GB2312"/>
          <w:bCs/>
          <w:sz w:val="28"/>
          <w:szCs w:val="28"/>
        </w:rPr>
      </w:pPr>
    </w:p>
    <w:p>
      <w:pPr>
        <w:widowControl/>
        <w:spacing w:line="540" w:lineRule="exact"/>
        <w:jc w:val="center"/>
        <w:rPr>
          <w:rFonts w:ascii="方正大标宋简体" w:hAnsi="黑体" w:eastAsia="方正大标宋简体"/>
          <w:sz w:val="42"/>
          <w:szCs w:val="42"/>
        </w:rPr>
      </w:pPr>
      <w:r>
        <w:rPr>
          <w:rFonts w:hint="eastAsia" w:ascii="方正大标宋简体" w:hAnsi="黑体" w:eastAsia="方正大标宋简体"/>
          <w:sz w:val="42"/>
          <w:szCs w:val="42"/>
        </w:rPr>
        <w:t>易方达科创50ETF期权合约基本条款</w:t>
      </w:r>
    </w:p>
    <w:p>
      <w:pPr>
        <w:spacing w:line="360" w:lineRule="exact"/>
        <w:ind w:left="1111" w:leftChars="129" w:hanging="840" w:hangingChars="300"/>
        <w:rPr>
          <w:rFonts w:ascii="仿宋_GB2312" w:eastAsia="仿宋_GB2312"/>
          <w:bCs/>
          <w:sz w:val="28"/>
          <w:szCs w:val="28"/>
        </w:rPr>
      </w:pPr>
    </w:p>
    <w:tbl>
      <w:tblPr>
        <w:tblStyle w:val="3"/>
        <w:tblW w:w="7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74"/>
        <w:gridCol w:w="5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合约标的</w:t>
            </w:r>
          </w:p>
        </w:tc>
        <w:tc>
          <w:tcPr>
            <w:tcW w:w="5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易方达上证科创板50成份交易型开放式指数证券投资基金（证券扩位简称：科创50ETF易方达，证券代码：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588080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合约类型</w:t>
            </w:r>
          </w:p>
        </w:tc>
        <w:tc>
          <w:tcPr>
            <w:tcW w:w="5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认购期权和认沽期权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合约单位</w:t>
            </w:r>
          </w:p>
        </w:tc>
        <w:tc>
          <w:tcPr>
            <w:tcW w:w="5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10000份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合约到期月份</w:t>
            </w:r>
          </w:p>
        </w:tc>
        <w:tc>
          <w:tcPr>
            <w:tcW w:w="5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当月、下月及随后两个季月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行权价格</w:t>
            </w:r>
          </w:p>
        </w:tc>
        <w:tc>
          <w:tcPr>
            <w:tcW w:w="5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9个（1个平值合约、4个虚值合约、4个实值合约）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行权价格间距</w:t>
            </w:r>
          </w:p>
        </w:tc>
        <w:tc>
          <w:tcPr>
            <w:tcW w:w="5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3元或以下为0.05元，3元至5元（含）为0.1元，5元至10元（含）为0.25元，10元至20元（含）为0.5元，20元至50元（含）为1元，50元至100元（含）为2.5元，100元以上为5元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行权方式</w:t>
            </w:r>
          </w:p>
        </w:tc>
        <w:tc>
          <w:tcPr>
            <w:tcW w:w="5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到期日行权（欧式）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交割方式</w:t>
            </w:r>
          </w:p>
        </w:tc>
        <w:tc>
          <w:tcPr>
            <w:tcW w:w="5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实物交割（业务规则另有规定的除外）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到期日</w:t>
            </w:r>
          </w:p>
        </w:tc>
        <w:tc>
          <w:tcPr>
            <w:tcW w:w="5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到期月份的第四个星期三（遇法定节假日、本所休市日顺延）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行权日</w:t>
            </w:r>
          </w:p>
        </w:tc>
        <w:tc>
          <w:tcPr>
            <w:tcW w:w="5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 xml:space="preserve">同合约到期日，行权指令提交时间为9:15-9:25，9:30-11:30，13:00-15:30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交收日</w:t>
            </w:r>
          </w:p>
        </w:tc>
        <w:tc>
          <w:tcPr>
            <w:tcW w:w="5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行权日次一交易日</w:t>
            </w:r>
          </w:p>
        </w:tc>
      </w:tr>
    </w:tbl>
    <w:p>
      <w:pPr>
        <w:spacing w:line="360" w:lineRule="exact"/>
        <w:ind w:left="1111" w:leftChars="129" w:hanging="840" w:hangingChars="300"/>
        <w:rPr>
          <w:rFonts w:ascii="仿宋_GB2312" w:eastAsia="仿宋_GB2312"/>
          <w:bCs/>
          <w:sz w:val="28"/>
          <w:szCs w:val="28"/>
        </w:rPr>
      </w:pPr>
    </w:p>
    <w:p>
      <w:pPr>
        <w:ind w:right="420" w:firstLine="560"/>
        <w:jc w:val="left"/>
        <w:rPr>
          <w:rFonts w:eastAsia="仿宋_GB2312"/>
          <w:sz w:val="28"/>
        </w:rPr>
      </w:pPr>
    </w:p>
    <w:p>
      <w:pPr>
        <w:widowControl/>
        <w:spacing w:line="600" w:lineRule="exact"/>
        <w:rPr>
          <w:rFonts w:hint="eastAsia" w:ascii="仿宋_GB2312" w:eastAsia="仿宋_GB2312"/>
          <w:b/>
          <w:sz w:val="30"/>
          <w:szCs w:val="30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wY2Q1MTk3YjAzYTkyNTk5MWExMGFkNDliYzVjMjQifQ=="/>
  </w:docVars>
  <w:rsids>
    <w:rsidRoot w:val="573A01AE"/>
    <w:rsid w:val="573A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2023-06-03T00:38:00Z</dcterms:created>
  <dc:creator>DELL</dc:creator>
  <cp:lastModifiedBy>DELL</cp:lastModifiedBy>
  <dcterms:modified xsi:type="dcterms:W3CDTF">2023-06-03T00:39:30Z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7E39CB98FE9A44BD9E130D15C587FA83_11</vt:lpwstr>
  </property>
</Properties>
</file>