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left"/>
        <w:rPr>
          <w:rFonts w:hint="eastAsia" w:ascii="黑体" w:hAnsi="黑体" w:eastAsia="黑体" w:cs="黑体"/>
          <w:bCs/>
          <w:kern w:val="0"/>
          <w:sz w:val="32"/>
          <w:szCs w:val="32"/>
          <w:lang w:val="en-US" w:eastAsia="zh-CN"/>
        </w:rPr>
      </w:pPr>
      <w:bookmarkStart w:id="409" w:name="_GoBack"/>
      <w:bookmarkEnd w:id="409"/>
      <w:r>
        <w:rPr>
          <w:rFonts w:hint="eastAsia" w:ascii="黑体" w:hAnsi="黑体" w:eastAsia="黑体" w:cs="黑体"/>
          <w:bCs/>
          <w:kern w:val="0"/>
          <w:sz w:val="32"/>
          <w:szCs w:val="32"/>
          <w:lang w:val="en-US" w:eastAsia="zh-CN"/>
        </w:rPr>
        <w:t>附件1</w:t>
      </w:r>
    </w:p>
    <w:p>
      <w:pPr>
        <w:widowControl/>
        <w:spacing w:line="240" w:lineRule="exact"/>
        <w:jc w:val="left"/>
        <w:rPr>
          <w:rFonts w:ascii="宋体" w:hAnsi="宋体"/>
          <w:bCs/>
          <w:kern w:val="0"/>
          <w:szCs w:val="21"/>
        </w:rPr>
      </w:pPr>
    </w:p>
    <w:p>
      <w:pPr>
        <w:widowControl/>
        <w:spacing w:line="240" w:lineRule="exact"/>
        <w:jc w:val="left"/>
        <w:rPr>
          <w:rFonts w:ascii="宋体" w:hAnsi="宋体"/>
          <w:bCs/>
          <w:kern w:val="0"/>
          <w:szCs w:val="21"/>
        </w:rPr>
      </w:pPr>
    </w:p>
    <w:p>
      <w:pPr>
        <w:widowControl/>
        <w:jc w:val="center"/>
        <w:rPr>
          <w:rFonts w:ascii="方正小标宋简体" w:eastAsia="方正小标宋简体"/>
          <w:bCs/>
          <w:kern w:val="0"/>
          <w:sz w:val="40"/>
          <w:szCs w:val="40"/>
        </w:rPr>
      </w:pPr>
      <w:r>
        <w:rPr>
          <w:rFonts w:hint="eastAsia" w:ascii="方正小标宋简体" w:eastAsia="方正小标宋简体"/>
          <w:bCs/>
          <w:kern w:val="0"/>
          <w:sz w:val="40"/>
          <w:szCs w:val="40"/>
        </w:rPr>
        <w:t>深圳证券交易所股票期权试点</w:t>
      </w:r>
    </w:p>
    <w:p>
      <w:pPr>
        <w:widowControl/>
        <w:jc w:val="center"/>
        <w:rPr>
          <w:rFonts w:eastAsia="黑体"/>
          <w:bCs/>
          <w:kern w:val="0"/>
          <w:sz w:val="52"/>
          <w:szCs w:val="52"/>
        </w:rPr>
      </w:pPr>
      <w:r>
        <w:rPr>
          <w:rFonts w:hint="eastAsia" w:ascii="方正小标宋简体" w:eastAsia="方正小标宋简体"/>
          <w:bCs/>
          <w:kern w:val="0"/>
          <w:sz w:val="40"/>
          <w:szCs w:val="40"/>
        </w:rPr>
        <w:t>证券公司经纪业务指南</w:t>
      </w:r>
    </w:p>
    <w:p>
      <w:pPr>
        <w:widowControl/>
        <w:spacing w:line="240" w:lineRule="exact"/>
        <w:jc w:val="left"/>
        <w:rPr>
          <w:rFonts w:ascii="宋体" w:hAnsi="宋体"/>
          <w:bCs/>
          <w:kern w:val="0"/>
          <w:szCs w:val="21"/>
        </w:rPr>
      </w:pPr>
    </w:p>
    <w:p>
      <w:pPr>
        <w:widowControl/>
        <w:spacing w:line="240" w:lineRule="exact"/>
        <w:jc w:val="left"/>
        <w:rPr>
          <w:rFonts w:ascii="宋体" w:hAnsi="宋体"/>
          <w:bCs/>
          <w:kern w:val="0"/>
          <w:szCs w:val="21"/>
        </w:rPr>
      </w:pPr>
    </w:p>
    <w:p>
      <w:pPr>
        <w:widowControl/>
        <w:spacing w:line="408" w:lineRule="auto"/>
        <w:jc w:val="center"/>
        <w:rPr>
          <w:rFonts w:ascii="方正小标宋简体" w:eastAsia="方正小标宋简体"/>
          <w:sz w:val="32"/>
          <w:szCs w:val="36"/>
        </w:rPr>
      </w:pPr>
      <w:r>
        <w:rPr>
          <w:rFonts w:hint="eastAsia" w:ascii="方正小标宋简体" w:eastAsia="方正小标宋简体"/>
          <w:bCs/>
          <w:sz w:val="32"/>
          <w:szCs w:val="36"/>
        </w:rPr>
        <w:t>目录</w:t>
      </w:r>
    </w:p>
    <w:p>
      <w:pPr>
        <w:pStyle w:val="24"/>
        <w:tabs>
          <w:tab w:val="right" w:leader="dot" w:pos="8296"/>
        </w:tabs>
        <w:spacing w:line="240" w:lineRule="auto"/>
        <w:rPr>
          <w:rFonts w:ascii="Times New Roman" w:hAnsi="Times New Roman"/>
          <w:kern w:val="2"/>
          <w:sz w:val="21"/>
        </w:rPr>
      </w:pP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TOC \o "1-2" \h \z \u </w:instrText>
      </w:r>
      <w:r>
        <w:rPr>
          <w:rFonts w:ascii="Times New Roman" w:hAnsi="Times New Roman" w:eastAsia="仿宋_GB2312"/>
          <w:sz w:val="28"/>
          <w:szCs w:val="28"/>
        </w:rPr>
        <w:fldChar w:fldCharType="separate"/>
      </w:r>
      <w:r>
        <w:fldChar w:fldCharType="begin"/>
      </w:r>
      <w:r>
        <w:instrText xml:space="preserve"> HYPERLINK \l "_Toc25049459" </w:instrText>
      </w:r>
      <w:r>
        <w:fldChar w:fldCharType="separate"/>
      </w:r>
      <w:r>
        <w:rPr>
          <w:rStyle w:val="39"/>
          <w:rFonts w:ascii="Times New Roman" w:hAnsi="Times New Roman" w:eastAsia="黑体"/>
          <w:bCs/>
        </w:rPr>
        <w:t>说明及声明</w:t>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"_Toc25049460" </w:instrText>
      </w:r>
      <w:r>
        <w:fldChar w:fldCharType="separate"/>
      </w:r>
      <w:r>
        <w:rPr>
          <w:rStyle w:val="39"/>
          <w:rFonts w:ascii="Times New Roman" w:hAnsi="Times New Roman" w:eastAsia="黑体"/>
          <w:bCs/>
        </w:rPr>
        <w:t>第一章 总体要求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_Toc25049460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"_Toc25049461" </w:instrText>
      </w:r>
      <w:r>
        <w:fldChar w:fldCharType="separate"/>
      </w:r>
      <w:r>
        <w:rPr>
          <w:rStyle w:val="39"/>
          <w:rFonts w:ascii="Times New Roman" w:hAnsi="Times New Roman" w:eastAsia="仿宋_GB2312"/>
        </w:rPr>
        <w:t>一、 组织架构和职责分工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_Toc25049461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"_Toc25049462" </w:instrText>
      </w:r>
      <w:r>
        <w:fldChar w:fldCharType="separate"/>
      </w:r>
      <w:r>
        <w:rPr>
          <w:rStyle w:val="39"/>
          <w:rFonts w:ascii="Times New Roman" w:hAnsi="Times New Roman" w:eastAsia="仿宋_GB2312"/>
        </w:rPr>
        <w:t>二、 岗位设置</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_Toc25049462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"_Toc25049463" </w:instrText>
      </w:r>
      <w:r>
        <w:fldChar w:fldCharType="separate"/>
      </w:r>
      <w:r>
        <w:rPr>
          <w:rStyle w:val="39"/>
          <w:rFonts w:ascii="Times New Roman" w:hAnsi="Times New Roman" w:eastAsia="仿宋_GB2312"/>
        </w:rPr>
        <w:t>三、 制度与流程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_Toc25049463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"_Toc25049464" </w:instrText>
      </w:r>
      <w:r>
        <w:fldChar w:fldCharType="separate"/>
      </w:r>
      <w:r>
        <w:rPr>
          <w:rStyle w:val="39"/>
          <w:rFonts w:ascii="Times New Roman" w:hAnsi="Times New Roman" w:eastAsia="仿宋_GB2312"/>
        </w:rPr>
        <w:t>四、 内控管理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_Toc25049464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"_Toc25049465" </w:instrText>
      </w:r>
      <w:r>
        <w:fldChar w:fldCharType="separate"/>
      </w:r>
      <w:r>
        <w:rPr>
          <w:rStyle w:val="39"/>
          <w:rFonts w:ascii="Times New Roman" w:hAnsi="Times New Roman" w:eastAsia="黑体"/>
        </w:rPr>
        <w:t>第二章</w:t>
      </w:r>
      <w:r>
        <w:rPr>
          <w:rStyle w:val="39"/>
          <w:rFonts w:ascii="Times New Roman" w:hAnsi="Times New Roman" w:eastAsia="黑体"/>
          <w:bCs/>
        </w:rPr>
        <w:t xml:space="preserve"> 交易权限开通</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_Toc25049465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"_Toc25049466" </w:instrText>
      </w:r>
      <w:r>
        <w:fldChar w:fldCharType="separate"/>
      </w:r>
      <w:r>
        <w:rPr>
          <w:rStyle w:val="39"/>
          <w:rFonts w:ascii="Times New Roman" w:hAnsi="Times New Roman" w:eastAsia="黑体"/>
        </w:rPr>
        <w:t>第三章</w:t>
      </w:r>
      <w:r>
        <w:rPr>
          <w:rStyle w:val="39"/>
          <w:rFonts w:ascii="Times New Roman" w:hAnsi="Times New Roman" w:eastAsia="黑体"/>
          <w:bCs/>
        </w:rPr>
        <w:t xml:space="preserve"> 投资者适当性管理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_Toc25049466 \h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"_Toc25049467" </w:instrText>
      </w:r>
      <w:r>
        <w:fldChar w:fldCharType="separate"/>
      </w:r>
      <w:r>
        <w:rPr>
          <w:rStyle w:val="39"/>
          <w:rFonts w:ascii="Times New Roman" w:hAnsi="Times New Roman" w:eastAsia="仿宋_GB2312"/>
        </w:rPr>
        <w:t>一、 投资者准入条件的认定</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_Toc25049467 \h </w:instrText>
      </w:r>
      <w:r>
        <w:rPr>
          <w:rFonts w:ascii="Times New Roman" w:hAnsi="Times New Roman"/>
        </w:rPr>
        <w:fldChar w:fldCharType="separate"/>
      </w:r>
      <w:r>
        <w:rPr>
          <w:rFonts w:ascii="Times New Roman" w:hAnsi="Times New Roman"/>
        </w:rPr>
        <w:t>8</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"_Toc25049468" </w:instrText>
      </w:r>
      <w:r>
        <w:fldChar w:fldCharType="separate"/>
      </w:r>
      <w:r>
        <w:rPr>
          <w:rStyle w:val="39"/>
          <w:rFonts w:ascii="Times New Roman" w:hAnsi="Times New Roman" w:eastAsia="仿宋_GB2312"/>
        </w:rPr>
        <w:t>二、 综合评估</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_Toc25049468 \h </w:instrText>
      </w:r>
      <w:r>
        <w:rPr>
          <w:rFonts w:ascii="Times New Roman" w:hAnsi="Times New Roman"/>
        </w:rPr>
        <w:fldChar w:fldCharType="separate"/>
      </w:r>
      <w:r>
        <w:rPr>
          <w:rFonts w:ascii="Times New Roman" w:hAnsi="Times New Roman"/>
        </w:rPr>
        <w:t>12</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"_Toc25049469" </w:instrText>
      </w:r>
      <w:r>
        <w:fldChar w:fldCharType="separate"/>
      </w:r>
      <w:r>
        <w:rPr>
          <w:rStyle w:val="39"/>
          <w:rFonts w:ascii="Times New Roman" w:hAnsi="Times New Roman" w:eastAsia="仿宋_GB2312"/>
        </w:rPr>
        <w:t>三、 期权知识测试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_Toc25049469 \h </w:instrText>
      </w:r>
      <w:r>
        <w:rPr>
          <w:rFonts w:ascii="Times New Roman" w:hAnsi="Times New Roman"/>
        </w:rPr>
        <w:fldChar w:fldCharType="separate"/>
      </w:r>
      <w:r>
        <w:rPr>
          <w:rFonts w:ascii="Times New Roman" w:hAnsi="Times New Roman"/>
        </w:rPr>
        <w:t>13</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"_Toc25049470" </w:instrText>
      </w:r>
      <w:r>
        <w:fldChar w:fldCharType="separate"/>
      </w:r>
      <w:r>
        <w:rPr>
          <w:rStyle w:val="39"/>
          <w:rFonts w:ascii="Times New Roman" w:hAnsi="Times New Roman" w:eastAsia="仿宋_GB2312"/>
        </w:rPr>
        <w:t>四、 投资者分级管理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_Toc25049470 \h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"_Toc25049471" </w:instrText>
      </w:r>
      <w:r>
        <w:fldChar w:fldCharType="separate"/>
      </w:r>
      <w:r>
        <w:rPr>
          <w:rStyle w:val="39"/>
          <w:rFonts w:ascii="Times New Roman" w:hAnsi="Times New Roman" w:eastAsia="仿宋_GB2312"/>
        </w:rPr>
        <w:t>五、 投资者适当性评估的动态持续管理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_Toc25049471 \h </w:instrText>
      </w:r>
      <w:r>
        <w:rPr>
          <w:rFonts w:ascii="Times New Roman" w:hAnsi="Times New Roman"/>
        </w:rPr>
        <w:fldChar w:fldCharType="separate"/>
      </w:r>
      <w:r>
        <w:rPr>
          <w:rFonts w:ascii="Times New Roman" w:hAnsi="Times New Roman"/>
        </w:rPr>
        <w:t>16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"_Toc25049472" </w:instrText>
      </w:r>
      <w:r>
        <w:fldChar w:fldCharType="separate"/>
      </w:r>
      <w:r>
        <w:rPr>
          <w:rStyle w:val="39"/>
          <w:rFonts w:ascii="Times New Roman" w:hAnsi="Times New Roman" w:eastAsia="仿宋_GB2312"/>
        </w:rPr>
        <w:t>六、 客户档案资料管理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_Toc25049472 \h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"_Toc25049473" </w:instrText>
      </w:r>
      <w:r>
        <w:fldChar w:fldCharType="separate"/>
      </w:r>
      <w:r>
        <w:rPr>
          <w:rStyle w:val="39"/>
          <w:rFonts w:ascii="Times New Roman" w:hAnsi="Times New Roman" w:eastAsia="仿宋_GB2312"/>
        </w:rPr>
        <w:t>七、 持续监督管理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_Toc25049473 \h </w:instrText>
      </w:r>
      <w:r>
        <w:rPr>
          <w:rFonts w:ascii="Times New Roman" w:hAnsi="Times New Roman"/>
        </w:rPr>
        <w:fldChar w:fldCharType="separate"/>
      </w:r>
      <w:r>
        <w:rPr>
          <w:rFonts w:ascii="Times New Roman" w:hAnsi="Times New Roman"/>
        </w:rPr>
        <w:t>18</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"_Toc25049474" </w:instrText>
      </w:r>
      <w:r>
        <w:fldChar w:fldCharType="separate"/>
      </w:r>
      <w:r>
        <w:rPr>
          <w:rStyle w:val="39"/>
          <w:rFonts w:ascii="Times New Roman" w:hAnsi="Times New Roman" w:eastAsia="黑体"/>
        </w:rPr>
        <w:t>第四章</w:t>
      </w:r>
      <w:r>
        <w:rPr>
          <w:rStyle w:val="39"/>
          <w:rFonts w:ascii="Times New Roman" w:hAnsi="Times New Roman" w:eastAsia="黑体"/>
          <w:bCs/>
        </w:rPr>
        <w:t xml:space="preserve"> 账户管理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_Toc25049474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"_Toc25049475" </w:instrText>
      </w:r>
      <w:r>
        <w:fldChar w:fldCharType="separate"/>
      </w:r>
      <w:r>
        <w:rPr>
          <w:rStyle w:val="39"/>
          <w:rFonts w:ascii="Times New Roman" w:hAnsi="Times New Roman" w:eastAsia="仿宋_GB2312"/>
        </w:rPr>
        <w:t>一、 账户体系</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_Toc25049475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"_Toc25049476" </w:instrText>
      </w:r>
      <w:r>
        <w:fldChar w:fldCharType="separate"/>
      </w:r>
      <w:r>
        <w:rPr>
          <w:rStyle w:val="39"/>
          <w:rFonts w:ascii="Times New Roman" w:hAnsi="Times New Roman" w:eastAsia="仿宋_GB2312"/>
        </w:rPr>
        <w:t>二、 衍生品合约账户的开立与管理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_Toc25049476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"_Toc25049477" </w:instrText>
      </w:r>
      <w:r>
        <w:fldChar w:fldCharType="separate"/>
      </w:r>
      <w:r>
        <w:rPr>
          <w:rStyle w:val="39"/>
          <w:rFonts w:ascii="Times New Roman" w:hAnsi="Times New Roman" w:eastAsia="黑体"/>
          <w:bCs/>
        </w:rPr>
        <w:t>第五章 持仓限额管理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_Toc25049477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"_Toc25049478" </w:instrText>
      </w:r>
      <w:r>
        <w:fldChar w:fldCharType="separate"/>
      </w:r>
      <w:r>
        <w:rPr>
          <w:rStyle w:val="39"/>
          <w:rFonts w:ascii="Times New Roman" w:hAnsi="Times New Roman" w:eastAsia="仿宋_GB2312"/>
        </w:rPr>
        <w:t>一、 持仓限额</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_Toc25049478 \h </w:instrText>
      </w:r>
      <w:r>
        <w:rPr>
          <w:rFonts w:ascii="Times New Roman" w:hAnsi="Times New Roman"/>
        </w:rPr>
        <w:fldChar w:fldCharType="separate"/>
      </w:r>
      <w:r>
        <w:rPr>
          <w:rFonts w:ascii="Times New Roman" w:hAnsi="Times New Roman"/>
        </w:rPr>
        <w:t>32</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"_Toc25049479" </w:instrText>
      </w:r>
      <w:r>
        <w:fldChar w:fldCharType="separate"/>
      </w:r>
      <w:r>
        <w:rPr>
          <w:rStyle w:val="39"/>
          <w:rFonts w:ascii="Times New Roman" w:hAnsi="Times New Roman" w:eastAsia="仿宋_GB2312"/>
        </w:rPr>
        <w:t>二、 客户买入额度管理（限购）</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_Toc25049479 \h </w:instrText>
      </w:r>
      <w:r>
        <w:rPr>
          <w:rFonts w:ascii="Times New Roman" w:hAnsi="Times New Roman"/>
        </w:rPr>
        <w:fldChar w:fldCharType="separate"/>
      </w:r>
      <w:r>
        <w:rPr>
          <w:rFonts w:ascii="Times New Roman" w:hAnsi="Times New Roman"/>
        </w:rPr>
        <w:t>38</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"_Toc25049480" </w:instrText>
      </w:r>
      <w:r>
        <w:fldChar w:fldCharType="separate"/>
      </w:r>
      <w:r>
        <w:rPr>
          <w:rStyle w:val="39"/>
          <w:rFonts w:ascii="Times New Roman" w:hAnsi="Times New Roman" w:eastAsia="仿宋_GB2312"/>
        </w:rPr>
        <w:t>三、 投资者套期保值额度申请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_Toc25049480 \h </w:instrText>
      </w:r>
      <w:r>
        <w:rPr>
          <w:rFonts w:ascii="Times New Roman" w:hAnsi="Times New Roman"/>
        </w:rPr>
        <w:fldChar w:fldCharType="separate"/>
      </w:r>
      <w:r>
        <w:rPr>
          <w:rFonts w:ascii="Times New Roman" w:hAnsi="Times New Roman"/>
        </w:rPr>
        <w:t>41</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"_Toc25049481" </w:instrText>
      </w:r>
      <w:r>
        <w:fldChar w:fldCharType="separate"/>
      </w:r>
      <w:r>
        <w:rPr>
          <w:rStyle w:val="39"/>
          <w:rFonts w:ascii="Times New Roman" w:hAnsi="Times New Roman" w:eastAsia="仿宋_GB2312"/>
        </w:rPr>
        <w:t>四、 经纪业务总持仓限额申请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_Toc25049481 \h </w:instrText>
      </w:r>
      <w:r>
        <w:rPr>
          <w:rFonts w:ascii="Times New Roman" w:hAnsi="Times New Roman"/>
        </w:rPr>
        <w:fldChar w:fldCharType="separate"/>
      </w:r>
      <w:r>
        <w:rPr>
          <w:rFonts w:ascii="Times New Roman" w:hAnsi="Times New Roman"/>
        </w:rPr>
        <w:t>44</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"_Toc25049482" </w:instrText>
      </w:r>
      <w:r>
        <w:fldChar w:fldCharType="separate"/>
      </w:r>
      <w:r>
        <w:rPr>
          <w:rStyle w:val="39"/>
          <w:rFonts w:ascii="Times New Roman" w:hAnsi="Times New Roman" w:eastAsia="仿宋"/>
        </w:rPr>
        <w:t>五、 特定产品持仓限额申请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_Toc25049482 \h </w:instrText>
      </w:r>
      <w:r>
        <w:rPr>
          <w:rFonts w:ascii="Times New Roman" w:hAnsi="Times New Roman"/>
        </w:rPr>
        <w:fldChar w:fldCharType="separate"/>
      </w:r>
      <w:r>
        <w:rPr>
          <w:rFonts w:ascii="Times New Roman" w:hAnsi="Times New Roman"/>
        </w:rPr>
        <w:t>45</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"_Toc25049483" </w:instrText>
      </w:r>
      <w:r>
        <w:fldChar w:fldCharType="separate"/>
      </w:r>
      <w:r>
        <w:rPr>
          <w:rStyle w:val="39"/>
          <w:rFonts w:ascii="Times New Roman" w:hAnsi="Times New Roman" w:eastAsia="黑体"/>
          <w:bCs/>
        </w:rPr>
        <w:t>第六章 保证金管理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_Toc25049483 \h </w:instrText>
      </w:r>
      <w:r>
        <w:rPr>
          <w:rFonts w:ascii="Times New Roman" w:hAnsi="Times New Roman"/>
        </w:rPr>
        <w:fldChar w:fldCharType="separate"/>
      </w:r>
      <w:r>
        <w:rPr>
          <w:rFonts w:ascii="Times New Roman" w:hAnsi="Times New Roman"/>
        </w:rPr>
        <w:t>47</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"_Toc25049484" </w:instrText>
      </w:r>
      <w:r>
        <w:fldChar w:fldCharType="separate"/>
      </w:r>
      <w:r>
        <w:rPr>
          <w:rStyle w:val="39"/>
          <w:rFonts w:ascii="Times New Roman" w:hAnsi="Times New Roman" w:eastAsia="仿宋_GB2312"/>
        </w:rPr>
        <w:t>一、 客户保证金管理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_Toc25049484 \h </w:instrText>
      </w:r>
      <w:r>
        <w:rPr>
          <w:rFonts w:ascii="Times New Roman" w:hAnsi="Times New Roman"/>
        </w:rPr>
        <w:fldChar w:fldCharType="separate"/>
      </w:r>
      <w:r>
        <w:rPr>
          <w:rFonts w:ascii="Times New Roman" w:hAnsi="Times New Roman"/>
        </w:rPr>
        <w:t>47</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hint="eastAsia" w:ascii="Times New Roman" w:hAnsi="Times New Roman" w:eastAsia="宋体"/>
          <w:kern w:val="2"/>
          <w:sz w:val="21"/>
          <w:lang w:val="en-US" w:eastAsia="zh-CN"/>
        </w:rPr>
      </w:pPr>
      <w:r>
        <w:fldChar w:fldCharType="begin"/>
      </w:r>
      <w:r>
        <w:instrText xml:space="preserve"> HYPERLINK \l "_Toc25049485" </w:instrText>
      </w:r>
      <w:r>
        <w:fldChar w:fldCharType="separate"/>
      </w:r>
      <w:r>
        <w:rPr>
          <w:rStyle w:val="39"/>
          <w:rFonts w:ascii="Times New Roman" w:hAnsi="Times New Roman" w:eastAsia="仿宋_GB2312"/>
        </w:rPr>
        <w:t>二、 备兑开仓客户保证金管理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_Toc25049485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r>
        <w:rPr>
          <w:rFonts w:hint="eastAsia" w:ascii="Times New Roman" w:hAnsi="Times New Roman"/>
          <w:lang w:val="en-US" w:eastAsia="zh-CN"/>
        </w:rPr>
        <w:t>9</w:t>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"_Toc25049486" </w:instrText>
      </w:r>
      <w:r>
        <w:fldChar w:fldCharType="separate"/>
      </w:r>
      <w:r>
        <w:rPr>
          <w:rStyle w:val="39"/>
          <w:rFonts w:ascii="Times New Roman" w:hAnsi="Times New Roman" w:eastAsia="仿宋_GB2312"/>
        </w:rPr>
        <w:t>三、 组合策略保证金管理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_Toc25049486 \h </w:instrText>
      </w:r>
      <w:r>
        <w:rPr>
          <w:rFonts w:ascii="Times New Roman" w:hAnsi="Times New Roman"/>
        </w:rPr>
        <w:fldChar w:fldCharType="separate"/>
      </w:r>
      <w:r>
        <w:rPr>
          <w:rFonts w:ascii="Times New Roman" w:hAnsi="Times New Roman"/>
        </w:rPr>
        <w:t>60</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"_Toc25049487" </w:instrText>
      </w:r>
      <w:r>
        <w:fldChar w:fldCharType="separate"/>
      </w:r>
      <w:r>
        <w:rPr>
          <w:rStyle w:val="39"/>
          <w:rFonts w:ascii="Times New Roman" w:hAnsi="Times New Roman" w:eastAsia="黑体"/>
          <w:bCs/>
        </w:rPr>
        <w:t>第七章 资金风险管理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_Toc25049487 \h </w:instrText>
      </w:r>
      <w:r>
        <w:rPr>
          <w:rFonts w:ascii="Times New Roman" w:hAnsi="Times New Roman"/>
        </w:rPr>
        <w:fldChar w:fldCharType="separate"/>
      </w:r>
      <w:r>
        <w:rPr>
          <w:rFonts w:ascii="Times New Roman" w:hAnsi="Times New Roman"/>
        </w:rPr>
        <w:t>63</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"_Toc25049488" </w:instrText>
      </w:r>
      <w:r>
        <w:fldChar w:fldCharType="separate"/>
      </w:r>
      <w:r>
        <w:rPr>
          <w:rStyle w:val="39"/>
          <w:rFonts w:ascii="Times New Roman" w:hAnsi="Times New Roman" w:eastAsia="仿宋_GB2312"/>
        </w:rPr>
        <w:t>一、 资金盯市管理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_Toc25049488 \h </w:instrText>
      </w:r>
      <w:r>
        <w:rPr>
          <w:rFonts w:ascii="Times New Roman" w:hAnsi="Times New Roman"/>
        </w:rPr>
        <w:fldChar w:fldCharType="separate"/>
      </w:r>
      <w:r>
        <w:rPr>
          <w:rFonts w:ascii="Times New Roman" w:hAnsi="Times New Roman"/>
        </w:rPr>
        <w:t>63</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"_Toc25049489" </w:instrText>
      </w:r>
      <w:r>
        <w:fldChar w:fldCharType="separate"/>
      </w:r>
      <w:r>
        <w:rPr>
          <w:rStyle w:val="39"/>
          <w:rFonts w:ascii="Times New Roman" w:hAnsi="Times New Roman" w:eastAsia="仿宋_GB2312"/>
        </w:rPr>
        <w:t>二、 资金划拨应急处理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_Toc25049489 \h </w:instrText>
      </w:r>
      <w:r>
        <w:rPr>
          <w:rFonts w:ascii="Times New Roman" w:hAnsi="Times New Roman"/>
        </w:rPr>
        <w:fldChar w:fldCharType="separate"/>
      </w:r>
      <w:r>
        <w:rPr>
          <w:rFonts w:ascii="Times New Roman" w:hAnsi="Times New Roman"/>
        </w:rPr>
        <w:t>67</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"_Toc25049490" </w:instrText>
      </w:r>
      <w:r>
        <w:fldChar w:fldCharType="separate"/>
      </w:r>
      <w:r>
        <w:rPr>
          <w:rStyle w:val="39"/>
          <w:rFonts w:ascii="Times New Roman" w:hAnsi="Times New Roman" w:eastAsia="黑体"/>
          <w:bCs/>
        </w:rPr>
        <w:t>第八章 强行平仓管理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_Toc25049490 \h </w:instrText>
      </w:r>
      <w:r>
        <w:rPr>
          <w:rFonts w:ascii="Times New Roman" w:hAnsi="Times New Roman"/>
        </w:rPr>
        <w:fldChar w:fldCharType="separate"/>
      </w:r>
      <w:r>
        <w:rPr>
          <w:rFonts w:ascii="Times New Roman" w:hAnsi="Times New Roman"/>
        </w:rPr>
        <w:t>68</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"_Toc25049491" </w:instrText>
      </w:r>
      <w:r>
        <w:fldChar w:fldCharType="separate"/>
      </w:r>
      <w:r>
        <w:rPr>
          <w:rStyle w:val="39"/>
          <w:rFonts w:ascii="Times New Roman" w:hAnsi="Times New Roman" w:eastAsia="仿宋_GB2312"/>
        </w:rPr>
        <w:t>一、 保证金不足强行平仓</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_Toc25049491 \h </w:instrText>
      </w:r>
      <w:r>
        <w:rPr>
          <w:rFonts w:ascii="Times New Roman" w:hAnsi="Times New Roman"/>
        </w:rPr>
        <w:fldChar w:fldCharType="separate"/>
      </w:r>
      <w:r>
        <w:rPr>
          <w:rFonts w:ascii="Times New Roman" w:hAnsi="Times New Roman"/>
        </w:rPr>
        <w:t>68</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"_Toc25049492" </w:instrText>
      </w:r>
      <w:r>
        <w:fldChar w:fldCharType="separate"/>
      </w:r>
      <w:r>
        <w:rPr>
          <w:rStyle w:val="39"/>
          <w:rFonts w:ascii="Times New Roman" w:hAnsi="Times New Roman" w:eastAsia="仿宋_GB2312"/>
        </w:rPr>
        <w:t>二、 备兑不足转普通仓的强行平仓</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_Toc25049492 \h </w:instrText>
      </w:r>
      <w:r>
        <w:rPr>
          <w:rFonts w:ascii="Times New Roman" w:hAnsi="Times New Roman"/>
        </w:rPr>
        <w:fldChar w:fldCharType="separate"/>
      </w:r>
      <w:r>
        <w:rPr>
          <w:rFonts w:ascii="Times New Roman" w:hAnsi="Times New Roman"/>
        </w:rPr>
        <w:t>71</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"_Toc25049493" </w:instrText>
      </w:r>
      <w:r>
        <w:fldChar w:fldCharType="separate"/>
      </w:r>
      <w:r>
        <w:rPr>
          <w:rStyle w:val="39"/>
          <w:rFonts w:ascii="Times New Roman" w:hAnsi="Times New Roman" w:eastAsia="仿宋_GB2312"/>
        </w:rPr>
        <w:t>三、 持仓超限平仓</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_Toc25049493 \h </w:instrText>
      </w:r>
      <w:r>
        <w:rPr>
          <w:rFonts w:ascii="Times New Roman" w:hAnsi="Times New Roman"/>
        </w:rPr>
        <w:fldChar w:fldCharType="separate"/>
      </w:r>
      <w:r>
        <w:rPr>
          <w:rFonts w:ascii="Times New Roman" w:hAnsi="Times New Roman"/>
        </w:rPr>
        <w:t>72</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"_Toc25049494" </w:instrText>
      </w:r>
      <w:r>
        <w:fldChar w:fldCharType="separate"/>
      </w:r>
      <w:r>
        <w:rPr>
          <w:rStyle w:val="39"/>
          <w:rFonts w:ascii="Times New Roman" w:hAnsi="Times New Roman" w:eastAsia="仿宋_GB2312"/>
        </w:rPr>
        <w:t>四、 强行平仓指令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_Toc25049494 \h </w:instrText>
      </w:r>
      <w:r>
        <w:rPr>
          <w:rFonts w:ascii="Times New Roman" w:hAnsi="Times New Roman"/>
        </w:rPr>
        <w:fldChar w:fldCharType="separate"/>
      </w:r>
      <w:r>
        <w:rPr>
          <w:rFonts w:ascii="Times New Roman" w:hAnsi="Times New Roman"/>
        </w:rPr>
        <w:t>74</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"_Toc25049495" </w:instrText>
      </w:r>
      <w:r>
        <w:fldChar w:fldCharType="separate"/>
      </w:r>
      <w:r>
        <w:rPr>
          <w:rStyle w:val="39"/>
          <w:rFonts w:ascii="Times New Roman" w:hAnsi="Times New Roman" w:eastAsia="仿宋_GB2312"/>
        </w:rPr>
        <w:t>五、 平仓操作顺序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_Toc25049495 \h </w:instrText>
      </w:r>
      <w:r>
        <w:rPr>
          <w:rFonts w:ascii="Times New Roman" w:hAnsi="Times New Roman"/>
        </w:rPr>
        <w:fldChar w:fldCharType="separate"/>
      </w:r>
      <w:r>
        <w:rPr>
          <w:rFonts w:ascii="Times New Roman" w:hAnsi="Times New Roman"/>
        </w:rPr>
        <w:t>75</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"_Toc25049496" </w:instrText>
      </w:r>
      <w:r>
        <w:fldChar w:fldCharType="separate"/>
      </w:r>
      <w:r>
        <w:rPr>
          <w:rStyle w:val="39"/>
          <w:rFonts w:ascii="Times New Roman" w:hAnsi="Times New Roman" w:eastAsia="仿宋_GB2312"/>
        </w:rPr>
        <w:t>六、 平仓有关的应急处理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_Toc25049496 \h </w:instrText>
      </w:r>
      <w:r>
        <w:rPr>
          <w:rFonts w:ascii="Times New Roman" w:hAnsi="Times New Roman"/>
        </w:rPr>
        <w:fldChar w:fldCharType="separate"/>
      </w:r>
      <w:r>
        <w:rPr>
          <w:rFonts w:ascii="Times New Roman" w:hAnsi="Times New Roman"/>
        </w:rPr>
        <w:t>75</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"_Toc25049497" </w:instrText>
      </w:r>
      <w:r>
        <w:fldChar w:fldCharType="separate"/>
      </w:r>
      <w:r>
        <w:rPr>
          <w:rStyle w:val="39"/>
          <w:rFonts w:ascii="Times New Roman" w:hAnsi="Times New Roman" w:eastAsia="黑体"/>
          <w:bCs/>
        </w:rPr>
        <w:t>第九章 行权交收管理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_Toc25049497 \h </w:instrText>
      </w:r>
      <w:r>
        <w:rPr>
          <w:rFonts w:ascii="Times New Roman" w:hAnsi="Times New Roman"/>
        </w:rPr>
        <w:fldChar w:fldCharType="separate"/>
      </w:r>
      <w:r>
        <w:rPr>
          <w:rFonts w:ascii="Times New Roman" w:hAnsi="Times New Roman"/>
        </w:rPr>
        <w:t>76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"_Toc25049498" </w:instrText>
      </w:r>
      <w:r>
        <w:fldChar w:fldCharType="separate"/>
      </w:r>
      <w:r>
        <w:rPr>
          <w:rStyle w:val="39"/>
          <w:rFonts w:ascii="Times New Roman" w:hAnsi="Times New Roman" w:eastAsia="仿宋_GB2312"/>
        </w:rPr>
        <w:t>一、 投资者持仓合约的行权提醒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_Toc25049498 \h </w:instrText>
      </w:r>
      <w:r>
        <w:rPr>
          <w:rFonts w:ascii="Times New Roman" w:hAnsi="Times New Roman"/>
        </w:rPr>
        <w:fldChar w:fldCharType="separate"/>
      </w:r>
      <w:r>
        <w:rPr>
          <w:rFonts w:ascii="Times New Roman" w:hAnsi="Times New Roman"/>
        </w:rPr>
        <w:t>76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"_Toc25049499" </w:instrText>
      </w:r>
      <w:r>
        <w:fldChar w:fldCharType="separate"/>
      </w:r>
      <w:r>
        <w:rPr>
          <w:rStyle w:val="39"/>
          <w:rFonts w:ascii="Times New Roman" w:hAnsi="Times New Roman" w:eastAsia="仿宋_GB2312"/>
        </w:rPr>
        <w:t>二、 投资者行权日风险管理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_Toc25049499 \h </w:instrText>
      </w:r>
      <w:r>
        <w:rPr>
          <w:rFonts w:ascii="Times New Roman" w:hAnsi="Times New Roman"/>
        </w:rPr>
        <w:fldChar w:fldCharType="separate"/>
      </w:r>
      <w:r>
        <w:rPr>
          <w:rFonts w:ascii="Times New Roman" w:hAnsi="Times New Roman"/>
        </w:rPr>
        <w:t>76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"_Toc25049500" </w:instrText>
      </w:r>
      <w:r>
        <w:fldChar w:fldCharType="separate"/>
      </w:r>
      <w:r>
        <w:rPr>
          <w:rStyle w:val="39"/>
          <w:rFonts w:ascii="Times New Roman" w:hAnsi="Times New Roman" w:eastAsia="仿宋_GB2312"/>
        </w:rPr>
        <w:t>三、 投资者行权交收风险管理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_Toc25049500 \h </w:instrText>
      </w:r>
      <w:r>
        <w:rPr>
          <w:rFonts w:ascii="Times New Roman" w:hAnsi="Times New Roman"/>
        </w:rPr>
        <w:fldChar w:fldCharType="separate"/>
      </w:r>
      <w:r>
        <w:rPr>
          <w:rFonts w:ascii="Times New Roman" w:hAnsi="Times New Roman"/>
        </w:rPr>
        <w:t>80</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"_Toc25049501" </w:instrText>
      </w:r>
      <w:r>
        <w:fldChar w:fldCharType="separate"/>
      </w:r>
      <w:r>
        <w:rPr>
          <w:rStyle w:val="39"/>
          <w:rFonts w:ascii="Times New Roman" w:hAnsi="Times New Roman" w:eastAsia="仿宋_GB2312"/>
        </w:rPr>
        <w:t>四、 行权日前调整保证金参数水平提醒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_Toc25049501 \h </w:instrText>
      </w:r>
      <w:r>
        <w:rPr>
          <w:rFonts w:ascii="Times New Roman" w:hAnsi="Times New Roman"/>
        </w:rPr>
        <w:fldChar w:fldCharType="separate"/>
      </w:r>
      <w:r>
        <w:rPr>
          <w:rFonts w:ascii="Times New Roman" w:hAnsi="Times New Roman"/>
        </w:rPr>
        <w:t>81</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"_Toc25049502" </w:instrText>
      </w:r>
      <w:r>
        <w:fldChar w:fldCharType="separate"/>
      </w:r>
      <w:r>
        <w:rPr>
          <w:rStyle w:val="39"/>
          <w:rFonts w:ascii="Times New Roman" w:hAnsi="Times New Roman" w:eastAsia="黑体"/>
        </w:rPr>
        <w:t>第十章</w:t>
      </w:r>
      <w:r>
        <w:rPr>
          <w:rStyle w:val="39"/>
          <w:rFonts w:ascii="Times New Roman" w:hAnsi="Times New Roman" w:eastAsia="黑体"/>
          <w:bCs/>
        </w:rPr>
        <w:t xml:space="preserve"> 协议行权</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_Toc25049502 \h </w:instrText>
      </w:r>
      <w:r>
        <w:rPr>
          <w:rFonts w:ascii="Times New Roman" w:hAnsi="Times New Roman"/>
        </w:rPr>
        <w:fldChar w:fldCharType="separate"/>
      </w:r>
      <w:r>
        <w:rPr>
          <w:rFonts w:ascii="Times New Roman" w:hAnsi="Times New Roman"/>
        </w:rPr>
        <w:t>82</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"_Toc25049503" </w:instrText>
      </w:r>
      <w:r>
        <w:fldChar w:fldCharType="separate"/>
      </w:r>
      <w:r>
        <w:rPr>
          <w:rStyle w:val="39"/>
          <w:rFonts w:ascii="Times New Roman" w:hAnsi="Times New Roman" w:eastAsia="仿宋_GB2312"/>
        </w:rPr>
        <w:t>一、 协议行权策略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_Toc25049503 \h </w:instrText>
      </w:r>
      <w:r>
        <w:rPr>
          <w:rFonts w:ascii="Times New Roman" w:hAnsi="Times New Roman"/>
        </w:rPr>
        <w:fldChar w:fldCharType="separate"/>
      </w:r>
      <w:r>
        <w:rPr>
          <w:rFonts w:ascii="Times New Roman" w:hAnsi="Times New Roman"/>
        </w:rPr>
        <w:t>82</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"_Toc25049504" </w:instrText>
      </w:r>
      <w:r>
        <w:fldChar w:fldCharType="separate"/>
      </w:r>
      <w:r>
        <w:rPr>
          <w:rStyle w:val="39"/>
          <w:rFonts w:ascii="Times New Roman" w:hAnsi="Times New Roman" w:eastAsia="仿宋_GB2312"/>
        </w:rPr>
        <w:t>二、 协议行权注意事项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_Toc25049504 \h </w:instrText>
      </w:r>
      <w:r>
        <w:rPr>
          <w:rFonts w:ascii="Times New Roman" w:hAnsi="Times New Roman"/>
        </w:rPr>
        <w:fldChar w:fldCharType="separate"/>
      </w:r>
      <w:r>
        <w:rPr>
          <w:rFonts w:ascii="Times New Roman" w:hAnsi="Times New Roman"/>
        </w:rPr>
        <w:t>83</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"_Toc25049505" </w:instrText>
      </w:r>
      <w:r>
        <w:fldChar w:fldCharType="separate"/>
      </w:r>
      <w:r>
        <w:rPr>
          <w:rStyle w:val="39"/>
          <w:rFonts w:ascii="Times New Roman" w:hAnsi="Times New Roman" w:eastAsia="黑体"/>
        </w:rPr>
        <w:t>第十一章</w:t>
      </w:r>
      <w:r>
        <w:rPr>
          <w:rStyle w:val="39"/>
          <w:rFonts w:ascii="Times New Roman" w:hAnsi="Times New Roman" w:eastAsia="黑体"/>
          <w:bCs/>
        </w:rPr>
        <w:t xml:space="preserve"> 客户结算</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_Toc25049505 \h </w:instrText>
      </w:r>
      <w:r>
        <w:rPr>
          <w:rFonts w:ascii="Times New Roman" w:hAnsi="Times New Roman"/>
        </w:rPr>
        <w:fldChar w:fldCharType="separate"/>
      </w:r>
      <w:r>
        <w:rPr>
          <w:rFonts w:ascii="Times New Roman" w:hAnsi="Times New Roman"/>
        </w:rPr>
        <w:t>84</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"_Toc25049506" </w:instrText>
      </w:r>
      <w:r>
        <w:fldChar w:fldCharType="separate"/>
      </w:r>
      <w:r>
        <w:rPr>
          <w:rStyle w:val="39"/>
          <w:rFonts w:ascii="Times New Roman" w:hAnsi="Times New Roman" w:eastAsia="仿宋_GB2312"/>
        </w:rPr>
        <w:t>一、 日常交易清算</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_Toc25049506 \h </w:instrText>
      </w:r>
      <w:r>
        <w:rPr>
          <w:rFonts w:ascii="Times New Roman" w:hAnsi="Times New Roman"/>
        </w:rPr>
        <w:fldChar w:fldCharType="separate"/>
      </w:r>
      <w:r>
        <w:rPr>
          <w:rFonts w:ascii="Times New Roman" w:hAnsi="Times New Roman"/>
        </w:rPr>
        <w:t>84</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"_Toc25049507" </w:instrText>
      </w:r>
      <w:r>
        <w:fldChar w:fldCharType="separate"/>
      </w:r>
      <w:r>
        <w:rPr>
          <w:rStyle w:val="39"/>
          <w:rFonts w:ascii="Times New Roman" w:hAnsi="Times New Roman" w:eastAsia="仿宋_GB2312"/>
        </w:rPr>
        <w:t>二、 清算后数据对账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_Toc25049507 \h </w:instrText>
      </w:r>
      <w:r>
        <w:rPr>
          <w:rFonts w:ascii="Times New Roman" w:hAnsi="Times New Roman"/>
        </w:rPr>
        <w:fldChar w:fldCharType="separate"/>
      </w:r>
      <w:r>
        <w:rPr>
          <w:rFonts w:ascii="Times New Roman" w:hAnsi="Times New Roman"/>
        </w:rPr>
        <w:t>84</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"_Toc25049508" </w:instrText>
      </w:r>
      <w:r>
        <w:fldChar w:fldCharType="separate"/>
      </w:r>
      <w:r>
        <w:rPr>
          <w:rStyle w:val="39"/>
          <w:rFonts w:ascii="Times New Roman" w:hAnsi="Times New Roman" w:eastAsia="仿宋_GB2312"/>
        </w:rPr>
        <w:t>三、 日常交易交收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_Toc25049508 \h </w:instrText>
      </w:r>
      <w:r>
        <w:rPr>
          <w:rFonts w:ascii="Times New Roman" w:hAnsi="Times New Roman"/>
        </w:rPr>
        <w:fldChar w:fldCharType="separate"/>
      </w:r>
      <w:r>
        <w:rPr>
          <w:rFonts w:ascii="Times New Roman" w:hAnsi="Times New Roman"/>
        </w:rPr>
        <w:t>85</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"_Toc25049509" </w:instrText>
      </w:r>
      <w:r>
        <w:fldChar w:fldCharType="separate"/>
      </w:r>
      <w:r>
        <w:rPr>
          <w:rStyle w:val="39"/>
          <w:rFonts w:ascii="Times New Roman" w:hAnsi="Times New Roman" w:eastAsia="黑体"/>
          <w:bCs/>
        </w:rPr>
        <w:t>第十二章 投资者数据报备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_Toc25049509 \h </w:instrText>
      </w:r>
      <w:r>
        <w:rPr>
          <w:rFonts w:ascii="Times New Roman" w:hAnsi="Times New Roman"/>
        </w:rPr>
        <w:fldChar w:fldCharType="separate"/>
      </w:r>
      <w:r>
        <w:rPr>
          <w:rFonts w:ascii="Times New Roman" w:hAnsi="Times New Roman"/>
        </w:rPr>
        <w:t>86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"_Toc25049510" </w:instrText>
      </w:r>
      <w:r>
        <w:fldChar w:fldCharType="separate"/>
      </w:r>
      <w:r>
        <w:rPr>
          <w:rStyle w:val="39"/>
          <w:rFonts w:ascii="Times New Roman" w:hAnsi="Times New Roman" w:eastAsia="仿宋_GB2312"/>
        </w:rPr>
        <w:t>一、 总体要求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_Toc25049510 \h </w:instrText>
      </w:r>
      <w:r>
        <w:rPr>
          <w:rFonts w:ascii="Times New Roman" w:hAnsi="Times New Roman"/>
        </w:rPr>
        <w:fldChar w:fldCharType="separate"/>
      </w:r>
      <w:r>
        <w:rPr>
          <w:rFonts w:ascii="Times New Roman" w:hAnsi="Times New Roman"/>
        </w:rPr>
        <w:t>86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"_Toc25049511" </w:instrText>
      </w:r>
      <w:r>
        <w:fldChar w:fldCharType="separate"/>
      </w:r>
      <w:r>
        <w:rPr>
          <w:rStyle w:val="39"/>
          <w:rFonts w:ascii="Times New Roman" w:hAnsi="Times New Roman" w:eastAsia="仿宋_GB2312"/>
        </w:rPr>
        <w:t>二、 数据内容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_Toc25049511 \h </w:instrText>
      </w:r>
      <w:r>
        <w:rPr>
          <w:rFonts w:ascii="Times New Roman" w:hAnsi="Times New Roman"/>
        </w:rPr>
        <w:fldChar w:fldCharType="separate"/>
      </w:r>
      <w:r>
        <w:rPr>
          <w:rFonts w:ascii="Times New Roman" w:hAnsi="Times New Roman"/>
        </w:rPr>
        <w:t>86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"_Toc25049512" </w:instrText>
      </w:r>
      <w:r>
        <w:fldChar w:fldCharType="separate"/>
      </w:r>
      <w:r>
        <w:rPr>
          <w:rStyle w:val="39"/>
          <w:rFonts w:ascii="Times New Roman" w:hAnsi="Times New Roman" w:eastAsia="仿宋_GB2312"/>
        </w:rPr>
        <w:t>三、 报送渠道</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_Toc25049512 \h </w:instrText>
      </w:r>
      <w:r>
        <w:rPr>
          <w:rFonts w:ascii="Times New Roman" w:hAnsi="Times New Roman"/>
        </w:rPr>
        <w:fldChar w:fldCharType="separate"/>
      </w:r>
      <w:r>
        <w:rPr>
          <w:rFonts w:ascii="Times New Roman" w:hAnsi="Times New Roman"/>
        </w:rPr>
        <w:t>88</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"_Toc25049513" </w:instrText>
      </w:r>
      <w:r>
        <w:fldChar w:fldCharType="separate"/>
      </w:r>
      <w:r>
        <w:rPr>
          <w:rStyle w:val="39"/>
          <w:rFonts w:ascii="Times New Roman" w:hAnsi="Times New Roman" w:eastAsia="仿宋_GB2312"/>
        </w:rPr>
        <w:t>四、 格式要求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_Toc25049513 \h </w:instrText>
      </w:r>
      <w:r>
        <w:rPr>
          <w:rFonts w:ascii="Times New Roman" w:hAnsi="Times New Roman"/>
        </w:rPr>
        <w:fldChar w:fldCharType="separate"/>
      </w:r>
      <w:r>
        <w:rPr>
          <w:rFonts w:ascii="Times New Roman" w:hAnsi="Times New Roman"/>
        </w:rPr>
        <w:t>88</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"_Toc25049514" </w:instrText>
      </w:r>
      <w:r>
        <w:fldChar w:fldCharType="separate"/>
      </w:r>
      <w:r>
        <w:rPr>
          <w:rStyle w:val="39"/>
          <w:rFonts w:ascii="Times New Roman" w:hAnsi="Times New Roman" w:eastAsia="黑体"/>
          <w:bCs/>
        </w:rPr>
        <w:t>第十三章 程序化交易报备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_Toc25049514 \h </w:instrText>
      </w:r>
      <w:r>
        <w:rPr>
          <w:rFonts w:ascii="Times New Roman" w:hAnsi="Times New Roman"/>
        </w:rPr>
        <w:fldChar w:fldCharType="separate"/>
      </w:r>
      <w:r>
        <w:rPr>
          <w:rFonts w:ascii="Times New Roman" w:hAnsi="Times New Roman"/>
        </w:rPr>
        <w:t>90</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"_Toc25049515" </w:instrText>
      </w:r>
      <w:r>
        <w:fldChar w:fldCharType="separate"/>
      </w:r>
      <w:r>
        <w:rPr>
          <w:rStyle w:val="39"/>
          <w:rFonts w:ascii="Times New Roman" w:hAnsi="Times New Roman" w:eastAsia="仿宋_GB2312"/>
        </w:rPr>
        <w:t>一、 程序化交易接入管理要求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_Toc25049515 \h </w:instrText>
      </w:r>
      <w:r>
        <w:rPr>
          <w:rFonts w:ascii="Times New Roman" w:hAnsi="Times New Roman"/>
        </w:rPr>
        <w:fldChar w:fldCharType="separate"/>
      </w:r>
      <w:r>
        <w:rPr>
          <w:rFonts w:ascii="Times New Roman" w:hAnsi="Times New Roman"/>
        </w:rPr>
        <w:t>90</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"_Toc25049516" </w:instrText>
      </w:r>
      <w:r>
        <w:fldChar w:fldCharType="separate"/>
      </w:r>
      <w:r>
        <w:rPr>
          <w:rStyle w:val="39"/>
          <w:rFonts w:ascii="Times New Roman" w:hAnsi="Times New Roman" w:eastAsia="仿宋_GB2312"/>
        </w:rPr>
        <w:t>二、 程序化交易报备管理要求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_Toc25049516 \h </w:instrText>
      </w:r>
      <w:r>
        <w:rPr>
          <w:rFonts w:ascii="Times New Roman" w:hAnsi="Times New Roman"/>
        </w:rPr>
        <w:fldChar w:fldCharType="separate"/>
      </w:r>
      <w:r>
        <w:rPr>
          <w:rFonts w:ascii="Times New Roman" w:hAnsi="Times New Roman"/>
        </w:rPr>
        <w:t>90</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"_Toc25049517" </w:instrText>
      </w:r>
      <w:r>
        <w:fldChar w:fldCharType="separate"/>
      </w:r>
      <w:r>
        <w:rPr>
          <w:rStyle w:val="39"/>
          <w:rFonts w:ascii="Times New Roman" w:hAnsi="Times New Roman" w:eastAsia="仿宋_GB2312"/>
        </w:rPr>
        <w:t>三、 程序化交易升级报备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_Toc25049517 \h </w:instrText>
      </w:r>
      <w:r>
        <w:rPr>
          <w:rFonts w:ascii="Times New Roman" w:hAnsi="Times New Roman"/>
        </w:rPr>
        <w:fldChar w:fldCharType="separate"/>
      </w:r>
      <w:r>
        <w:rPr>
          <w:rFonts w:ascii="Times New Roman" w:hAnsi="Times New Roman"/>
        </w:rPr>
        <w:t>91</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"_Toc25049518" </w:instrText>
      </w:r>
      <w:r>
        <w:fldChar w:fldCharType="separate"/>
      </w:r>
      <w:r>
        <w:rPr>
          <w:rStyle w:val="39"/>
          <w:rFonts w:ascii="Times New Roman" w:hAnsi="Times New Roman" w:eastAsia="仿宋_GB2312"/>
        </w:rPr>
        <w:t>四、 程序化交易的监督</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_Toc25049518 \h </w:instrText>
      </w:r>
      <w:r>
        <w:rPr>
          <w:rFonts w:ascii="Times New Roman" w:hAnsi="Times New Roman"/>
        </w:rPr>
        <w:fldChar w:fldCharType="separate"/>
      </w:r>
      <w:r>
        <w:rPr>
          <w:rFonts w:ascii="Times New Roman" w:hAnsi="Times New Roman"/>
        </w:rPr>
        <w:t>92</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"_Toc25049519" </w:instrText>
      </w:r>
      <w:r>
        <w:fldChar w:fldCharType="separate"/>
      </w:r>
      <w:r>
        <w:rPr>
          <w:rStyle w:val="39"/>
          <w:rFonts w:ascii="Times New Roman" w:hAnsi="Times New Roman" w:eastAsia="黑体"/>
          <w:bCs/>
        </w:rPr>
        <w:t>第十四章 大户报告</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_Toc25049519 \h </w:instrText>
      </w:r>
      <w:r>
        <w:rPr>
          <w:rFonts w:ascii="Times New Roman" w:hAnsi="Times New Roman"/>
        </w:rPr>
        <w:fldChar w:fldCharType="separate"/>
      </w:r>
      <w:r>
        <w:rPr>
          <w:rFonts w:ascii="Times New Roman" w:hAnsi="Times New Roman"/>
        </w:rPr>
        <w:t>93</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"_Toc25049520" </w:instrText>
      </w:r>
      <w:r>
        <w:fldChar w:fldCharType="separate"/>
      </w:r>
      <w:r>
        <w:rPr>
          <w:rStyle w:val="39"/>
          <w:rFonts w:ascii="Times New Roman" w:hAnsi="Times New Roman" w:eastAsia="仿宋_GB2312"/>
        </w:rPr>
        <w:t>一、 报告要求和报告材料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_Toc25049520 \h </w:instrText>
      </w:r>
      <w:r>
        <w:rPr>
          <w:rFonts w:ascii="Times New Roman" w:hAnsi="Times New Roman"/>
        </w:rPr>
        <w:fldChar w:fldCharType="separate"/>
      </w:r>
      <w:r>
        <w:rPr>
          <w:rFonts w:ascii="Times New Roman" w:hAnsi="Times New Roman"/>
        </w:rPr>
        <w:t>93</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"_Toc25049521" </w:instrText>
      </w:r>
      <w:r>
        <w:fldChar w:fldCharType="separate"/>
      </w:r>
      <w:r>
        <w:rPr>
          <w:rStyle w:val="39"/>
          <w:rFonts w:ascii="Times New Roman" w:hAnsi="Times New Roman" w:eastAsia="仿宋_GB2312"/>
        </w:rPr>
        <w:t>二、 报送业务流程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_Toc25049521 \h </w:instrText>
      </w:r>
      <w:r>
        <w:rPr>
          <w:rFonts w:ascii="Times New Roman" w:hAnsi="Times New Roman"/>
        </w:rPr>
        <w:fldChar w:fldCharType="separate"/>
      </w:r>
      <w:r>
        <w:rPr>
          <w:rFonts w:ascii="Times New Roman" w:hAnsi="Times New Roman"/>
        </w:rPr>
        <w:t>93</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"_Toc25049522" </w:instrText>
      </w:r>
      <w:r>
        <w:fldChar w:fldCharType="separate"/>
      </w:r>
      <w:r>
        <w:rPr>
          <w:rStyle w:val="39"/>
          <w:rFonts w:ascii="Times New Roman" w:hAnsi="Times New Roman" w:eastAsia="仿宋_GB2312"/>
        </w:rPr>
        <w:t>三、 报告注意事项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_Toc25049522 \h </w:instrText>
      </w:r>
      <w:r>
        <w:rPr>
          <w:rFonts w:ascii="Times New Roman" w:hAnsi="Times New Roman"/>
        </w:rPr>
        <w:fldChar w:fldCharType="separate"/>
      </w:r>
      <w:r>
        <w:rPr>
          <w:rFonts w:ascii="Times New Roman" w:hAnsi="Times New Roman"/>
        </w:rPr>
        <w:t>94</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"_Toc25049523" </w:instrText>
      </w:r>
      <w:r>
        <w:fldChar w:fldCharType="separate"/>
      </w:r>
      <w:r>
        <w:rPr>
          <w:rStyle w:val="39"/>
          <w:rFonts w:ascii="Times New Roman" w:hAnsi="Times New Roman" w:eastAsia="黑体"/>
        </w:rPr>
        <w:t>第十五章</w:t>
      </w:r>
      <w:r>
        <w:rPr>
          <w:rStyle w:val="39"/>
          <w:rFonts w:ascii="Times New Roman" w:hAnsi="Times New Roman" w:eastAsia="黑体"/>
          <w:bCs/>
        </w:rPr>
        <w:t xml:space="preserve"> 交易信息提醒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_Toc25049523 \h </w:instrText>
      </w:r>
      <w:r>
        <w:rPr>
          <w:rFonts w:ascii="Times New Roman" w:hAnsi="Times New Roman"/>
        </w:rPr>
        <w:fldChar w:fldCharType="separate"/>
      </w:r>
      <w:r>
        <w:rPr>
          <w:rFonts w:ascii="Times New Roman" w:hAnsi="Times New Roman"/>
        </w:rPr>
        <w:t>96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"_Toc25049524" </w:instrText>
      </w:r>
      <w:r>
        <w:fldChar w:fldCharType="separate"/>
      </w:r>
      <w:r>
        <w:rPr>
          <w:rStyle w:val="39"/>
          <w:rFonts w:ascii="Times New Roman" w:hAnsi="Times New Roman" w:eastAsia="仿宋_GB2312"/>
        </w:rPr>
        <w:t>一、 交易信息内容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_Toc25049524 \h </w:instrText>
      </w:r>
      <w:r>
        <w:rPr>
          <w:rFonts w:ascii="Times New Roman" w:hAnsi="Times New Roman"/>
        </w:rPr>
        <w:fldChar w:fldCharType="separate"/>
      </w:r>
      <w:r>
        <w:rPr>
          <w:rFonts w:ascii="Times New Roman" w:hAnsi="Times New Roman"/>
        </w:rPr>
        <w:t>96</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"_Toc25049525" </w:instrText>
      </w:r>
      <w:r>
        <w:fldChar w:fldCharType="separate"/>
      </w:r>
      <w:r>
        <w:rPr>
          <w:rStyle w:val="39"/>
          <w:rFonts w:ascii="Times New Roman" w:hAnsi="Times New Roman" w:eastAsia="仿宋_GB2312"/>
        </w:rPr>
        <w:t>二、 信息公告与提醒</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_Toc25049525 \h </w:instrText>
      </w:r>
      <w:r>
        <w:rPr>
          <w:rFonts w:ascii="Times New Roman" w:hAnsi="Times New Roman"/>
        </w:rPr>
        <w:fldChar w:fldCharType="separate"/>
      </w:r>
      <w:r>
        <w:rPr>
          <w:rFonts w:ascii="Times New Roman" w:hAnsi="Times New Roman"/>
        </w:rPr>
        <w:t>96</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"_Toc25049526" </w:instrText>
      </w:r>
      <w:r>
        <w:fldChar w:fldCharType="separate"/>
      </w:r>
      <w:r>
        <w:rPr>
          <w:rStyle w:val="39"/>
          <w:rFonts w:ascii="Times New Roman" w:hAnsi="Times New Roman" w:eastAsia="黑体"/>
        </w:rPr>
        <w:t>第十六章</w:t>
      </w:r>
      <w:r>
        <w:rPr>
          <w:rStyle w:val="39"/>
          <w:rFonts w:ascii="Times New Roman" w:hAnsi="Times New Roman" w:eastAsia="黑体"/>
          <w:bCs/>
        </w:rPr>
        <w:t xml:space="preserve"> 投资者教育与客户投诉处理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_Toc25049526 \h </w:instrText>
      </w:r>
      <w:r>
        <w:rPr>
          <w:rFonts w:ascii="Times New Roman" w:hAnsi="Times New Roman"/>
        </w:rPr>
        <w:fldChar w:fldCharType="separate"/>
      </w:r>
      <w:r>
        <w:rPr>
          <w:rFonts w:ascii="Times New Roman" w:hAnsi="Times New Roman"/>
        </w:rPr>
        <w:t>99</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"_Toc25049527" </w:instrText>
      </w:r>
      <w:r>
        <w:fldChar w:fldCharType="separate"/>
      </w:r>
      <w:r>
        <w:rPr>
          <w:rStyle w:val="39"/>
          <w:rFonts w:ascii="Times New Roman" w:hAnsi="Times New Roman" w:eastAsia="仿宋_GB2312"/>
        </w:rPr>
        <w:t>一、 投资者教育</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_Toc25049527 \h </w:instrText>
      </w:r>
      <w:r>
        <w:rPr>
          <w:rFonts w:ascii="Times New Roman" w:hAnsi="Times New Roman"/>
        </w:rPr>
        <w:fldChar w:fldCharType="separate"/>
      </w:r>
      <w:r>
        <w:rPr>
          <w:rFonts w:ascii="Times New Roman" w:hAnsi="Times New Roman"/>
        </w:rPr>
        <w:t>99</w:t>
      </w:r>
      <w:r>
        <w:rPr>
          <w:rFonts w:ascii="Times New Roman" w:hAnsi="Times New Roman"/>
        </w:rPr>
        <w:fldChar w:fldCharType="end"/>
      </w:r>
      <w:r>
        <w:rPr>
          <w:rFonts w:ascii="Times New Roman" w:hAnsi="Times New Roman"/>
        </w:rPr>
        <w:fldChar w:fldCharType="end"/>
      </w:r>
    </w:p>
    <w:p>
      <w:pPr>
        <w:pStyle w:val="29"/>
        <w:tabs>
          <w:tab w:val="right" w:leader="dot" w:pos="8296"/>
        </w:tabs>
        <w:spacing w:line="240" w:lineRule="auto"/>
        <w:rPr>
          <w:rFonts w:ascii="Times New Roman" w:hAnsi="Times New Roman"/>
          <w:kern w:val="2"/>
          <w:sz w:val="21"/>
        </w:rPr>
      </w:pPr>
      <w:r>
        <w:fldChar w:fldCharType="begin"/>
      </w:r>
      <w:r>
        <w:instrText xml:space="preserve"> HYPERLINK \l "_Toc25049528" </w:instrText>
      </w:r>
      <w:r>
        <w:fldChar w:fldCharType="separate"/>
      </w:r>
      <w:r>
        <w:rPr>
          <w:rStyle w:val="39"/>
          <w:rFonts w:ascii="Times New Roman" w:hAnsi="Times New Roman" w:eastAsia="仿宋_GB2312"/>
        </w:rPr>
        <w:t>二、 客户投诉处理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_Toc25049528 \h </w:instrText>
      </w:r>
      <w:r>
        <w:rPr>
          <w:rFonts w:ascii="Times New Roman" w:hAnsi="Times New Roman"/>
        </w:rPr>
        <w:fldChar w:fldCharType="separate"/>
      </w:r>
      <w:r>
        <w:rPr>
          <w:rFonts w:ascii="Times New Roman" w:hAnsi="Times New Roman"/>
        </w:rPr>
        <w:t>100</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"_Toc25049529" </w:instrText>
      </w:r>
      <w:r>
        <w:fldChar w:fldCharType="separate"/>
      </w:r>
      <w:r>
        <w:rPr>
          <w:rStyle w:val="39"/>
          <w:rFonts w:ascii="Times New Roman" w:hAnsi="Times New Roman" w:eastAsia="黑体"/>
          <w:bCs/>
        </w:rPr>
        <w:t>附件1：股票期权合格投资者适当性综合评估样表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_Toc25049529 \h </w:instrText>
      </w:r>
      <w:r>
        <w:rPr>
          <w:rFonts w:ascii="Times New Roman" w:hAnsi="Times New Roman"/>
        </w:rPr>
        <w:fldChar w:fldCharType="separate"/>
      </w:r>
      <w:r>
        <w:rPr>
          <w:rFonts w:ascii="Times New Roman" w:hAnsi="Times New Roman"/>
        </w:rPr>
        <w:t>101</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"_Toc25049530" </w:instrText>
      </w:r>
      <w:r>
        <w:fldChar w:fldCharType="separate"/>
      </w:r>
      <w:r>
        <w:rPr>
          <w:rStyle w:val="39"/>
          <w:rFonts w:ascii="Times New Roman" w:hAnsi="Times New Roman" w:eastAsia="黑体"/>
          <w:bCs/>
        </w:rPr>
        <w:t>附件2：股票期权单个品种持仓限额报备表（投资者用）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_Toc25049530 \h </w:instrText>
      </w:r>
      <w:r>
        <w:rPr>
          <w:rFonts w:ascii="Times New Roman" w:hAnsi="Times New Roman"/>
        </w:rPr>
        <w:fldChar w:fldCharType="separate"/>
      </w:r>
      <w:r>
        <w:rPr>
          <w:rFonts w:ascii="Times New Roman" w:hAnsi="Times New Roman"/>
        </w:rPr>
        <w:t>103</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"_Toc25049531" </w:instrText>
      </w:r>
      <w:r>
        <w:fldChar w:fldCharType="separate"/>
      </w:r>
      <w:r>
        <w:rPr>
          <w:rStyle w:val="39"/>
          <w:rFonts w:ascii="Times New Roman" w:hAnsi="Times New Roman" w:eastAsia="黑体"/>
          <w:bCs/>
        </w:rPr>
        <w:t>附件3：股票期权套期保值专用账户报备表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_Toc25049531 \h </w:instrText>
      </w:r>
      <w:r>
        <w:rPr>
          <w:rFonts w:ascii="Times New Roman" w:hAnsi="Times New Roman"/>
        </w:rPr>
        <w:fldChar w:fldCharType="separate"/>
      </w:r>
      <w:r>
        <w:rPr>
          <w:rFonts w:ascii="Times New Roman" w:hAnsi="Times New Roman"/>
        </w:rPr>
        <w:t>104</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"_Toc25049532" </w:instrText>
      </w:r>
      <w:r>
        <w:fldChar w:fldCharType="separate"/>
      </w:r>
      <w:r>
        <w:rPr>
          <w:rStyle w:val="39"/>
          <w:rFonts w:ascii="Times New Roman" w:hAnsi="Times New Roman" w:eastAsia="黑体"/>
          <w:bCs/>
        </w:rPr>
        <w:t>附件4：股票期权持仓限额调整申请表（投资者用）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_Toc25049532 \h </w:instrText>
      </w:r>
      <w:r>
        <w:rPr>
          <w:rFonts w:ascii="Times New Roman" w:hAnsi="Times New Roman"/>
        </w:rPr>
        <w:fldChar w:fldCharType="separate"/>
      </w:r>
      <w:r>
        <w:rPr>
          <w:rFonts w:ascii="Times New Roman" w:hAnsi="Times New Roman"/>
        </w:rPr>
        <w:t>105</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"_Toc25049533" </w:instrText>
      </w:r>
      <w:r>
        <w:fldChar w:fldCharType="separate"/>
      </w:r>
      <w:r>
        <w:rPr>
          <w:rStyle w:val="39"/>
          <w:rFonts w:ascii="Times New Roman" w:hAnsi="Times New Roman" w:eastAsia="黑体"/>
          <w:bCs/>
        </w:rPr>
        <w:t>附件5：股票期权持仓限额调整相关资产报备表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_Toc25049533 \h </w:instrText>
      </w:r>
      <w:r>
        <w:rPr>
          <w:rFonts w:ascii="Times New Roman" w:hAnsi="Times New Roman"/>
        </w:rPr>
        <w:fldChar w:fldCharType="separate"/>
      </w:r>
      <w:r>
        <w:rPr>
          <w:rFonts w:ascii="Times New Roman" w:hAnsi="Times New Roman"/>
        </w:rPr>
        <w:t>106</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"_Toc25049534" </w:instrText>
      </w:r>
      <w:r>
        <w:fldChar w:fldCharType="separate"/>
      </w:r>
      <w:r>
        <w:rPr>
          <w:rStyle w:val="39"/>
          <w:rFonts w:ascii="Times New Roman" w:hAnsi="Times New Roman" w:eastAsia="黑体"/>
          <w:bCs/>
        </w:rPr>
        <w:t>附件6：股票期权产品专用账户报备表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_Toc25049534 \h </w:instrText>
      </w:r>
      <w:r>
        <w:rPr>
          <w:rFonts w:ascii="Times New Roman" w:hAnsi="Times New Roman"/>
        </w:rPr>
        <w:fldChar w:fldCharType="separate"/>
      </w:r>
      <w:r>
        <w:rPr>
          <w:rFonts w:ascii="Times New Roman" w:hAnsi="Times New Roman"/>
        </w:rPr>
        <w:t>107</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"_Toc25049535" </w:instrText>
      </w:r>
      <w:r>
        <w:fldChar w:fldCharType="separate"/>
      </w:r>
      <w:r>
        <w:rPr>
          <w:rStyle w:val="39"/>
          <w:rFonts w:ascii="Times New Roman" w:hAnsi="Times New Roman" w:eastAsia="黑体"/>
          <w:bCs/>
        </w:rPr>
        <w:t>附件7：股票期权持仓限额调整报备表（特定产品用）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_Toc25049535 \h </w:instrText>
      </w:r>
      <w:r>
        <w:rPr>
          <w:rFonts w:ascii="Times New Roman" w:hAnsi="Times New Roman"/>
        </w:rPr>
        <w:fldChar w:fldCharType="separate"/>
      </w:r>
      <w:r>
        <w:rPr>
          <w:rFonts w:ascii="Times New Roman" w:hAnsi="Times New Roman"/>
        </w:rPr>
        <w:t>108</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"_Toc25049536" </w:instrText>
      </w:r>
      <w:r>
        <w:fldChar w:fldCharType="separate"/>
      </w:r>
      <w:r>
        <w:rPr>
          <w:rStyle w:val="39"/>
          <w:rFonts w:ascii="Times New Roman" w:hAnsi="Times New Roman" w:eastAsia="黑体"/>
          <w:bCs/>
        </w:rPr>
        <w:t>附件8：股票期权持仓限额调整申请表（证券公司用）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_Toc25049536 \h </w:instrText>
      </w:r>
      <w:r>
        <w:rPr>
          <w:rFonts w:ascii="Times New Roman" w:hAnsi="Times New Roman"/>
        </w:rPr>
        <w:fldChar w:fldCharType="separate"/>
      </w:r>
      <w:r>
        <w:rPr>
          <w:rFonts w:ascii="Times New Roman" w:hAnsi="Times New Roman"/>
        </w:rPr>
        <w:t>109</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"_Toc25049537" </w:instrText>
      </w:r>
      <w:r>
        <w:fldChar w:fldCharType="separate"/>
      </w:r>
      <w:r>
        <w:rPr>
          <w:rStyle w:val="39"/>
          <w:rFonts w:ascii="Times New Roman" w:hAnsi="Times New Roman" w:eastAsia="黑体"/>
          <w:bCs/>
        </w:rPr>
        <w:t>附件9：股票期权合格投资者数据报送接口定义表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_Toc25049537 \h </w:instrText>
      </w:r>
      <w:r>
        <w:rPr>
          <w:rFonts w:ascii="Times New Roman" w:hAnsi="Times New Roman"/>
        </w:rPr>
        <w:fldChar w:fldCharType="separate"/>
      </w:r>
      <w:r>
        <w:rPr>
          <w:rFonts w:ascii="Times New Roman" w:hAnsi="Times New Roman"/>
        </w:rPr>
        <w:t>110</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"_Toc25049538" </w:instrText>
      </w:r>
      <w:r>
        <w:fldChar w:fldCharType="separate"/>
      </w:r>
      <w:r>
        <w:rPr>
          <w:rStyle w:val="39"/>
          <w:rFonts w:ascii="Times New Roman" w:hAnsi="Times New Roman" w:eastAsia="黑体"/>
          <w:bCs/>
        </w:rPr>
        <w:t>附件10：股票期权业务程序化交易报备表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_Toc25049538 \h </w:instrText>
      </w:r>
      <w:r>
        <w:rPr>
          <w:rFonts w:ascii="Times New Roman" w:hAnsi="Times New Roman"/>
        </w:rPr>
        <w:fldChar w:fldCharType="separate"/>
      </w:r>
      <w:r>
        <w:rPr>
          <w:rFonts w:ascii="Times New Roman" w:hAnsi="Times New Roman"/>
        </w:rPr>
        <w:t>113</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"_Toc25049539" </w:instrText>
      </w:r>
      <w:r>
        <w:fldChar w:fldCharType="separate"/>
      </w:r>
      <w:r>
        <w:rPr>
          <w:rStyle w:val="39"/>
          <w:rFonts w:ascii="Times New Roman" w:hAnsi="Times New Roman" w:eastAsia="黑体"/>
          <w:bCs/>
        </w:rPr>
        <w:t>附件11：股票期权大户持仓报告表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_Toc25049539 \h </w:instrText>
      </w:r>
      <w:r>
        <w:rPr>
          <w:rFonts w:ascii="Times New Roman" w:hAnsi="Times New Roman"/>
        </w:rPr>
        <w:fldChar w:fldCharType="separate"/>
      </w:r>
      <w:r>
        <w:rPr>
          <w:rFonts w:ascii="Times New Roman" w:hAnsi="Times New Roman"/>
        </w:rPr>
        <w:t>117</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"_Toc25049540" </w:instrText>
      </w:r>
      <w:r>
        <w:fldChar w:fldCharType="separate"/>
      </w:r>
      <w:r>
        <w:rPr>
          <w:rStyle w:val="39"/>
          <w:rFonts w:ascii="Times New Roman" w:hAnsi="Times New Roman" w:eastAsia="黑体"/>
          <w:bCs/>
        </w:rPr>
        <w:t>附件12：深圳证券交易所股票期权试点经纪合同示范文本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_Toc25049540 \h </w:instrText>
      </w:r>
      <w:r>
        <w:rPr>
          <w:rFonts w:ascii="Times New Roman" w:hAnsi="Times New Roman"/>
        </w:rPr>
        <w:fldChar w:fldCharType="separate"/>
      </w:r>
      <w:r>
        <w:rPr>
          <w:rFonts w:ascii="Times New Roman" w:hAnsi="Times New Roman"/>
        </w:rPr>
        <w:t>119</w:t>
      </w:r>
      <w:r>
        <w:rPr>
          <w:rFonts w:ascii="Times New Roman" w:hAnsi="Times New Roman"/>
        </w:rPr>
        <w:fldChar w:fldCharType="end"/>
      </w:r>
      <w:r>
        <w:rPr>
          <w:rFonts w:ascii="Times New Roman" w:hAnsi="Times New Roman"/>
        </w:rPr>
        <w:fldChar w:fldCharType="end"/>
      </w:r>
    </w:p>
    <w:p>
      <w:pPr>
        <w:pStyle w:val="24"/>
        <w:tabs>
          <w:tab w:val="right" w:leader="dot" w:pos="8296"/>
        </w:tabs>
        <w:spacing w:line="240" w:lineRule="auto"/>
        <w:rPr>
          <w:rFonts w:ascii="Times New Roman" w:hAnsi="Times New Roman"/>
          <w:kern w:val="2"/>
          <w:sz w:val="21"/>
        </w:rPr>
      </w:pPr>
      <w:r>
        <w:fldChar w:fldCharType="begin"/>
      </w:r>
      <w:r>
        <w:instrText xml:space="preserve"> HYPERLINK \l "_Toc25049541" </w:instrText>
      </w:r>
      <w:r>
        <w:fldChar w:fldCharType="separate"/>
      </w:r>
      <w:r>
        <w:rPr>
          <w:rStyle w:val="39"/>
          <w:rFonts w:ascii="Times New Roman" w:hAnsi="Times New Roman" w:eastAsia="黑体"/>
          <w:bCs/>
        </w:rPr>
        <w:t>附件13：股票期权经纪业务准备情况表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_Toc25049541 \h </w:instrText>
      </w:r>
      <w:r>
        <w:rPr>
          <w:rFonts w:ascii="Times New Roman" w:hAnsi="Times New Roman"/>
        </w:rPr>
        <w:fldChar w:fldCharType="separate"/>
      </w:r>
      <w:r>
        <w:rPr>
          <w:rFonts w:ascii="Times New Roman" w:hAnsi="Times New Roman"/>
        </w:rPr>
        <w:t>164</w:t>
      </w:r>
      <w:r>
        <w:rPr>
          <w:rFonts w:ascii="Times New Roman" w:hAnsi="Times New Roman"/>
        </w:rPr>
        <w:fldChar w:fldCharType="end"/>
      </w:r>
      <w:r>
        <w:rPr>
          <w:rFonts w:ascii="Times New Roman" w:hAnsi="Times New Roman"/>
        </w:rPr>
        <w:fldChar w:fldCharType="end"/>
      </w:r>
    </w:p>
    <w:p>
      <w:pPr>
        <w:spacing w:line="20" w:lineRule="exact"/>
        <w:rPr>
          <w:rFonts w:eastAsia="黑体"/>
          <w:b/>
          <w:bCs/>
          <w:sz w:val="32"/>
          <w:szCs w:val="32"/>
        </w:rPr>
      </w:pPr>
      <w:r>
        <w:rPr>
          <w:rFonts w:eastAsia="仿宋_GB2312"/>
          <w:sz w:val="28"/>
          <w:szCs w:val="28"/>
        </w:rPr>
        <w:fldChar w:fldCharType="end"/>
      </w:r>
      <w:bookmarkStart w:id="0" w:name="_Toc391559957"/>
    </w:p>
    <w:p>
      <w:pPr>
        <w:spacing w:before="156" w:beforeLines="50" w:after="156" w:afterLines="50"/>
        <w:jc w:val="center"/>
        <w:outlineLvl w:val="0"/>
        <w:rPr>
          <w:rFonts w:eastAsia="黑体"/>
          <w:b/>
          <w:bCs/>
          <w:sz w:val="32"/>
          <w:szCs w:val="32"/>
        </w:rPr>
        <w:sectPr>
          <w:footerReference r:id="rId3" w:type="first"/>
          <w:pgSz w:w="11906" w:h="16838"/>
          <w:pgMar w:top="2098" w:right="1588" w:bottom="1985" w:left="1701" w:header="851" w:footer="992" w:gutter="0"/>
          <w:pgNumType w:start="1"/>
          <w:cols w:space="425" w:num="1"/>
          <w:docGrid w:type="lines" w:linePitch="312" w:charSpace="0"/>
        </w:sectPr>
      </w:pPr>
      <w:bookmarkStart w:id="1" w:name="_Toc25049459"/>
    </w:p>
    <w:p>
      <w:pPr>
        <w:keepNext w:val="0"/>
        <w:keepLines w:val="0"/>
        <w:pageBreakBefore w:val="0"/>
        <w:widowControl w:val="0"/>
        <w:kinsoku/>
        <w:wordWrap/>
        <w:overflowPunct/>
        <w:topLinePunct w:val="0"/>
        <w:autoSpaceDE/>
        <w:autoSpaceDN/>
        <w:bidi w:val="0"/>
        <w:adjustRightInd/>
        <w:snapToGrid/>
        <w:spacing w:before="156" w:beforeLines="50" w:after="156" w:afterLines="50"/>
        <w:jc w:val="center"/>
        <w:textAlignment w:val="auto"/>
        <w:outlineLvl w:val="0"/>
        <w:rPr>
          <w:rFonts w:ascii="方正小标宋简体" w:eastAsia="方正小标宋简体"/>
          <w:bCs/>
          <w:sz w:val="40"/>
          <w:szCs w:val="40"/>
        </w:rPr>
      </w:pPr>
      <w:r>
        <w:rPr>
          <w:rFonts w:hint="eastAsia" w:ascii="方正小标宋简体" w:eastAsia="方正小标宋简体"/>
          <w:bCs/>
          <w:sz w:val="40"/>
          <w:szCs w:val="40"/>
        </w:rPr>
        <w:t>说明及声明</w:t>
      </w:r>
      <w:bookmarkEnd w:id="1"/>
    </w:p>
    <w:p>
      <w:pPr>
        <w:spacing w:line="560" w:lineRule="exact"/>
        <w:ind w:firstLine="600" w:firstLineChars="200"/>
        <w:rPr>
          <w:rFonts w:eastAsia="方正仿宋简体"/>
          <w:sz w:val="30"/>
          <w:szCs w:val="30"/>
        </w:rPr>
      </w:pPr>
      <w:r>
        <w:rPr>
          <w:rFonts w:eastAsia="方正仿宋简体"/>
          <w:sz w:val="30"/>
          <w:szCs w:val="30"/>
        </w:rPr>
        <w:t>为便于证券公司参与深圳证券交易所（以下简称本所）股票期权业务，规范开展股票期权经纪业务，防范业务风险，本所根据股票期权业务规则制定本指南，供证券公司开展股票期权经纪业务时参考。本指南</w:t>
      </w:r>
      <w:r>
        <w:rPr>
          <w:rFonts w:eastAsia="方正仿宋简体"/>
          <w:kern w:val="0"/>
          <w:sz w:val="30"/>
          <w:szCs w:val="30"/>
        </w:rPr>
        <w:t>内容</w:t>
      </w:r>
      <w:r>
        <w:rPr>
          <w:rFonts w:eastAsia="方正仿宋简体"/>
          <w:sz w:val="30"/>
          <w:szCs w:val="30"/>
        </w:rPr>
        <w:t>如与股票期权业务规则不一致，以股票期权业务规则为准。</w:t>
      </w:r>
    </w:p>
    <w:p>
      <w:pPr>
        <w:spacing w:line="560" w:lineRule="exact"/>
        <w:ind w:firstLine="600" w:firstLineChars="200"/>
        <w:rPr>
          <w:rFonts w:eastAsia="方正仿宋简体"/>
          <w:sz w:val="30"/>
          <w:szCs w:val="30"/>
        </w:rPr>
      </w:pPr>
      <w:r>
        <w:rPr>
          <w:rFonts w:eastAsia="方正仿宋简体"/>
          <w:sz w:val="30"/>
          <w:szCs w:val="30"/>
        </w:rPr>
        <w:t>证券公司与客户之间经纪业务关系以其与客户签订的经纪合同中约定为准，本指南不作为处理相关纠纷的依据。本所将根据股票期权业务的进展情况，对本指南进行更新和调整。</w:t>
      </w:r>
    </w:p>
    <w:p>
      <w:pPr>
        <w:spacing w:line="560" w:lineRule="exact"/>
        <w:ind w:firstLine="600" w:firstLineChars="200"/>
        <w:rPr>
          <w:rFonts w:eastAsia="方正仿宋简体"/>
          <w:sz w:val="30"/>
          <w:szCs w:val="30"/>
        </w:rPr>
        <w:sectPr>
          <w:footerReference r:id="rId4" w:type="default"/>
          <w:footerReference r:id="rId5" w:type="even"/>
          <w:pgSz w:w="11907" w:h="16840"/>
          <w:pgMar w:top="2098" w:right="1588" w:bottom="1985" w:left="1701" w:header="0" w:footer="1418" w:gutter="0"/>
          <w:pgNumType w:start="1"/>
          <w:cols w:space="425" w:num="1"/>
          <w:docGrid w:type="lines" w:linePitch="312" w:charSpace="0"/>
        </w:sectPr>
      </w:pPr>
    </w:p>
    <w:p>
      <w:pPr>
        <w:spacing w:line="560" w:lineRule="exact"/>
        <w:ind w:firstLine="600" w:firstLineChars="200"/>
        <w:rPr>
          <w:rFonts w:eastAsia="方正仿宋简体"/>
          <w:sz w:val="30"/>
          <w:szCs w:val="30"/>
        </w:rPr>
      </w:pPr>
    </w:p>
    <w:bookmarkEnd w:id="0"/>
    <w:p>
      <w:pPr>
        <w:pStyle w:val="58"/>
        <w:keepNext w:val="0"/>
        <w:keepLines w:val="0"/>
        <w:pageBreakBefore w:val="0"/>
        <w:widowControl w:val="0"/>
        <w:numPr>
          <w:ilvl w:val="0"/>
          <w:numId w:val="2"/>
        </w:numPr>
        <w:kinsoku/>
        <w:wordWrap/>
        <w:overflowPunct/>
        <w:topLinePunct w:val="0"/>
        <w:autoSpaceDE/>
        <w:autoSpaceDN/>
        <w:bidi w:val="0"/>
        <w:adjustRightInd w:val="0"/>
        <w:snapToGrid w:val="0"/>
        <w:spacing w:line="560" w:lineRule="exact"/>
        <w:ind w:left="0" w:firstLine="0" w:firstLineChars="0"/>
        <w:jc w:val="center"/>
        <w:textAlignment w:val="auto"/>
        <w:outlineLvl w:val="0"/>
        <w:rPr>
          <w:rFonts w:ascii="黑体" w:hAnsi="黑体" w:eastAsia="黑体"/>
          <w:bCs/>
          <w:sz w:val="30"/>
          <w:szCs w:val="30"/>
        </w:rPr>
      </w:pPr>
      <w:bookmarkStart w:id="2" w:name="_Toc25049460"/>
      <w:bookmarkStart w:id="3" w:name="_Toc422331047"/>
      <w:r>
        <w:rPr>
          <w:rFonts w:ascii="黑体" w:hAnsi="黑体" w:eastAsia="黑体"/>
          <w:bCs/>
          <w:sz w:val="30"/>
          <w:szCs w:val="30"/>
        </w:rPr>
        <w:t>总体要求</w:t>
      </w:r>
      <w:bookmarkEnd w:id="2"/>
      <w:bookmarkEnd w:id="3"/>
    </w:p>
    <w:p>
      <w:pPr>
        <w:spacing w:line="560" w:lineRule="exact"/>
        <w:ind w:firstLine="600" w:firstLineChars="200"/>
        <w:rPr>
          <w:rFonts w:eastAsia="方正仿宋简体"/>
          <w:sz w:val="30"/>
          <w:szCs w:val="30"/>
        </w:rPr>
      </w:pPr>
      <w:r>
        <w:rPr>
          <w:rFonts w:eastAsia="方正仿宋简体"/>
          <w:sz w:val="30"/>
          <w:szCs w:val="30"/>
        </w:rPr>
        <w:t>证券公司应当根据本所、中国证券登记结算有限责任公司（以下简称中国结算）股票期权业务相关规则，制定股票期权交易、结算、风险控制等经纪业务规则。证券公司应当合理设置股票期权业务的组织架构，明确股票期权经纪业务部门和各相关部门、分支机构的职责分工，并设置相关岗位，配备相关人员。</w:t>
      </w:r>
    </w:p>
    <w:p>
      <w:pPr>
        <w:pStyle w:val="5"/>
        <w:numPr>
          <w:ilvl w:val="0"/>
          <w:numId w:val="3"/>
        </w:numPr>
        <w:spacing w:before="0" w:after="0" w:line="560" w:lineRule="exact"/>
        <w:ind w:left="0" w:firstLine="601" w:firstLineChars="200"/>
        <w:rPr>
          <w:rFonts w:ascii="Times New Roman" w:hAnsi="Times New Roman" w:eastAsia="方正仿宋简体"/>
          <w:sz w:val="30"/>
          <w:szCs w:val="30"/>
        </w:rPr>
      </w:pPr>
      <w:bookmarkStart w:id="4" w:name="_Toc25049461"/>
      <w:r>
        <w:rPr>
          <w:rFonts w:ascii="Times New Roman" w:hAnsi="Times New Roman" w:eastAsia="方正仿宋简体"/>
          <w:sz w:val="30"/>
          <w:szCs w:val="30"/>
        </w:rPr>
        <w:t>组织架构和职责分工</w:t>
      </w:r>
      <w:bookmarkEnd w:id="4"/>
    </w:p>
    <w:p>
      <w:pPr>
        <w:pStyle w:val="7"/>
        <w:numPr>
          <w:ilvl w:val="0"/>
          <w:numId w:val="4"/>
        </w:numPr>
        <w:spacing w:before="0" w:after="0" w:line="560" w:lineRule="exact"/>
        <w:ind w:left="0" w:firstLine="601" w:firstLineChars="200"/>
        <w:rPr>
          <w:rFonts w:eastAsia="方正仿宋简体"/>
          <w:sz w:val="30"/>
          <w:szCs w:val="30"/>
        </w:rPr>
      </w:pPr>
      <w:bookmarkStart w:id="5" w:name="_Toc406438873"/>
      <w:bookmarkStart w:id="6" w:name="_Toc460944552"/>
      <w:r>
        <w:rPr>
          <w:rFonts w:eastAsia="方正仿宋简体"/>
          <w:sz w:val="30"/>
          <w:szCs w:val="30"/>
        </w:rPr>
        <w:t>公司总部</w:t>
      </w:r>
      <w:bookmarkEnd w:id="5"/>
      <w:bookmarkEnd w:id="6"/>
    </w:p>
    <w:p>
      <w:pPr>
        <w:spacing w:line="560" w:lineRule="exact"/>
        <w:ind w:firstLine="600" w:firstLineChars="200"/>
        <w:rPr>
          <w:rFonts w:eastAsia="方正仿宋简体"/>
          <w:sz w:val="30"/>
          <w:szCs w:val="30"/>
        </w:rPr>
      </w:pPr>
      <w:bookmarkStart w:id="7" w:name="_Toc406438874"/>
      <w:r>
        <w:rPr>
          <w:rFonts w:eastAsia="方正仿宋简体"/>
          <w:sz w:val="30"/>
          <w:szCs w:val="30"/>
        </w:rPr>
        <w:t>证券公司股票期权经纪业务由公司总部统一集中管理。公司总部应设立独立的股票期权经纪业务部门（一级或二级部门），部门职责包括但不限于业务制度与流程制定、业务统筹规划、运营管理、风险管理、投资者适当性管理、客户关系管理、投资者教育等，并对分支机构开展股票期权业务进行管理和持续督导。</w:t>
      </w:r>
    </w:p>
    <w:p>
      <w:pPr>
        <w:spacing w:line="560" w:lineRule="exact"/>
        <w:ind w:firstLine="600" w:firstLineChars="200"/>
        <w:rPr>
          <w:rFonts w:eastAsia="方正仿宋简体"/>
          <w:sz w:val="30"/>
          <w:szCs w:val="30"/>
        </w:rPr>
      </w:pPr>
      <w:r>
        <w:rPr>
          <w:rFonts w:eastAsia="方正仿宋简体"/>
          <w:sz w:val="30"/>
          <w:szCs w:val="30"/>
        </w:rPr>
        <w:t>公司总部其他相关部门应承担与股票期权经纪业务相关的职责，包括但不限于合规管理、风险控制、资金清算、技术系统的开发与维护等。</w:t>
      </w:r>
    </w:p>
    <w:p>
      <w:pPr>
        <w:spacing w:line="560" w:lineRule="exact"/>
        <w:ind w:firstLine="600" w:firstLineChars="200"/>
        <w:rPr>
          <w:rFonts w:eastAsia="方正仿宋简体"/>
          <w:sz w:val="30"/>
          <w:szCs w:val="30"/>
        </w:rPr>
      </w:pPr>
      <w:r>
        <w:rPr>
          <w:rFonts w:eastAsia="方正仿宋简体"/>
          <w:sz w:val="30"/>
          <w:szCs w:val="30"/>
        </w:rPr>
        <w:t>证券公司从事股票期权经纪业务的，应当建立健全并有效执行信息隔离制度，与自营、做市、资产管理等其他期权业务进行有效隔离，防止敏感信息的不当流动和使用，严格防范损害客户利益。</w:t>
      </w:r>
    </w:p>
    <w:p>
      <w:pPr>
        <w:pStyle w:val="7"/>
        <w:numPr>
          <w:ilvl w:val="0"/>
          <w:numId w:val="4"/>
        </w:numPr>
        <w:spacing w:before="0" w:after="0" w:line="560" w:lineRule="exact"/>
        <w:ind w:left="0" w:firstLine="601" w:firstLineChars="200"/>
        <w:rPr>
          <w:rFonts w:eastAsia="方正仿宋简体"/>
          <w:sz w:val="30"/>
          <w:szCs w:val="30"/>
        </w:rPr>
      </w:pPr>
      <w:bookmarkStart w:id="8" w:name="_Toc460944553"/>
      <w:r>
        <w:rPr>
          <w:rFonts w:eastAsia="方正仿宋简体"/>
          <w:sz w:val="30"/>
          <w:szCs w:val="30"/>
        </w:rPr>
        <w:t>分支机构</w:t>
      </w:r>
      <w:bookmarkEnd w:id="7"/>
      <w:bookmarkEnd w:id="8"/>
    </w:p>
    <w:p>
      <w:pPr>
        <w:spacing w:line="560" w:lineRule="exact"/>
        <w:ind w:firstLine="600" w:firstLineChars="200"/>
        <w:rPr>
          <w:rFonts w:eastAsia="方正仿宋简体"/>
          <w:sz w:val="30"/>
          <w:szCs w:val="30"/>
        </w:rPr>
      </w:pPr>
      <w:bookmarkStart w:id="9" w:name="_Toc7274"/>
      <w:bookmarkStart w:id="10" w:name="_Toc406438875"/>
      <w:bookmarkStart w:id="11" w:name="_Toc27902"/>
      <w:bookmarkStart w:id="12" w:name="_Toc452016995"/>
      <w:bookmarkStart w:id="13" w:name="_Toc4709"/>
      <w:bookmarkStart w:id="14" w:name="_Toc408749976"/>
      <w:r>
        <w:rPr>
          <w:rFonts w:eastAsia="方正仿宋简体"/>
          <w:sz w:val="30"/>
          <w:szCs w:val="30"/>
        </w:rPr>
        <w:t>分支机构应在公司授权范围内规范开展股票期权经纪业务，负责本分支机构投资者衍生品相关账户开立与日常管理、信息收集、投资者教育、投诉处理等工作，并协助公司总部落实本分支机构的投资者适当性管理、档案管理、风险管理等工作。</w:t>
      </w:r>
    </w:p>
    <w:p>
      <w:pPr>
        <w:pStyle w:val="5"/>
        <w:numPr>
          <w:ilvl w:val="0"/>
          <w:numId w:val="3"/>
        </w:numPr>
        <w:spacing w:before="0" w:after="0" w:line="560" w:lineRule="exact"/>
        <w:ind w:left="0" w:firstLine="601" w:firstLineChars="200"/>
        <w:rPr>
          <w:rFonts w:ascii="Times New Roman" w:hAnsi="Times New Roman" w:eastAsia="方正仿宋简体"/>
          <w:sz w:val="30"/>
          <w:szCs w:val="30"/>
        </w:rPr>
      </w:pPr>
      <w:bookmarkStart w:id="15" w:name="_Toc460944554"/>
      <w:bookmarkStart w:id="16" w:name="_Toc25049462"/>
      <w:r>
        <w:rPr>
          <w:rFonts w:ascii="Times New Roman" w:hAnsi="Times New Roman" w:eastAsia="方正仿宋简体"/>
          <w:sz w:val="30"/>
          <w:szCs w:val="30"/>
        </w:rPr>
        <w:t>岗位设置</w:t>
      </w:r>
      <w:bookmarkEnd w:id="9"/>
      <w:bookmarkEnd w:id="10"/>
      <w:bookmarkEnd w:id="11"/>
      <w:bookmarkEnd w:id="12"/>
      <w:bookmarkEnd w:id="13"/>
      <w:bookmarkEnd w:id="14"/>
      <w:bookmarkEnd w:id="15"/>
      <w:bookmarkEnd w:id="16"/>
    </w:p>
    <w:p>
      <w:pPr>
        <w:pStyle w:val="7"/>
        <w:numPr>
          <w:ilvl w:val="0"/>
          <w:numId w:val="5"/>
        </w:numPr>
        <w:spacing w:before="0" w:after="0" w:line="560" w:lineRule="exact"/>
        <w:ind w:left="0" w:firstLine="601" w:firstLineChars="200"/>
        <w:rPr>
          <w:rFonts w:eastAsia="方正仿宋简体"/>
          <w:sz w:val="30"/>
          <w:szCs w:val="30"/>
        </w:rPr>
      </w:pPr>
      <w:bookmarkStart w:id="17" w:name="_Toc460944555"/>
      <w:bookmarkStart w:id="18" w:name="_Toc406438876"/>
      <w:r>
        <w:rPr>
          <w:rFonts w:eastAsia="方正仿宋简体"/>
          <w:sz w:val="30"/>
          <w:szCs w:val="30"/>
        </w:rPr>
        <w:t>公司总部</w:t>
      </w:r>
      <w:bookmarkEnd w:id="17"/>
      <w:bookmarkEnd w:id="18"/>
    </w:p>
    <w:p>
      <w:pPr>
        <w:spacing w:line="560" w:lineRule="exact"/>
        <w:ind w:firstLine="600" w:firstLineChars="200"/>
        <w:rPr>
          <w:rFonts w:eastAsia="方正仿宋简体"/>
          <w:sz w:val="30"/>
          <w:szCs w:val="30"/>
        </w:rPr>
      </w:pPr>
      <w:bookmarkStart w:id="19" w:name="_Toc406438877"/>
      <w:r>
        <w:rPr>
          <w:rFonts w:eastAsia="方正仿宋简体"/>
          <w:sz w:val="30"/>
          <w:szCs w:val="30"/>
        </w:rPr>
        <w:t>为确保业务平稳运行，股票期权经纪业务部门建议至少设立以下岗位：</w:t>
      </w:r>
    </w:p>
    <w:p>
      <w:pPr>
        <w:pStyle w:val="58"/>
        <w:numPr>
          <w:ilvl w:val="0"/>
          <w:numId w:val="6"/>
        </w:numPr>
        <w:spacing w:line="560" w:lineRule="exact"/>
        <w:ind w:firstLine="600"/>
        <w:rPr>
          <w:rFonts w:eastAsia="方正仿宋简体"/>
          <w:sz w:val="30"/>
          <w:szCs w:val="30"/>
        </w:rPr>
      </w:pPr>
      <w:r>
        <w:rPr>
          <w:rFonts w:eastAsia="方正仿宋简体"/>
          <w:sz w:val="30"/>
          <w:szCs w:val="30"/>
        </w:rPr>
        <w:t>客户适当性管理岗，主要职责包括投资者适当性综合评估、分级管理、额度核定与调整、持续适当性评估等；</w:t>
      </w:r>
    </w:p>
    <w:p>
      <w:pPr>
        <w:pStyle w:val="58"/>
        <w:numPr>
          <w:ilvl w:val="0"/>
          <w:numId w:val="6"/>
        </w:numPr>
        <w:spacing w:line="560" w:lineRule="exact"/>
        <w:ind w:firstLine="600"/>
        <w:rPr>
          <w:rFonts w:eastAsia="方正仿宋简体"/>
          <w:sz w:val="30"/>
          <w:szCs w:val="30"/>
        </w:rPr>
      </w:pPr>
      <w:r>
        <w:rPr>
          <w:rFonts w:eastAsia="方正仿宋简体"/>
          <w:sz w:val="30"/>
          <w:szCs w:val="30"/>
        </w:rPr>
        <w:t>合规与风险管理岗，主要职责包括对公司期权业务合规审查、风险总控管理等；</w:t>
      </w:r>
    </w:p>
    <w:p>
      <w:pPr>
        <w:pStyle w:val="58"/>
        <w:numPr>
          <w:ilvl w:val="0"/>
          <w:numId w:val="6"/>
        </w:numPr>
        <w:spacing w:line="560" w:lineRule="exact"/>
        <w:ind w:firstLine="600"/>
        <w:rPr>
          <w:rFonts w:eastAsia="方正仿宋简体"/>
          <w:sz w:val="30"/>
          <w:szCs w:val="30"/>
        </w:rPr>
      </w:pPr>
      <w:r>
        <w:rPr>
          <w:rFonts w:eastAsia="方正仿宋简体"/>
          <w:sz w:val="30"/>
          <w:szCs w:val="30"/>
        </w:rPr>
        <w:t>风险监控岗，主要职责包括对盘中交易风险、保证金风险、持仓风险等实时动态监控等；</w:t>
      </w:r>
    </w:p>
    <w:p>
      <w:pPr>
        <w:pStyle w:val="58"/>
        <w:numPr>
          <w:ilvl w:val="0"/>
          <w:numId w:val="6"/>
        </w:numPr>
        <w:spacing w:line="560" w:lineRule="exact"/>
        <w:ind w:firstLine="600"/>
        <w:rPr>
          <w:rFonts w:eastAsia="方正仿宋简体"/>
          <w:sz w:val="30"/>
          <w:szCs w:val="30"/>
        </w:rPr>
      </w:pPr>
      <w:r>
        <w:rPr>
          <w:rFonts w:eastAsia="方正仿宋简体"/>
          <w:sz w:val="30"/>
          <w:szCs w:val="30"/>
        </w:rPr>
        <w:t>风险处置岗，主要职责包括发布风险警示与平仓通知、强行平仓、违约处置等；</w:t>
      </w:r>
    </w:p>
    <w:p>
      <w:pPr>
        <w:pStyle w:val="58"/>
        <w:numPr>
          <w:ilvl w:val="0"/>
          <w:numId w:val="6"/>
        </w:numPr>
        <w:spacing w:line="560" w:lineRule="exact"/>
        <w:ind w:firstLine="600"/>
        <w:rPr>
          <w:rFonts w:eastAsia="方正仿宋简体"/>
          <w:sz w:val="30"/>
          <w:szCs w:val="30"/>
        </w:rPr>
      </w:pPr>
      <w:r>
        <w:rPr>
          <w:rFonts w:eastAsia="方正仿宋简体"/>
          <w:sz w:val="30"/>
          <w:szCs w:val="30"/>
        </w:rPr>
        <w:t>运行管理岗，主要职责包括业务流程管理、合约管理、参数管理等；</w:t>
      </w:r>
    </w:p>
    <w:p>
      <w:pPr>
        <w:pStyle w:val="58"/>
        <w:numPr>
          <w:ilvl w:val="0"/>
          <w:numId w:val="6"/>
        </w:numPr>
        <w:spacing w:line="560" w:lineRule="exact"/>
        <w:ind w:firstLine="600"/>
        <w:rPr>
          <w:rFonts w:eastAsia="方正仿宋简体"/>
          <w:sz w:val="30"/>
          <w:szCs w:val="30"/>
        </w:rPr>
      </w:pPr>
      <w:r>
        <w:rPr>
          <w:rFonts w:eastAsia="方正仿宋简体"/>
          <w:sz w:val="30"/>
          <w:szCs w:val="30"/>
        </w:rPr>
        <w:t>投资者教育岗，主要职责包括统筹、规划、安排全公司及分支机构的股票期权投资者教育工作等；</w:t>
      </w:r>
    </w:p>
    <w:p>
      <w:pPr>
        <w:pStyle w:val="58"/>
        <w:numPr>
          <w:ilvl w:val="0"/>
          <w:numId w:val="6"/>
        </w:numPr>
        <w:spacing w:line="560" w:lineRule="exact"/>
        <w:ind w:firstLine="600"/>
        <w:rPr>
          <w:rFonts w:eastAsia="方正仿宋简体"/>
          <w:sz w:val="30"/>
          <w:szCs w:val="30"/>
        </w:rPr>
      </w:pPr>
      <w:r>
        <w:rPr>
          <w:rFonts w:eastAsia="方正仿宋简体"/>
          <w:sz w:val="30"/>
          <w:szCs w:val="30"/>
        </w:rPr>
        <w:t>资金管理岗，主要职责包括资金盯市、（发起）资金调度、客户资金流动性分析与管理、客户保证金缺口计算与垫资管理等。</w:t>
      </w:r>
    </w:p>
    <w:p>
      <w:pPr>
        <w:spacing w:line="560" w:lineRule="exact"/>
        <w:ind w:firstLine="600" w:firstLineChars="200"/>
        <w:rPr>
          <w:rFonts w:eastAsia="方正仿宋简体"/>
          <w:sz w:val="30"/>
          <w:szCs w:val="30"/>
        </w:rPr>
      </w:pPr>
      <w:r>
        <w:rPr>
          <w:rFonts w:eastAsia="方正仿宋简体"/>
          <w:sz w:val="30"/>
          <w:szCs w:val="30"/>
        </w:rPr>
        <w:t>对重点岗位如风险监控岗、风险处置岗、运行管理岗等，建立备岗制度。</w:t>
      </w:r>
    </w:p>
    <w:p>
      <w:pPr>
        <w:spacing w:line="560" w:lineRule="exact"/>
        <w:ind w:firstLine="600" w:firstLineChars="200"/>
        <w:rPr>
          <w:rFonts w:eastAsia="方正仿宋简体"/>
          <w:sz w:val="30"/>
          <w:szCs w:val="30"/>
        </w:rPr>
      </w:pPr>
      <w:r>
        <w:rPr>
          <w:rFonts w:eastAsia="方正仿宋简体"/>
          <w:sz w:val="30"/>
          <w:szCs w:val="30"/>
        </w:rPr>
        <w:t>总部其他相关部门应就股票期权经纪业务的风险管理、合规管理、清算与资金管理、技术开发等设立相关岗位。</w:t>
      </w:r>
    </w:p>
    <w:p>
      <w:pPr>
        <w:spacing w:line="560" w:lineRule="exact"/>
        <w:ind w:firstLine="600" w:firstLineChars="200"/>
        <w:rPr>
          <w:rFonts w:eastAsia="方正仿宋简体"/>
          <w:sz w:val="30"/>
          <w:szCs w:val="30"/>
        </w:rPr>
      </w:pPr>
      <w:r>
        <w:rPr>
          <w:rFonts w:eastAsia="方正仿宋简体"/>
          <w:sz w:val="30"/>
          <w:szCs w:val="30"/>
        </w:rPr>
        <w:t>股票期权经纪业务部门与总部其他相关部门应明确各岗位的权责关系，保障期权经纪业务有序、平稳开展。</w:t>
      </w:r>
    </w:p>
    <w:p>
      <w:pPr>
        <w:pStyle w:val="7"/>
        <w:numPr>
          <w:ilvl w:val="0"/>
          <w:numId w:val="5"/>
        </w:numPr>
        <w:spacing w:before="0" w:after="0" w:line="560" w:lineRule="exact"/>
        <w:ind w:left="0" w:firstLine="601" w:firstLineChars="200"/>
        <w:rPr>
          <w:rFonts w:eastAsia="方正仿宋简体"/>
          <w:sz w:val="30"/>
          <w:szCs w:val="30"/>
        </w:rPr>
      </w:pPr>
      <w:bookmarkStart w:id="20" w:name="_Toc460944556"/>
      <w:r>
        <w:rPr>
          <w:rFonts w:eastAsia="方正仿宋简体"/>
          <w:sz w:val="30"/>
          <w:szCs w:val="30"/>
        </w:rPr>
        <w:t>分支机构</w:t>
      </w:r>
      <w:bookmarkEnd w:id="19"/>
      <w:bookmarkEnd w:id="20"/>
    </w:p>
    <w:p>
      <w:pPr>
        <w:spacing w:line="560" w:lineRule="exact"/>
        <w:ind w:firstLine="600" w:firstLineChars="200"/>
        <w:rPr>
          <w:rFonts w:eastAsia="方正仿宋简体"/>
          <w:sz w:val="30"/>
          <w:szCs w:val="30"/>
        </w:rPr>
      </w:pPr>
      <w:bookmarkStart w:id="21" w:name="_Toc408749977"/>
      <w:bookmarkStart w:id="22" w:name="_Toc19531"/>
      <w:bookmarkStart w:id="23" w:name="_Toc406438878"/>
      <w:bookmarkStart w:id="24" w:name="_Toc452016996"/>
      <w:bookmarkStart w:id="25" w:name="_Toc23267"/>
      <w:bookmarkStart w:id="26" w:name="_Toc7344"/>
      <w:r>
        <w:rPr>
          <w:rFonts w:eastAsia="方正仿宋简体"/>
          <w:sz w:val="30"/>
          <w:szCs w:val="30"/>
        </w:rPr>
        <w:t>分支机构应指定股票期权经纪业务负责人，并根据需要设立股票期权开户岗、运营岗、合规与风险管理岗、投资者教育培训岗、客户回访岗、客户投诉处理岗等岗位。开户岗和运营岗等建议建立备岗机制。分支机构可根据实际情况合理设置兼岗。</w:t>
      </w:r>
    </w:p>
    <w:p>
      <w:pPr>
        <w:pStyle w:val="5"/>
        <w:numPr>
          <w:ilvl w:val="0"/>
          <w:numId w:val="3"/>
        </w:numPr>
        <w:spacing w:before="0" w:after="0" w:line="560" w:lineRule="exact"/>
        <w:ind w:left="0" w:firstLine="601" w:firstLineChars="200"/>
        <w:rPr>
          <w:rFonts w:ascii="Times New Roman" w:hAnsi="Times New Roman" w:eastAsia="方正仿宋简体"/>
          <w:sz w:val="30"/>
          <w:szCs w:val="30"/>
        </w:rPr>
      </w:pPr>
      <w:bookmarkStart w:id="27" w:name="_Toc460944557"/>
      <w:bookmarkStart w:id="28" w:name="_Toc25049463"/>
      <w:r>
        <w:rPr>
          <w:rFonts w:ascii="Times New Roman" w:hAnsi="Times New Roman" w:eastAsia="方正仿宋简体"/>
          <w:sz w:val="30"/>
          <w:szCs w:val="30"/>
        </w:rPr>
        <w:t>制度与流程</w:t>
      </w:r>
      <w:bookmarkEnd w:id="21"/>
      <w:bookmarkEnd w:id="22"/>
      <w:bookmarkEnd w:id="23"/>
      <w:bookmarkEnd w:id="24"/>
      <w:bookmarkEnd w:id="25"/>
      <w:bookmarkEnd w:id="26"/>
      <w:bookmarkEnd w:id="27"/>
      <w:bookmarkEnd w:id="28"/>
    </w:p>
    <w:p>
      <w:pPr>
        <w:spacing w:line="560" w:lineRule="exact"/>
        <w:ind w:firstLine="600" w:firstLineChars="200"/>
        <w:rPr>
          <w:rFonts w:eastAsia="方正仿宋简体"/>
          <w:sz w:val="30"/>
          <w:szCs w:val="30"/>
        </w:rPr>
      </w:pPr>
      <w:r>
        <w:rPr>
          <w:rFonts w:eastAsia="方正仿宋简体"/>
          <w:sz w:val="30"/>
          <w:szCs w:val="30"/>
        </w:rPr>
        <w:t>证券公司应制定健全的业务制度和完备的业务流程，涵盖股票期权经纪业务管理、交易管理、客户适当性评估以及分级管理、结算、风险管理、内部控制制度、投资者教育、合规管理、分支机构相关业务管理、分支机构相关内部控制等各个环节。</w:t>
      </w:r>
    </w:p>
    <w:p>
      <w:pPr>
        <w:spacing w:line="560" w:lineRule="exact"/>
        <w:ind w:firstLine="600" w:firstLineChars="200"/>
        <w:rPr>
          <w:rFonts w:eastAsia="方正仿宋简体"/>
          <w:sz w:val="30"/>
          <w:szCs w:val="30"/>
        </w:rPr>
      </w:pPr>
      <w:r>
        <w:rPr>
          <w:rFonts w:eastAsia="方正仿宋简体"/>
          <w:sz w:val="30"/>
          <w:szCs w:val="30"/>
        </w:rPr>
        <w:t>证券公司应当制定股票期权经纪业务应急预案，以应对业务突发事件，保障业务平稳开展。</w:t>
      </w:r>
    </w:p>
    <w:p>
      <w:pPr>
        <w:pStyle w:val="5"/>
        <w:numPr>
          <w:ilvl w:val="0"/>
          <w:numId w:val="3"/>
        </w:numPr>
        <w:spacing w:before="0" w:after="0" w:line="560" w:lineRule="exact"/>
        <w:ind w:left="0" w:firstLine="601" w:firstLineChars="200"/>
        <w:rPr>
          <w:rFonts w:ascii="Times New Roman" w:hAnsi="Times New Roman" w:eastAsia="方正仿宋简体"/>
          <w:sz w:val="30"/>
          <w:szCs w:val="30"/>
        </w:rPr>
      </w:pPr>
      <w:bookmarkStart w:id="29" w:name="_Toc460944558"/>
      <w:bookmarkStart w:id="30" w:name="_Toc25049464"/>
      <w:bookmarkStart w:id="31" w:name="_Toc452016997"/>
      <w:bookmarkStart w:id="32" w:name="内控管理"/>
      <w:r>
        <w:rPr>
          <w:rFonts w:ascii="Times New Roman" w:hAnsi="Times New Roman" w:eastAsia="方正仿宋简体"/>
          <w:sz w:val="30"/>
          <w:szCs w:val="30"/>
        </w:rPr>
        <w:t>内控管理</w:t>
      </w:r>
      <w:bookmarkEnd w:id="29"/>
      <w:bookmarkEnd w:id="30"/>
      <w:bookmarkEnd w:id="31"/>
      <w:bookmarkEnd w:id="32"/>
    </w:p>
    <w:p>
      <w:pPr>
        <w:pStyle w:val="7"/>
        <w:numPr>
          <w:ilvl w:val="0"/>
          <w:numId w:val="7"/>
        </w:numPr>
        <w:spacing w:before="0" w:after="0" w:line="560" w:lineRule="exact"/>
        <w:ind w:left="0" w:firstLine="601" w:firstLineChars="200"/>
        <w:rPr>
          <w:rFonts w:eastAsia="方正仿宋简体"/>
          <w:b w:val="0"/>
          <w:bCs w:val="0"/>
          <w:sz w:val="30"/>
          <w:szCs w:val="30"/>
        </w:rPr>
      </w:pPr>
      <w:r>
        <w:rPr>
          <w:rFonts w:eastAsia="方正仿宋简体"/>
          <w:sz w:val="30"/>
          <w:szCs w:val="30"/>
        </w:rPr>
        <w:t>内控管理要求</w:t>
      </w:r>
    </w:p>
    <w:p>
      <w:pPr>
        <w:spacing w:line="560" w:lineRule="exact"/>
        <w:ind w:firstLine="600" w:firstLineChars="200"/>
        <w:rPr>
          <w:rFonts w:eastAsia="方正仿宋简体"/>
          <w:sz w:val="30"/>
          <w:szCs w:val="30"/>
        </w:rPr>
      </w:pPr>
      <w:r>
        <w:rPr>
          <w:rFonts w:eastAsia="方正仿宋简体"/>
          <w:sz w:val="30"/>
          <w:szCs w:val="30"/>
        </w:rPr>
        <w:t>证券公司须建立防范利益冲突相关的合规制度，确保期权业务在信息、人员、系统、资金和账户等方面实现隔离，期权与现货业务、技术系统实现隔离，期权经纪业务和期权自营业务实现隔离，在业务开展中须防止敏感信息的不当流动，建立跨墙管理制度。同时，应防范不同利益主体之间的利益冲突。</w:t>
      </w:r>
    </w:p>
    <w:p>
      <w:pPr>
        <w:pStyle w:val="8"/>
        <w:keepNext w:val="0"/>
        <w:keepLines w:val="0"/>
        <w:numPr>
          <w:ilvl w:val="3"/>
          <w:numId w:val="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隔离制度</w:t>
      </w:r>
    </w:p>
    <w:p>
      <w:pPr>
        <w:spacing w:line="560" w:lineRule="exact"/>
        <w:ind w:firstLine="600" w:firstLineChars="200"/>
        <w:rPr>
          <w:rFonts w:eastAsia="方正仿宋简体"/>
          <w:sz w:val="30"/>
          <w:szCs w:val="30"/>
        </w:rPr>
      </w:pPr>
      <w:r>
        <w:rPr>
          <w:rFonts w:eastAsia="方正仿宋简体"/>
          <w:sz w:val="30"/>
          <w:szCs w:val="30"/>
        </w:rPr>
        <w:t>从事期权的经纪业务部门、自营部门应相互隔离，使用独立、固定且相对封闭的办公场所，经纪业务使用的交易单元与自营业务使用的交易单元应相互独立，不得联通或者混用；期权经纪业务、技术系统与现货经纪业务相互隔离，期权业务、风控系统、办公系统、外部互联网有效隔离。</w:t>
      </w:r>
    </w:p>
    <w:p>
      <w:pPr>
        <w:pStyle w:val="8"/>
        <w:keepNext w:val="0"/>
        <w:keepLines w:val="0"/>
        <w:numPr>
          <w:ilvl w:val="3"/>
          <w:numId w:val="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利益冲突防范制度</w:t>
      </w:r>
    </w:p>
    <w:p>
      <w:pPr>
        <w:spacing w:line="560" w:lineRule="exact"/>
        <w:ind w:firstLine="600" w:firstLineChars="200"/>
        <w:rPr>
          <w:rFonts w:eastAsia="方正仿宋简体"/>
          <w:sz w:val="30"/>
          <w:szCs w:val="30"/>
        </w:rPr>
      </w:pPr>
      <w:r>
        <w:rPr>
          <w:rFonts w:eastAsia="方正仿宋简体"/>
          <w:sz w:val="30"/>
          <w:szCs w:val="30"/>
        </w:rPr>
        <w:t>公司应当针对期权的特点及监管要求，对开展期权业务所导致的利益冲突进行识别、评估、防范和管理，公司合规部应当在日常合规管理中保持对期权业务利益冲突的持续关注。</w:t>
      </w:r>
    </w:p>
    <w:p>
      <w:pPr>
        <w:pStyle w:val="8"/>
        <w:keepNext w:val="0"/>
        <w:keepLines w:val="0"/>
        <w:numPr>
          <w:ilvl w:val="3"/>
          <w:numId w:val="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合规检查制度</w:t>
      </w:r>
    </w:p>
    <w:p>
      <w:pPr>
        <w:spacing w:line="560" w:lineRule="exact"/>
        <w:ind w:firstLine="600" w:firstLineChars="200"/>
        <w:rPr>
          <w:rFonts w:eastAsia="方正仿宋简体"/>
          <w:sz w:val="30"/>
          <w:szCs w:val="30"/>
        </w:rPr>
      </w:pPr>
      <w:r>
        <w:rPr>
          <w:rFonts w:eastAsia="方正仿宋简体"/>
          <w:sz w:val="30"/>
          <w:szCs w:val="30"/>
        </w:rPr>
        <w:t>公司应当安排例行检查和专项检查，并根据情况采取现场检查和非现场检查两种方式结合进行，内容包括相关制度和流程是否完备、各项工作开展是否符合合规要求、员工行为是否合规等。</w:t>
      </w:r>
    </w:p>
    <w:p>
      <w:pPr>
        <w:pStyle w:val="8"/>
        <w:keepNext w:val="0"/>
        <w:keepLines w:val="0"/>
        <w:numPr>
          <w:ilvl w:val="3"/>
          <w:numId w:val="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考核问责制度</w:t>
      </w:r>
    </w:p>
    <w:p>
      <w:pPr>
        <w:spacing w:line="560" w:lineRule="exact"/>
        <w:ind w:firstLine="600" w:firstLineChars="200"/>
        <w:rPr>
          <w:rFonts w:eastAsia="方正仿宋简体"/>
          <w:sz w:val="30"/>
          <w:szCs w:val="30"/>
        </w:rPr>
      </w:pPr>
      <w:r>
        <w:rPr>
          <w:rFonts w:eastAsia="方正仿宋简体"/>
          <w:sz w:val="30"/>
          <w:szCs w:val="30"/>
        </w:rPr>
        <w:t>公司应当进行合规考核与问责，对于严重的违规情况，应当给予相应的处罚。</w:t>
      </w:r>
    </w:p>
    <w:p>
      <w:pPr>
        <w:pStyle w:val="7"/>
        <w:numPr>
          <w:ilvl w:val="0"/>
          <w:numId w:val="7"/>
        </w:numPr>
        <w:spacing w:before="0" w:after="0" w:line="560" w:lineRule="exact"/>
        <w:ind w:left="0" w:firstLine="601" w:firstLineChars="200"/>
        <w:rPr>
          <w:rFonts w:eastAsia="方正仿宋简体"/>
          <w:b w:val="0"/>
          <w:bCs w:val="0"/>
          <w:sz w:val="30"/>
          <w:szCs w:val="30"/>
        </w:rPr>
      </w:pPr>
      <w:r>
        <w:rPr>
          <w:rFonts w:eastAsia="方正仿宋简体"/>
          <w:sz w:val="30"/>
          <w:szCs w:val="30"/>
        </w:rPr>
        <w:t>内控制度原则</w:t>
      </w:r>
    </w:p>
    <w:p>
      <w:pPr>
        <w:pStyle w:val="58"/>
        <w:numPr>
          <w:ilvl w:val="0"/>
          <w:numId w:val="9"/>
        </w:numPr>
        <w:spacing w:line="560" w:lineRule="exact"/>
        <w:ind w:left="0" w:firstLine="600"/>
        <w:rPr>
          <w:rFonts w:eastAsia="方正仿宋简体"/>
          <w:sz w:val="30"/>
          <w:szCs w:val="30"/>
        </w:rPr>
      </w:pPr>
      <w:r>
        <w:rPr>
          <w:rFonts w:eastAsia="方正仿宋简体"/>
          <w:sz w:val="30"/>
          <w:szCs w:val="30"/>
        </w:rPr>
        <w:t>建立开展期权业务的决策、授权和业务执行机制；</w:t>
      </w:r>
    </w:p>
    <w:p>
      <w:pPr>
        <w:pStyle w:val="58"/>
        <w:numPr>
          <w:ilvl w:val="0"/>
          <w:numId w:val="9"/>
        </w:numPr>
        <w:spacing w:line="560" w:lineRule="exact"/>
        <w:ind w:left="0" w:firstLine="600"/>
        <w:rPr>
          <w:rFonts w:eastAsia="方正仿宋简体"/>
          <w:sz w:val="30"/>
          <w:szCs w:val="30"/>
        </w:rPr>
      </w:pPr>
      <w:r>
        <w:rPr>
          <w:rFonts w:eastAsia="方正仿宋简体"/>
          <w:sz w:val="30"/>
          <w:szCs w:val="30"/>
        </w:rPr>
        <w:t>确保前、中、后台相互分离、相互制约，各主要环节分别由不同的部门和岗位负责，不得进行业务间的混合操作；</w:t>
      </w:r>
    </w:p>
    <w:p>
      <w:pPr>
        <w:pStyle w:val="58"/>
        <w:numPr>
          <w:ilvl w:val="0"/>
          <w:numId w:val="9"/>
        </w:numPr>
        <w:spacing w:line="560" w:lineRule="exact"/>
        <w:ind w:left="0" w:firstLine="600"/>
        <w:rPr>
          <w:rFonts w:eastAsia="方正仿宋简体"/>
          <w:sz w:val="30"/>
          <w:szCs w:val="30"/>
        </w:rPr>
      </w:pPr>
      <w:r>
        <w:rPr>
          <w:rFonts w:eastAsia="方正仿宋简体"/>
          <w:sz w:val="30"/>
          <w:szCs w:val="30"/>
        </w:rPr>
        <w:t>建立事前防范、事中监控、事后处置的风险管理体系；</w:t>
      </w:r>
    </w:p>
    <w:p>
      <w:pPr>
        <w:pStyle w:val="58"/>
        <w:numPr>
          <w:ilvl w:val="0"/>
          <w:numId w:val="9"/>
        </w:numPr>
        <w:spacing w:line="560" w:lineRule="exact"/>
        <w:ind w:left="0" w:firstLine="600"/>
        <w:rPr>
          <w:rFonts w:eastAsia="方正仿宋简体"/>
          <w:sz w:val="30"/>
          <w:szCs w:val="30"/>
        </w:rPr>
      </w:pPr>
      <w:r>
        <w:rPr>
          <w:rFonts w:eastAsia="方正仿宋简体"/>
          <w:sz w:val="30"/>
          <w:szCs w:val="30"/>
        </w:rPr>
        <w:t>对各流程运作设定控制点，做好流程内部控制的管理制度，具体流程明确到部门、岗位和时间点。</w:t>
      </w:r>
    </w:p>
    <w:p>
      <w:pPr>
        <w:pStyle w:val="7"/>
        <w:numPr>
          <w:ilvl w:val="0"/>
          <w:numId w:val="7"/>
        </w:numPr>
        <w:spacing w:before="0" w:after="0" w:line="560" w:lineRule="exact"/>
        <w:ind w:left="0" w:firstLine="601" w:firstLineChars="200"/>
        <w:rPr>
          <w:rFonts w:eastAsia="方正仿宋简体"/>
          <w:sz w:val="30"/>
          <w:szCs w:val="30"/>
        </w:rPr>
      </w:pPr>
      <w:r>
        <w:rPr>
          <w:rFonts w:eastAsia="方正仿宋简体"/>
          <w:sz w:val="30"/>
          <w:szCs w:val="30"/>
        </w:rPr>
        <w:t>内控制度内容</w:t>
      </w:r>
    </w:p>
    <w:p>
      <w:pPr>
        <w:pStyle w:val="58"/>
        <w:numPr>
          <w:ilvl w:val="0"/>
          <w:numId w:val="10"/>
        </w:numPr>
        <w:spacing w:line="560" w:lineRule="exact"/>
        <w:ind w:firstLine="600"/>
        <w:rPr>
          <w:rFonts w:eastAsia="方正仿宋简体"/>
          <w:sz w:val="30"/>
          <w:szCs w:val="30"/>
        </w:rPr>
      </w:pPr>
      <w:r>
        <w:rPr>
          <w:rFonts w:eastAsia="方正仿宋简体"/>
          <w:sz w:val="30"/>
          <w:szCs w:val="30"/>
        </w:rPr>
        <w:t>交易系统的内部控制，如交易委托管理和交易系统管理；</w:t>
      </w:r>
    </w:p>
    <w:p>
      <w:pPr>
        <w:pStyle w:val="58"/>
        <w:numPr>
          <w:ilvl w:val="0"/>
          <w:numId w:val="10"/>
        </w:numPr>
        <w:spacing w:line="560" w:lineRule="exact"/>
        <w:ind w:firstLine="600"/>
        <w:rPr>
          <w:rFonts w:eastAsia="方正仿宋简体"/>
          <w:sz w:val="30"/>
          <w:szCs w:val="30"/>
        </w:rPr>
      </w:pPr>
      <w:r>
        <w:rPr>
          <w:rFonts w:eastAsia="方正仿宋简体"/>
          <w:sz w:val="30"/>
          <w:szCs w:val="30"/>
        </w:rPr>
        <w:t>风险监控、风险处置与应急管理的内部控制，要点包括保证金标准的制定与调整、盘中交易风险实时动态监控、强行平仓及监控、结算后对客户账户风险的分析预测及风险客户的平仓通知、违约处理等，以及对于各环节中可能出现的各种技术故障、通信故障，应制订可行的应急措施与方案等；</w:t>
      </w:r>
    </w:p>
    <w:p>
      <w:pPr>
        <w:pStyle w:val="58"/>
        <w:numPr>
          <w:ilvl w:val="0"/>
          <w:numId w:val="10"/>
        </w:numPr>
        <w:spacing w:line="560" w:lineRule="exact"/>
        <w:ind w:firstLine="600"/>
        <w:rPr>
          <w:rFonts w:eastAsia="方正仿宋简体"/>
          <w:sz w:val="30"/>
          <w:szCs w:val="30"/>
        </w:rPr>
      </w:pPr>
      <w:r>
        <w:rPr>
          <w:rFonts w:eastAsia="方正仿宋简体"/>
          <w:sz w:val="30"/>
          <w:szCs w:val="30"/>
        </w:rPr>
        <w:t>客户选择与资信记录，制定包括投资者准入和分级、买入限额、投资者教育与市场营销管理等制度；</w:t>
      </w:r>
    </w:p>
    <w:p>
      <w:pPr>
        <w:pStyle w:val="58"/>
        <w:numPr>
          <w:ilvl w:val="0"/>
          <w:numId w:val="10"/>
        </w:numPr>
        <w:spacing w:line="560" w:lineRule="exact"/>
        <w:ind w:firstLine="600"/>
        <w:rPr>
          <w:rFonts w:eastAsia="方正仿宋简体"/>
          <w:sz w:val="30"/>
          <w:szCs w:val="30"/>
        </w:rPr>
      </w:pPr>
      <w:r>
        <w:rPr>
          <w:rFonts w:eastAsia="方正仿宋简体"/>
          <w:sz w:val="30"/>
          <w:szCs w:val="30"/>
        </w:rPr>
        <w:t>客户档案与客户投诉的内部控制，制定包括对于客户档案管理，开销户业务的要点，如资格认定、合同签署、账户申请、销户等，妥善保管合同和印章，以及现场投诉、专线投诉、信件投诉和监管机关转发投诉的受理和处理流程，对于投诉事项须定期检查和回访；</w:t>
      </w:r>
    </w:p>
    <w:p>
      <w:pPr>
        <w:pStyle w:val="58"/>
        <w:numPr>
          <w:ilvl w:val="0"/>
          <w:numId w:val="10"/>
        </w:numPr>
        <w:spacing w:line="560" w:lineRule="exact"/>
        <w:ind w:firstLine="600"/>
        <w:rPr>
          <w:rFonts w:eastAsia="方正仿宋简体"/>
          <w:sz w:val="30"/>
          <w:szCs w:val="30"/>
        </w:rPr>
      </w:pPr>
      <w:r>
        <w:rPr>
          <w:rFonts w:eastAsia="方正仿宋简体"/>
          <w:sz w:val="30"/>
          <w:szCs w:val="30"/>
        </w:rPr>
        <w:t>客户回访及客户服务的内部控制，客户服务人员可以对追加保证金进程跟踪、强行平仓通知知晓确认、账户发生重大或异常交易、资讯产品使用效果等进行跟踪回访，并建立客户服务记录的支持系统；</w:t>
      </w:r>
    </w:p>
    <w:p>
      <w:pPr>
        <w:pStyle w:val="58"/>
        <w:numPr>
          <w:ilvl w:val="0"/>
          <w:numId w:val="10"/>
        </w:numPr>
        <w:spacing w:line="560" w:lineRule="exact"/>
        <w:ind w:firstLine="600"/>
        <w:rPr>
          <w:rFonts w:eastAsia="方正仿宋简体"/>
          <w:sz w:val="30"/>
          <w:szCs w:val="30"/>
        </w:rPr>
      </w:pPr>
      <w:r>
        <w:rPr>
          <w:rFonts w:eastAsia="方正仿宋简体"/>
          <w:sz w:val="30"/>
          <w:szCs w:val="30"/>
        </w:rPr>
        <w:t>行权、清算与结算过程的内部控制，要点包括参数配置与调整，行权处理、实物交收、结算数据接收、清算、汇总与复核等；</w:t>
      </w:r>
    </w:p>
    <w:p>
      <w:pPr>
        <w:pStyle w:val="58"/>
        <w:numPr>
          <w:ilvl w:val="0"/>
          <w:numId w:val="10"/>
        </w:numPr>
        <w:spacing w:line="560" w:lineRule="exact"/>
        <w:ind w:firstLine="600"/>
        <w:rPr>
          <w:rFonts w:eastAsia="方正仿宋简体"/>
          <w:sz w:val="30"/>
          <w:szCs w:val="30"/>
        </w:rPr>
      </w:pPr>
      <w:r>
        <w:rPr>
          <w:rFonts w:eastAsia="方正仿宋简体"/>
          <w:sz w:val="30"/>
          <w:szCs w:val="30"/>
        </w:rPr>
        <w:t>财务、审计的内部控制；</w:t>
      </w:r>
    </w:p>
    <w:p>
      <w:pPr>
        <w:pStyle w:val="58"/>
        <w:numPr>
          <w:ilvl w:val="0"/>
          <w:numId w:val="10"/>
        </w:numPr>
        <w:spacing w:line="560" w:lineRule="exact"/>
        <w:ind w:firstLine="600"/>
        <w:rPr>
          <w:rFonts w:eastAsia="方正仿宋简体"/>
          <w:sz w:val="30"/>
          <w:szCs w:val="30"/>
        </w:rPr>
      </w:pPr>
      <w:r>
        <w:rPr>
          <w:rFonts w:eastAsia="方正仿宋简体"/>
          <w:sz w:val="30"/>
          <w:szCs w:val="30"/>
        </w:rPr>
        <w:t>信息系统的内部控制，建立交易、结算、财务数据的备份制度；</w:t>
      </w:r>
    </w:p>
    <w:p>
      <w:pPr>
        <w:pStyle w:val="58"/>
        <w:numPr>
          <w:ilvl w:val="0"/>
          <w:numId w:val="10"/>
        </w:numPr>
        <w:spacing w:line="560" w:lineRule="exact"/>
        <w:ind w:firstLine="600"/>
        <w:rPr>
          <w:rFonts w:eastAsia="方正仿宋简体"/>
          <w:sz w:val="30"/>
          <w:szCs w:val="30"/>
        </w:rPr>
      </w:pPr>
      <w:r>
        <w:rPr>
          <w:rFonts w:eastAsia="方正仿宋简体"/>
          <w:sz w:val="30"/>
          <w:szCs w:val="30"/>
        </w:rPr>
        <w:t>信息报送的内部控制，应按照规定及时向本所报送客户限购额度、客户分级、衍生品业务风险管理部负责人与联系人相关信息等资料，做好保证金封闭管理的相关数据报送，应保证报送的数据真实、准确、完整、及时。</w:t>
      </w:r>
    </w:p>
    <w:p>
      <w:pPr>
        <w:pStyle w:val="7"/>
        <w:numPr>
          <w:ilvl w:val="0"/>
          <w:numId w:val="7"/>
        </w:numPr>
        <w:spacing w:before="0" w:after="0" w:line="560" w:lineRule="exact"/>
        <w:ind w:left="0" w:firstLine="601" w:firstLineChars="200"/>
        <w:rPr>
          <w:rFonts w:eastAsia="方正仿宋简体"/>
          <w:b w:val="0"/>
          <w:bCs w:val="0"/>
          <w:sz w:val="30"/>
          <w:szCs w:val="30"/>
        </w:rPr>
      </w:pPr>
      <w:bookmarkStart w:id="33" w:name="_Toc24652"/>
      <w:bookmarkStart w:id="34" w:name="_Toc452016998"/>
      <w:bookmarkStart w:id="35" w:name="_Toc18360"/>
      <w:bookmarkStart w:id="36" w:name="_Toc28974"/>
      <w:r>
        <w:rPr>
          <w:rFonts w:eastAsia="方正仿宋简体"/>
          <w:sz w:val="30"/>
          <w:szCs w:val="30"/>
        </w:rPr>
        <w:t>风险管理岗位报备</w:t>
      </w:r>
      <w:bookmarkEnd w:id="33"/>
      <w:bookmarkEnd w:id="34"/>
      <w:bookmarkEnd w:id="35"/>
      <w:bookmarkEnd w:id="36"/>
    </w:p>
    <w:p>
      <w:pPr>
        <w:spacing w:line="560" w:lineRule="exact"/>
        <w:ind w:firstLine="600" w:firstLineChars="200"/>
        <w:rPr>
          <w:rFonts w:eastAsia="方正仿宋简体"/>
          <w:sz w:val="30"/>
          <w:szCs w:val="30"/>
        </w:rPr>
      </w:pPr>
      <w:r>
        <w:rPr>
          <w:rFonts w:eastAsia="方正仿宋简体"/>
          <w:sz w:val="30"/>
          <w:szCs w:val="30"/>
        </w:rPr>
        <w:t>证券公司应通过本所期权业务专区（网址：</w:t>
      </w:r>
      <w:r>
        <w:fldChar w:fldCharType="begin"/>
      </w:r>
      <w:r>
        <w:instrText xml:space="preserve"> HYPERLINK "https://sso.szse.cn/sso/" </w:instrText>
      </w:r>
      <w:r>
        <w:fldChar w:fldCharType="separate"/>
      </w:r>
      <w:r>
        <w:rPr>
          <w:rStyle w:val="39"/>
          <w:rFonts w:eastAsia="方正仿宋简体"/>
          <w:sz w:val="30"/>
          <w:szCs w:val="30"/>
        </w:rPr>
        <w:t>https://sso.szse.cn/sso/</w:t>
      </w:r>
      <w:r>
        <w:rPr>
          <w:rStyle w:val="39"/>
          <w:rFonts w:eastAsia="方正仿宋简体"/>
          <w:sz w:val="30"/>
          <w:szCs w:val="30"/>
        </w:rPr>
        <w:fldChar w:fldCharType="end"/>
      </w:r>
      <w:r>
        <w:rPr>
          <w:rFonts w:eastAsia="方正仿宋简体"/>
          <w:sz w:val="30"/>
          <w:szCs w:val="30"/>
        </w:rPr>
        <w:t>，以下略）向本所报备以下人员联系方式（包括联系电话、手机、邮箱、传真等）：期权业务异常情况应急负责人、期权业务风险管理负责人、期权经纪业务风险管理联系人（如有经纪业务）、期权自营业务风险管理联系人（如有自营业务）、期权做市业务风险管理联系人（如有做市业务）。上述人员或联系方式如有变更，应于工作日15:00前通过本所期权业务专区及时向本所更新报备。</w:t>
      </w:r>
      <w:bookmarkStart w:id="37" w:name="_Toc406439133"/>
      <w:bookmarkStart w:id="38" w:name="_Toc406438948"/>
      <w:bookmarkStart w:id="39" w:name="_Toc30855"/>
      <w:bookmarkStart w:id="40" w:name="_Toc460944560"/>
      <w:bookmarkStart w:id="41" w:name="_Toc406438879"/>
      <w:bookmarkStart w:id="42" w:name="_Toc27030"/>
      <w:bookmarkStart w:id="43" w:name="_Toc22285"/>
      <w:bookmarkStart w:id="44" w:name="_Toc452016999"/>
      <w:bookmarkStart w:id="45" w:name="_Toc534284105"/>
      <w:bookmarkStart w:id="46" w:name="_Toc408749978"/>
      <w:bookmarkStart w:id="47" w:name="_Toc406436499"/>
    </w:p>
    <w:p>
      <w:pPr>
        <w:spacing w:line="560" w:lineRule="exact"/>
        <w:ind w:firstLine="601" w:firstLineChars="200"/>
        <w:rPr>
          <w:rFonts w:eastAsia="方正仿宋简体"/>
          <w:b/>
          <w:bCs/>
          <w:sz w:val="30"/>
          <w:szCs w:val="30"/>
        </w:rPr>
      </w:pPr>
    </w:p>
    <w:bookmarkEnd w:id="37"/>
    <w:bookmarkEnd w:id="38"/>
    <w:bookmarkEnd w:id="39"/>
    <w:bookmarkEnd w:id="40"/>
    <w:bookmarkEnd w:id="41"/>
    <w:bookmarkEnd w:id="42"/>
    <w:bookmarkEnd w:id="43"/>
    <w:bookmarkEnd w:id="44"/>
    <w:bookmarkEnd w:id="45"/>
    <w:bookmarkEnd w:id="46"/>
    <w:bookmarkEnd w:id="47"/>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sz w:val="30"/>
          <w:szCs w:val="30"/>
        </w:rPr>
      </w:pPr>
      <w:bookmarkStart w:id="48" w:name="_Toc534299659"/>
      <w:bookmarkEnd w:id="48"/>
      <w:bookmarkStart w:id="49" w:name="_Toc534299656"/>
      <w:bookmarkEnd w:id="49"/>
      <w:bookmarkStart w:id="50" w:name="_Toc534299658"/>
      <w:bookmarkEnd w:id="50"/>
      <w:bookmarkStart w:id="51" w:name="_Toc534299657"/>
      <w:bookmarkEnd w:id="51"/>
      <w:bookmarkStart w:id="52" w:name="_Toc534299660"/>
      <w:bookmarkEnd w:id="52"/>
      <w:bookmarkStart w:id="53" w:name="_Toc25049465"/>
      <w:bookmarkStart w:id="54" w:name="_Toc533450967"/>
      <w:bookmarkStart w:id="55" w:name="_Toc10947"/>
      <w:bookmarkStart w:id="56" w:name="_Toc406438949"/>
      <w:bookmarkStart w:id="57" w:name="_Toc22390"/>
      <w:bookmarkStart w:id="58" w:name="_Toc406439134"/>
      <w:bookmarkStart w:id="59" w:name="_Toc408749982"/>
      <w:bookmarkStart w:id="60" w:name="_Toc406438884"/>
      <w:bookmarkStart w:id="61" w:name="_Toc460944564"/>
      <w:bookmarkStart w:id="62" w:name="_Toc406436500"/>
      <w:bookmarkStart w:id="63" w:name="_Toc9248"/>
      <w:bookmarkStart w:id="64" w:name="_Toc452017003"/>
      <w:r>
        <w:rPr>
          <w:rFonts w:ascii="黑体" w:hAnsi="黑体" w:eastAsia="黑体"/>
          <w:bCs/>
          <w:sz w:val="30"/>
          <w:szCs w:val="30"/>
        </w:rPr>
        <w:t>交易权限开通</w:t>
      </w:r>
      <w:bookmarkEnd w:id="53"/>
      <w:bookmarkEnd w:id="54"/>
    </w:p>
    <w:p>
      <w:pPr>
        <w:spacing w:line="560" w:lineRule="exact"/>
        <w:ind w:firstLine="600" w:firstLineChars="200"/>
        <w:rPr>
          <w:rFonts w:eastAsia="方正仿宋简体"/>
          <w:sz w:val="30"/>
          <w:szCs w:val="30"/>
        </w:rPr>
      </w:pPr>
      <w:r>
        <w:rPr>
          <w:rFonts w:eastAsia="方正仿宋简体"/>
          <w:sz w:val="30"/>
          <w:szCs w:val="30"/>
        </w:rPr>
        <w:t>满足《证券期货经营机构参与股票期权交易试点指引》《交易规则》相关要求，且通过本所期权业务现场检查的证券公司可以向本所申请开通股票期权交易权限。开通期权权限应完成以下工作：</w:t>
      </w:r>
    </w:p>
    <w:p>
      <w:pPr>
        <w:spacing w:line="560" w:lineRule="exact"/>
        <w:ind w:firstLine="600" w:firstLineChars="200"/>
        <w:rPr>
          <w:rFonts w:eastAsia="方正仿宋简体"/>
          <w:sz w:val="30"/>
          <w:szCs w:val="30"/>
        </w:rPr>
      </w:pPr>
      <w:r>
        <w:rPr>
          <w:rFonts w:eastAsia="方正仿宋简体"/>
          <w:sz w:val="30"/>
          <w:szCs w:val="30"/>
        </w:rPr>
        <w:t>（一）股票期权材料上传。证券公司通过会员业务专区</w:t>
      </w:r>
      <w:r>
        <w:rPr>
          <w:rFonts w:hint="eastAsia" w:ascii="方正仿宋简体" w:eastAsia="方正仿宋简体"/>
          <w:sz w:val="30"/>
          <w:szCs w:val="30"/>
        </w:rPr>
        <w:t>“</w:t>
      </w:r>
      <w:r>
        <w:rPr>
          <w:rFonts w:eastAsia="方正仿宋简体"/>
          <w:sz w:val="30"/>
          <w:szCs w:val="30"/>
        </w:rPr>
        <w:t>股票期权材料上传</w:t>
      </w:r>
      <w:r>
        <w:rPr>
          <w:rFonts w:hint="eastAsia" w:ascii="方正仿宋简体" w:eastAsia="方正仿宋简体"/>
          <w:sz w:val="30"/>
          <w:szCs w:val="30"/>
        </w:rPr>
        <w:t>”</w:t>
      </w:r>
      <w:r>
        <w:rPr>
          <w:rFonts w:eastAsia="方正仿宋简体"/>
          <w:sz w:val="30"/>
          <w:szCs w:val="30"/>
        </w:rPr>
        <w:t>栏目（参照《会员网上业务专区用户手册V8.0》5.10,以下简称《手册》，可在</w:t>
      </w:r>
      <w:r>
        <w:rPr>
          <w:rFonts w:hint="eastAsia" w:ascii="方正仿宋简体" w:eastAsia="方正仿宋简体"/>
          <w:sz w:val="30"/>
          <w:szCs w:val="30"/>
        </w:rPr>
        <w:t>“</w:t>
      </w:r>
      <w:r>
        <w:rPr>
          <w:rFonts w:eastAsia="方正仿宋简体"/>
          <w:sz w:val="30"/>
          <w:szCs w:val="30"/>
        </w:rPr>
        <w:t>会员业务专区-业务指引</w:t>
      </w:r>
      <w:r>
        <w:rPr>
          <w:rFonts w:hint="eastAsia" w:ascii="方正仿宋简体" w:eastAsia="方正仿宋简体"/>
          <w:sz w:val="30"/>
          <w:szCs w:val="30"/>
        </w:rPr>
        <w:t>”</w:t>
      </w:r>
      <w:r>
        <w:rPr>
          <w:rFonts w:eastAsia="方正仿宋简体"/>
          <w:sz w:val="30"/>
          <w:szCs w:val="30"/>
        </w:rPr>
        <w:t>下载），上传《股票期权经纪业务准备情况表》（分管股票期权经纪业务的高级管理人员签字并加盖公章，见附件13）；</w:t>
      </w:r>
    </w:p>
    <w:p>
      <w:pPr>
        <w:spacing w:line="560" w:lineRule="exact"/>
        <w:ind w:firstLine="600" w:firstLineChars="200"/>
        <w:rPr>
          <w:rFonts w:eastAsia="方正仿宋简体"/>
          <w:sz w:val="30"/>
          <w:szCs w:val="30"/>
        </w:rPr>
      </w:pPr>
      <w:r>
        <w:rPr>
          <w:rFonts w:eastAsia="方正仿宋简体"/>
          <w:sz w:val="30"/>
          <w:szCs w:val="30"/>
        </w:rPr>
        <w:t>（二）完成期权结算参与人申请及获得期权经纪结算账号。</w:t>
      </w:r>
    </w:p>
    <w:p>
      <w:pPr>
        <w:spacing w:line="560" w:lineRule="exact"/>
        <w:ind w:firstLine="600" w:firstLineChars="200"/>
        <w:rPr>
          <w:rFonts w:eastAsia="方正仿宋简体"/>
          <w:sz w:val="30"/>
          <w:szCs w:val="30"/>
        </w:rPr>
      </w:pPr>
      <w:r>
        <w:rPr>
          <w:rFonts w:eastAsia="方正仿宋简体"/>
          <w:sz w:val="30"/>
          <w:szCs w:val="30"/>
        </w:rPr>
        <w:t>完成以上工作后，证券公司可以通过会员业务专区</w:t>
      </w:r>
      <w:r>
        <w:rPr>
          <w:rFonts w:hint="eastAsia" w:ascii="方正仿宋简体" w:eastAsia="方正仿宋简体"/>
          <w:sz w:val="30"/>
          <w:szCs w:val="30"/>
        </w:rPr>
        <w:t>“</w:t>
      </w:r>
      <w:r>
        <w:rPr>
          <w:rFonts w:eastAsia="方正仿宋简体"/>
          <w:sz w:val="30"/>
          <w:szCs w:val="30"/>
        </w:rPr>
        <w:t>期权交易权限开通</w:t>
      </w:r>
      <w:r>
        <w:rPr>
          <w:rFonts w:hint="eastAsia" w:ascii="方正仿宋简体" w:eastAsia="方正仿宋简体"/>
          <w:sz w:val="30"/>
          <w:szCs w:val="30"/>
        </w:rPr>
        <w:t>”</w:t>
      </w:r>
      <w:r>
        <w:rPr>
          <w:rFonts w:eastAsia="方正仿宋简体"/>
          <w:sz w:val="30"/>
          <w:szCs w:val="30"/>
        </w:rPr>
        <w:t>栏目（参照《手册》6.2.3.17），选择拟开通期权交易权限的交易单元（类型为A股交易单元或A股（会员基金客户-券商结算），单个业务流程最多可申请开通50个），填写期权结算账号，完成后提交。</w:t>
      </w:r>
    </w:p>
    <w:p>
      <w:pPr>
        <w:spacing w:line="560" w:lineRule="exact"/>
        <w:ind w:firstLine="600" w:firstLineChars="200"/>
        <w:rPr>
          <w:rFonts w:eastAsia="方正仿宋简体"/>
          <w:sz w:val="30"/>
          <w:szCs w:val="30"/>
        </w:rPr>
      </w:pPr>
      <w:r>
        <w:rPr>
          <w:rFonts w:eastAsia="方正仿宋简体"/>
          <w:sz w:val="30"/>
          <w:szCs w:val="30"/>
        </w:rPr>
        <w:t>证券公司如需关闭交易单元的期权交易权限，可通过会员业务专区</w:t>
      </w:r>
      <w:r>
        <w:rPr>
          <w:rFonts w:hint="eastAsia" w:ascii="方正仿宋简体" w:eastAsia="方正仿宋简体"/>
          <w:sz w:val="30"/>
          <w:szCs w:val="30"/>
        </w:rPr>
        <w:t>“</w:t>
      </w:r>
      <w:r>
        <w:rPr>
          <w:rFonts w:eastAsia="方正仿宋简体"/>
          <w:sz w:val="30"/>
          <w:szCs w:val="30"/>
        </w:rPr>
        <w:t>期权交易权限关闭</w:t>
      </w:r>
      <w:r>
        <w:rPr>
          <w:rFonts w:hint="eastAsia" w:ascii="方正仿宋简体" w:eastAsia="方正仿宋简体"/>
          <w:sz w:val="30"/>
          <w:szCs w:val="30"/>
        </w:rPr>
        <w:t>”</w:t>
      </w:r>
      <w:r>
        <w:rPr>
          <w:rFonts w:eastAsia="方正仿宋简体"/>
          <w:sz w:val="30"/>
          <w:szCs w:val="30"/>
        </w:rPr>
        <w:t>栏目（参照《手册》6.2.3.18）予以关闭；证券公司在交易单元中止时，也可一并关闭交易单元的期权交易权限。</w:t>
      </w:r>
    </w:p>
    <w:p>
      <w:pPr>
        <w:spacing w:line="560" w:lineRule="exact"/>
        <w:ind w:firstLine="600" w:firstLineChars="200"/>
        <w:rPr>
          <w:rFonts w:eastAsia="方正仿宋简体"/>
          <w:sz w:val="30"/>
          <w:szCs w:val="30"/>
        </w:rPr>
      </w:pPr>
    </w:p>
    <w:p>
      <w:pPr>
        <w:widowControl/>
        <w:spacing w:line="560" w:lineRule="exact"/>
        <w:ind w:firstLine="601" w:firstLineChars="200"/>
        <w:rPr>
          <w:rFonts w:eastAsia="方正仿宋简体"/>
          <w:b/>
          <w:bCs/>
          <w:sz w:val="30"/>
          <w:szCs w:val="30"/>
        </w:rPr>
      </w:pPr>
      <w:r>
        <w:rPr>
          <w:rFonts w:eastAsia="方正仿宋简体"/>
          <w:b/>
          <w:bCs/>
          <w:sz w:val="30"/>
          <w:szCs w:val="30"/>
        </w:rPr>
        <w:br w:type="page"/>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sz w:val="30"/>
          <w:szCs w:val="30"/>
        </w:rPr>
      </w:pPr>
      <w:bookmarkStart w:id="65" w:name="_Toc25049466"/>
      <w:r>
        <w:rPr>
          <w:rFonts w:ascii="黑体" w:hAnsi="黑体" w:eastAsia="黑体"/>
          <w:bCs/>
          <w:sz w:val="30"/>
          <w:szCs w:val="30"/>
        </w:rPr>
        <w:t>投资者适当性管理</w:t>
      </w:r>
      <w:bookmarkEnd w:id="55"/>
      <w:bookmarkEnd w:id="56"/>
      <w:bookmarkEnd w:id="57"/>
      <w:bookmarkEnd w:id="58"/>
      <w:bookmarkEnd w:id="59"/>
      <w:bookmarkEnd w:id="60"/>
      <w:bookmarkEnd w:id="61"/>
      <w:bookmarkEnd w:id="62"/>
      <w:bookmarkEnd w:id="63"/>
      <w:bookmarkEnd w:id="64"/>
      <w:bookmarkEnd w:id="65"/>
    </w:p>
    <w:p>
      <w:pPr>
        <w:spacing w:line="560" w:lineRule="exact"/>
        <w:ind w:firstLine="600" w:firstLineChars="200"/>
        <w:rPr>
          <w:rFonts w:eastAsia="方正仿宋简体"/>
          <w:sz w:val="30"/>
          <w:szCs w:val="30"/>
        </w:rPr>
      </w:pPr>
      <w:bookmarkStart w:id="66" w:name="_Toc408749983"/>
      <w:bookmarkStart w:id="67" w:name="_Toc27259"/>
      <w:bookmarkStart w:id="68" w:name="_Toc452017004"/>
      <w:bookmarkStart w:id="69" w:name="_Toc1039"/>
      <w:bookmarkStart w:id="70" w:name="_Toc2174"/>
      <w:bookmarkStart w:id="71" w:name="_Toc406438885"/>
      <w:r>
        <w:rPr>
          <w:rFonts w:eastAsia="方正仿宋简体"/>
          <w:sz w:val="30"/>
          <w:szCs w:val="30"/>
        </w:rPr>
        <w:t>证券公司应当严格执行股票期权投资者适当性管理制度，向客户全面介绍股票期权产品特征，充分揭示期权股票交易风险，对客户进行适当性评估并对客户实施交易权限分级管理。证券公司不得接受不符合投资者适当性标准的客户从事股票期权交易。</w:t>
      </w:r>
    </w:p>
    <w:p>
      <w:pPr>
        <w:spacing w:line="560" w:lineRule="exact"/>
        <w:ind w:firstLine="600" w:firstLineChars="200"/>
        <w:rPr>
          <w:rFonts w:eastAsia="方正仿宋简体"/>
          <w:sz w:val="30"/>
          <w:szCs w:val="30"/>
        </w:rPr>
      </w:pPr>
      <w:r>
        <w:rPr>
          <w:rFonts w:eastAsia="方正仿宋简体"/>
          <w:sz w:val="30"/>
          <w:szCs w:val="30"/>
        </w:rPr>
        <w:t>投资者适当性评估及交易权限分级等事宜，应当由公司总部审核确定。</w:t>
      </w:r>
    </w:p>
    <w:bookmarkEnd w:id="66"/>
    <w:bookmarkEnd w:id="67"/>
    <w:bookmarkEnd w:id="68"/>
    <w:bookmarkEnd w:id="69"/>
    <w:bookmarkEnd w:id="70"/>
    <w:bookmarkEnd w:id="71"/>
    <w:p>
      <w:pPr>
        <w:pStyle w:val="5"/>
        <w:numPr>
          <w:ilvl w:val="0"/>
          <w:numId w:val="11"/>
        </w:numPr>
        <w:spacing w:before="0" w:after="0" w:line="560" w:lineRule="exact"/>
        <w:ind w:left="0" w:firstLine="601" w:firstLineChars="200"/>
        <w:rPr>
          <w:rFonts w:ascii="Times New Roman" w:hAnsi="Times New Roman" w:eastAsia="方正仿宋简体"/>
          <w:sz w:val="30"/>
          <w:szCs w:val="30"/>
        </w:rPr>
      </w:pPr>
      <w:bookmarkStart w:id="72" w:name="_Toc460944565"/>
      <w:bookmarkStart w:id="73" w:name="_Toc25049467"/>
      <w:r>
        <w:rPr>
          <w:rFonts w:ascii="Times New Roman" w:hAnsi="Times New Roman" w:eastAsia="方正仿宋简体"/>
          <w:sz w:val="30"/>
          <w:szCs w:val="30"/>
        </w:rPr>
        <w:t>投资者准入条件的认定</w:t>
      </w:r>
      <w:bookmarkEnd w:id="72"/>
      <w:bookmarkEnd w:id="73"/>
    </w:p>
    <w:p>
      <w:pPr>
        <w:pStyle w:val="7"/>
        <w:numPr>
          <w:ilvl w:val="0"/>
          <w:numId w:val="12"/>
        </w:numPr>
        <w:spacing w:before="0" w:after="0" w:line="560" w:lineRule="exact"/>
        <w:ind w:left="0" w:firstLine="601" w:firstLineChars="200"/>
        <w:rPr>
          <w:rFonts w:eastAsia="方正仿宋简体"/>
          <w:sz w:val="30"/>
          <w:szCs w:val="30"/>
        </w:rPr>
      </w:pPr>
      <w:bookmarkStart w:id="74" w:name="_Toc460944566"/>
      <w:bookmarkStart w:id="75" w:name="_Toc406438886"/>
      <w:r>
        <w:rPr>
          <w:rFonts w:eastAsia="方正仿宋简体"/>
          <w:sz w:val="30"/>
          <w:szCs w:val="30"/>
        </w:rPr>
        <w:t>个人投资者</w:t>
      </w:r>
      <w:bookmarkEnd w:id="74"/>
      <w:bookmarkEnd w:id="75"/>
    </w:p>
    <w:p>
      <w:pPr>
        <w:spacing w:line="560" w:lineRule="exact"/>
        <w:ind w:firstLine="600" w:firstLineChars="200"/>
        <w:rPr>
          <w:rFonts w:eastAsia="方正仿宋简体"/>
          <w:sz w:val="30"/>
          <w:szCs w:val="30"/>
        </w:rPr>
      </w:pPr>
      <w:r>
        <w:rPr>
          <w:rFonts w:eastAsia="方正仿宋简体"/>
          <w:sz w:val="30"/>
          <w:szCs w:val="30"/>
        </w:rPr>
        <w:t>个人投资者参与期权交易，应当符合下列条件：</w:t>
      </w:r>
    </w:p>
    <w:p>
      <w:pPr>
        <w:pStyle w:val="58"/>
        <w:numPr>
          <w:ilvl w:val="0"/>
          <w:numId w:val="13"/>
        </w:numPr>
        <w:spacing w:line="560" w:lineRule="exact"/>
        <w:ind w:firstLine="600"/>
        <w:rPr>
          <w:rFonts w:eastAsia="方正仿宋简体"/>
          <w:sz w:val="30"/>
          <w:szCs w:val="30"/>
        </w:rPr>
      </w:pPr>
      <w:r>
        <w:rPr>
          <w:rFonts w:eastAsia="方正仿宋简体"/>
          <w:sz w:val="30"/>
          <w:szCs w:val="30"/>
        </w:rPr>
        <w:t>申请开户前20个交易日证券账户及资金账户内的资产日均不低于人民币 50万元（不包括该投资者通过融资融券融入的资金和证券）；</w:t>
      </w:r>
    </w:p>
    <w:p>
      <w:pPr>
        <w:spacing w:line="560" w:lineRule="exact"/>
        <w:ind w:firstLine="600" w:firstLineChars="200"/>
        <w:rPr>
          <w:rFonts w:eastAsia="方正仿宋简体"/>
          <w:sz w:val="30"/>
          <w:szCs w:val="30"/>
        </w:rPr>
      </w:pPr>
      <w:r>
        <w:rPr>
          <w:rFonts w:eastAsia="方正仿宋简体"/>
          <w:sz w:val="30"/>
          <w:szCs w:val="30"/>
        </w:rPr>
        <w:t>认定标准：上述所称投资者证券账户包括在中国结算开立的A股账户、B股账户、封闭式基金账户、开放式基金账户等证券账户，以及在会员开立的账户。在中国结算开立的账户内、可计入投资者的资产包括：股票（包括A股、B股、优先股、通过港股通买入的港股和全国中小企业股份转让系统挂牌股票）、公募基金份额、债券、资产支持证券、资产管理计划份额、本所认定的其他证券资产。在会员开立的账户内、可计入投资者资产的资产包括：公募基金份额、私募基金份额、银行理财产品、贵金属资产等。</w:t>
      </w:r>
    </w:p>
    <w:p>
      <w:pPr>
        <w:spacing w:line="560" w:lineRule="exact"/>
        <w:ind w:firstLine="600" w:firstLineChars="200"/>
        <w:rPr>
          <w:rFonts w:eastAsia="方正仿宋简体"/>
          <w:sz w:val="30"/>
          <w:szCs w:val="30"/>
        </w:rPr>
      </w:pPr>
      <w:r>
        <w:rPr>
          <w:rFonts w:eastAsia="方正仿宋简体"/>
          <w:sz w:val="30"/>
          <w:szCs w:val="30"/>
        </w:rPr>
        <w:t>投资者资金账户内的资产指其客户交易结算资金账户内的交易结算资金、期货资金账户内的客户权益以及本所认定的其他资金资产。</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pStyle w:val="58"/>
        <w:numPr>
          <w:ilvl w:val="0"/>
          <w:numId w:val="13"/>
        </w:numPr>
        <w:spacing w:line="560" w:lineRule="exact"/>
        <w:ind w:firstLine="600"/>
        <w:rPr>
          <w:rFonts w:eastAsia="方正仿宋简体"/>
          <w:sz w:val="30"/>
          <w:szCs w:val="30"/>
        </w:rPr>
      </w:pPr>
      <w:r>
        <w:rPr>
          <w:rFonts w:eastAsia="方正仿宋简体"/>
          <w:sz w:val="30"/>
          <w:szCs w:val="30"/>
        </w:rPr>
        <w:t>在证券公司开户6个月以上并具备融资融券业务参与资格或者金融期货交易经历；或者在期货公司开户6个月以上并具有金融期货交易经历；</w:t>
      </w:r>
    </w:p>
    <w:p>
      <w:pPr>
        <w:spacing w:line="560" w:lineRule="exact"/>
        <w:ind w:firstLine="600" w:firstLineChars="200"/>
        <w:rPr>
          <w:rFonts w:eastAsia="方正仿宋简体"/>
          <w:sz w:val="30"/>
          <w:szCs w:val="30"/>
        </w:rPr>
      </w:pPr>
      <w:r>
        <w:rPr>
          <w:rFonts w:eastAsia="方正仿宋简体"/>
          <w:sz w:val="30"/>
          <w:szCs w:val="30"/>
        </w:rPr>
        <w:t>认定标准：投资者在本公司或其他证券公司开立深市或沪市A股证券账户，其深市A股证券账户开立合计满六个月，或其沪市A股证券账户开立合计满六个月；具备本公司或其他公司融资融券业务参与资格或者至少有一次金融期货交易经历。</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pStyle w:val="58"/>
        <w:numPr>
          <w:ilvl w:val="0"/>
          <w:numId w:val="13"/>
        </w:numPr>
        <w:spacing w:line="560" w:lineRule="exact"/>
        <w:ind w:firstLine="600"/>
        <w:rPr>
          <w:rFonts w:eastAsia="方正仿宋简体"/>
          <w:sz w:val="30"/>
          <w:szCs w:val="30"/>
        </w:rPr>
      </w:pPr>
      <w:r>
        <w:rPr>
          <w:rFonts w:eastAsia="方正仿宋简体"/>
          <w:sz w:val="30"/>
          <w:szCs w:val="30"/>
        </w:rPr>
        <w:t>具备期权基础知识，通过本所认可的相关测试；</w:t>
      </w:r>
    </w:p>
    <w:p>
      <w:pPr>
        <w:spacing w:line="560" w:lineRule="exact"/>
        <w:ind w:firstLine="600" w:firstLineChars="200"/>
        <w:rPr>
          <w:rFonts w:eastAsia="方正仿宋简体"/>
          <w:sz w:val="30"/>
          <w:szCs w:val="30"/>
        </w:rPr>
      </w:pPr>
      <w:r>
        <w:rPr>
          <w:rFonts w:eastAsia="方正仿宋简体"/>
          <w:sz w:val="30"/>
          <w:szCs w:val="30"/>
        </w:rPr>
        <w:t>认定标准：目前本所组织的期权知识测试有两种形式，期权经营机构在营业部组织的网上期权知识测试和本所统一组织的现场培训测试。通过知识测试的投资者，知识测试成绩长期有效，并可用于在其他期权经营机构申请开户。证券公司可登录本所期权知识测试后台管理系统查询投资者的知识测试成绩；投资者可通过本所期权知识测试系统查询本人测试成绩。</w:t>
      </w:r>
    </w:p>
    <w:p>
      <w:pPr>
        <w:spacing w:line="560" w:lineRule="exact"/>
        <w:ind w:firstLine="600" w:firstLineChars="200"/>
        <w:rPr>
          <w:rFonts w:eastAsia="方正仿宋简体"/>
          <w:sz w:val="30"/>
          <w:szCs w:val="30"/>
        </w:rPr>
      </w:pPr>
      <w:r>
        <w:rPr>
          <w:rFonts w:eastAsia="方正仿宋简体"/>
          <w:sz w:val="30"/>
          <w:szCs w:val="30"/>
        </w:rPr>
        <w:t>已开立沪市衍生品合约账户</w:t>
      </w:r>
      <w:r>
        <w:rPr>
          <w:rFonts w:hint="eastAsia" w:eastAsia="方正仿宋简体"/>
          <w:sz w:val="30"/>
          <w:szCs w:val="30"/>
        </w:rPr>
        <w:t>或</w:t>
      </w:r>
      <w:r>
        <w:rPr>
          <w:rFonts w:hint="eastAsia" w:eastAsia="方正仿宋简体"/>
          <w:sz w:val="30"/>
          <w:szCs w:val="30"/>
          <w:lang w:eastAsia="zh-CN"/>
        </w:rPr>
        <w:t>者中国金融期货交易所（以下简称</w:t>
      </w:r>
      <w:r>
        <w:rPr>
          <w:rFonts w:hint="eastAsia" w:eastAsia="方正仿宋简体"/>
          <w:sz w:val="30"/>
          <w:szCs w:val="30"/>
        </w:rPr>
        <w:t>中金所</w:t>
      </w:r>
      <w:r>
        <w:rPr>
          <w:rFonts w:hint="eastAsia" w:eastAsia="方正仿宋简体"/>
          <w:sz w:val="30"/>
          <w:szCs w:val="30"/>
          <w:lang w:eastAsia="zh-CN"/>
        </w:rPr>
        <w:t>）</w:t>
      </w:r>
      <w:r>
        <w:rPr>
          <w:rFonts w:hint="eastAsia" w:eastAsia="方正仿宋简体"/>
          <w:sz w:val="30"/>
          <w:szCs w:val="30"/>
        </w:rPr>
        <w:t>交易编码</w:t>
      </w:r>
      <w:r>
        <w:rPr>
          <w:rFonts w:eastAsia="方正仿宋简体"/>
          <w:sz w:val="30"/>
          <w:szCs w:val="30"/>
        </w:rPr>
        <w:t>的投资者，视同符合本条要求。</w:t>
      </w:r>
    </w:p>
    <w:p>
      <w:pPr>
        <w:pStyle w:val="58"/>
        <w:numPr>
          <w:ilvl w:val="0"/>
          <w:numId w:val="13"/>
        </w:numPr>
        <w:spacing w:line="560" w:lineRule="exact"/>
        <w:ind w:firstLine="600"/>
        <w:rPr>
          <w:rFonts w:eastAsia="方正仿宋简体"/>
          <w:sz w:val="30"/>
          <w:szCs w:val="30"/>
        </w:rPr>
      </w:pPr>
      <w:r>
        <w:rPr>
          <w:rFonts w:eastAsia="方正仿宋简体"/>
          <w:sz w:val="30"/>
          <w:szCs w:val="30"/>
        </w:rPr>
        <w:t>具有本所认可的股票期权模拟交易经历；</w:t>
      </w:r>
    </w:p>
    <w:p>
      <w:pPr>
        <w:spacing w:line="560" w:lineRule="exact"/>
        <w:ind w:firstLine="600" w:firstLineChars="200"/>
        <w:rPr>
          <w:rFonts w:eastAsia="方正仿宋简体"/>
          <w:sz w:val="30"/>
          <w:szCs w:val="30"/>
        </w:rPr>
      </w:pPr>
      <w:r>
        <w:rPr>
          <w:rFonts w:eastAsia="方正仿宋简体"/>
          <w:sz w:val="30"/>
          <w:szCs w:val="30"/>
        </w:rPr>
        <w:t>认定标准：投资者期权模拟交易经历，依据其参与本所期权模拟交易的记录数据予以核定。</w:t>
      </w:r>
    </w:p>
    <w:p>
      <w:pPr>
        <w:spacing w:line="560" w:lineRule="exact"/>
        <w:ind w:firstLine="600" w:firstLineChars="200"/>
        <w:rPr>
          <w:rFonts w:eastAsia="方正仿宋简体"/>
          <w:sz w:val="30"/>
          <w:szCs w:val="30"/>
        </w:rPr>
      </w:pPr>
      <w:r>
        <w:rPr>
          <w:rFonts w:eastAsia="方正仿宋简体"/>
          <w:sz w:val="30"/>
          <w:szCs w:val="30"/>
        </w:rPr>
        <w:t>若投资者除</w:t>
      </w:r>
      <w:r>
        <w:rPr>
          <w:rFonts w:hint="eastAsia" w:ascii="方正仿宋简体" w:eastAsia="方正仿宋简体"/>
          <w:sz w:val="30"/>
          <w:szCs w:val="30"/>
        </w:rPr>
        <w:t>“</w:t>
      </w:r>
      <w:r>
        <w:rPr>
          <w:rFonts w:eastAsia="方正仿宋简体"/>
          <w:sz w:val="30"/>
          <w:szCs w:val="30"/>
        </w:rPr>
        <w:t>行权</w:t>
      </w:r>
      <w:r>
        <w:rPr>
          <w:rFonts w:hint="eastAsia" w:ascii="方正仿宋简体" w:eastAsia="方正仿宋简体"/>
          <w:sz w:val="30"/>
          <w:szCs w:val="30"/>
        </w:rPr>
        <w:t>”</w:t>
      </w:r>
      <w:r>
        <w:rPr>
          <w:rFonts w:eastAsia="方正仿宋简体"/>
          <w:sz w:val="30"/>
          <w:szCs w:val="30"/>
        </w:rPr>
        <w:t>经历外，已满足开户所需的其他适当性准入条件，且投资者愿意书面承诺</w:t>
      </w:r>
      <w:r>
        <w:rPr>
          <w:rFonts w:hint="eastAsia" w:ascii="方正仿宋简体" w:eastAsia="方正仿宋简体"/>
          <w:sz w:val="30"/>
          <w:szCs w:val="30"/>
        </w:rPr>
        <w:t>“</w:t>
      </w:r>
      <w:r>
        <w:rPr>
          <w:rFonts w:eastAsia="方正仿宋简体"/>
          <w:sz w:val="30"/>
          <w:szCs w:val="30"/>
        </w:rPr>
        <w:t>在期权模拟交易下一个行权日完成行权操作</w:t>
      </w:r>
      <w:r>
        <w:rPr>
          <w:rFonts w:hint="eastAsia" w:ascii="方正仿宋简体" w:eastAsia="方正仿宋简体"/>
          <w:sz w:val="30"/>
          <w:szCs w:val="30"/>
        </w:rPr>
        <w:t>”</w:t>
      </w:r>
      <w:r>
        <w:rPr>
          <w:rFonts w:eastAsia="方正仿宋简体"/>
          <w:sz w:val="30"/>
          <w:szCs w:val="30"/>
        </w:rPr>
        <w:t>的，期权经营机构可先行为其开户。期权经营机构应当督促投资者在下一个行权日完成</w:t>
      </w:r>
      <w:r>
        <w:rPr>
          <w:rFonts w:hint="eastAsia" w:ascii="方正仿宋简体" w:eastAsia="方正仿宋简体"/>
          <w:sz w:val="30"/>
          <w:szCs w:val="30"/>
        </w:rPr>
        <w:t>“</w:t>
      </w:r>
      <w:r>
        <w:rPr>
          <w:rFonts w:eastAsia="方正仿宋简体"/>
          <w:sz w:val="30"/>
          <w:szCs w:val="30"/>
        </w:rPr>
        <w:t>行权</w:t>
      </w:r>
      <w:r>
        <w:rPr>
          <w:rFonts w:hint="eastAsia" w:ascii="方正仿宋简体" w:eastAsia="方正仿宋简体"/>
          <w:sz w:val="30"/>
          <w:szCs w:val="30"/>
        </w:rPr>
        <w:t>”</w:t>
      </w:r>
      <w:r>
        <w:rPr>
          <w:rFonts w:eastAsia="方正仿宋简体"/>
          <w:sz w:val="30"/>
          <w:szCs w:val="30"/>
        </w:rPr>
        <w:t>操作。</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pStyle w:val="58"/>
        <w:numPr>
          <w:ilvl w:val="0"/>
          <w:numId w:val="13"/>
        </w:numPr>
        <w:spacing w:line="560" w:lineRule="exact"/>
        <w:ind w:firstLine="600"/>
        <w:rPr>
          <w:rFonts w:eastAsia="方正仿宋简体"/>
          <w:sz w:val="30"/>
          <w:szCs w:val="30"/>
        </w:rPr>
      </w:pPr>
      <w:r>
        <w:rPr>
          <w:rFonts w:eastAsia="方正仿宋简体"/>
          <w:sz w:val="30"/>
          <w:szCs w:val="30"/>
        </w:rPr>
        <w:t>具有相应的风险承受能力；</w:t>
      </w:r>
    </w:p>
    <w:p>
      <w:pPr>
        <w:spacing w:line="560" w:lineRule="exact"/>
        <w:ind w:firstLine="600" w:firstLineChars="200"/>
        <w:rPr>
          <w:rFonts w:eastAsia="方正仿宋简体"/>
          <w:sz w:val="30"/>
          <w:szCs w:val="30"/>
        </w:rPr>
      </w:pPr>
      <w:r>
        <w:rPr>
          <w:rFonts w:eastAsia="方正仿宋简体"/>
          <w:sz w:val="30"/>
          <w:szCs w:val="30"/>
        </w:rPr>
        <w:t>认定标准：证券公司应当对投资者的风险承受能力进行评估。1年内对该投资者进行过风险承受能力评估的，可不重做评估。</w:t>
      </w:r>
    </w:p>
    <w:p>
      <w:pPr>
        <w:spacing w:line="560" w:lineRule="exact"/>
        <w:ind w:firstLine="600" w:firstLineChars="200"/>
        <w:rPr>
          <w:rFonts w:eastAsia="方正仿宋简体"/>
          <w:sz w:val="30"/>
          <w:szCs w:val="30"/>
        </w:rPr>
      </w:pPr>
      <w:r>
        <w:rPr>
          <w:rFonts w:eastAsia="方正仿宋简体"/>
          <w:sz w:val="30"/>
          <w:szCs w:val="30"/>
        </w:rPr>
        <w:t>已开立沪市衍生品合约账户的投资者，视同符合本条要求。</w:t>
      </w:r>
    </w:p>
    <w:p>
      <w:pPr>
        <w:pStyle w:val="58"/>
        <w:numPr>
          <w:ilvl w:val="0"/>
          <w:numId w:val="13"/>
        </w:numPr>
        <w:spacing w:line="560" w:lineRule="exact"/>
        <w:ind w:firstLine="600"/>
        <w:rPr>
          <w:rFonts w:eastAsia="方正仿宋简体"/>
          <w:sz w:val="30"/>
          <w:szCs w:val="30"/>
        </w:rPr>
      </w:pPr>
      <w:r>
        <w:rPr>
          <w:rFonts w:eastAsia="方正仿宋简体"/>
          <w:sz w:val="30"/>
          <w:szCs w:val="30"/>
        </w:rPr>
        <w:t>不存在严重不良诚信记录，不存在法律、法规、规章和本所业务规则禁止或者限制从事股票期权交易的情形；</w:t>
      </w:r>
    </w:p>
    <w:p>
      <w:pPr>
        <w:spacing w:line="560" w:lineRule="exact"/>
        <w:ind w:firstLine="600" w:firstLineChars="200"/>
        <w:rPr>
          <w:rFonts w:eastAsia="方正仿宋简体"/>
          <w:sz w:val="30"/>
          <w:szCs w:val="30"/>
        </w:rPr>
      </w:pPr>
      <w:r>
        <w:rPr>
          <w:rFonts w:eastAsia="方正仿宋简体"/>
          <w:sz w:val="30"/>
          <w:szCs w:val="30"/>
        </w:rPr>
        <w:t>认定标准：法律、法规、规章禁止或者限制从事期权交易的情形，如国家外汇管理局《关于改革外商投资企业外汇资本金结汇管理方式的通知》规定，外商投资企业资本金及其结汇所得人民币资金不得直接或间接用于证券投资。证券公司应当加强外商投资企业客户的资金来源核查工作，必要时可以要求客户提交相关承诺书。</w:t>
      </w:r>
    </w:p>
    <w:p>
      <w:pPr>
        <w:pStyle w:val="58"/>
        <w:numPr>
          <w:ilvl w:val="0"/>
          <w:numId w:val="13"/>
        </w:numPr>
        <w:spacing w:line="560" w:lineRule="exact"/>
        <w:ind w:firstLine="600"/>
        <w:rPr>
          <w:rFonts w:eastAsia="方正仿宋简体"/>
          <w:sz w:val="30"/>
          <w:szCs w:val="30"/>
        </w:rPr>
      </w:pPr>
      <w:r>
        <w:rPr>
          <w:rFonts w:eastAsia="方正仿宋简体"/>
          <w:sz w:val="30"/>
          <w:szCs w:val="30"/>
        </w:rPr>
        <w:t>本所规定的其他条件。</w:t>
      </w:r>
    </w:p>
    <w:p>
      <w:pPr>
        <w:spacing w:line="560" w:lineRule="exact"/>
        <w:ind w:firstLine="600" w:firstLineChars="200"/>
        <w:rPr>
          <w:rFonts w:eastAsia="方正仿宋简体"/>
          <w:sz w:val="30"/>
          <w:szCs w:val="30"/>
        </w:rPr>
      </w:pPr>
      <w:bookmarkStart w:id="76" w:name="_Toc406438887"/>
      <w:r>
        <w:rPr>
          <w:rFonts w:eastAsia="方正仿宋简体"/>
          <w:sz w:val="30"/>
          <w:szCs w:val="30"/>
        </w:rPr>
        <w:t>个人投资者参与股票期权交易，应通过证券公司组织的股票期权投资者适当性综合评估。满足《深圳证券交易所股票期权试点投资者适当性管理指引》相关要求的港澳台投资者可参与期权交易。</w:t>
      </w:r>
    </w:p>
    <w:p>
      <w:pPr>
        <w:pStyle w:val="7"/>
        <w:numPr>
          <w:ilvl w:val="0"/>
          <w:numId w:val="12"/>
        </w:numPr>
        <w:spacing w:before="0" w:after="0" w:line="560" w:lineRule="exact"/>
        <w:ind w:left="0" w:firstLine="601" w:firstLineChars="200"/>
        <w:rPr>
          <w:rFonts w:eastAsia="方正仿宋简体"/>
          <w:sz w:val="30"/>
          <w:szCs w:val="30"/>
        </w:rPr>
      </w:pPr>
      <w:bookmarkStart w:id="77" w:name="_Toc460944567"/>
      <w:r>
        <w:rPr>
          <w:rFonts w:eastAsia="方正仿宋简体"/>
          <w:sz w:val="30"/>
          <w:szCs w:val="30"/>
        </w:rPr>
        <w:t>普通机构投资者</w:t>
      </w:r>
      <w:bookmarkEnd w:id="76"/>
      <w:bookmarkEnd w:id="77"/>
    </w:p>
    <w:p>
      <w:pPr>
        <w:spacing w:line="560" w:lineRule="exact"/>
        <w:ind w:firstLine="600" w:firstLineChars="200"/>
        <w:rPr>
          <w:rFonts w:eastAsia="方正仿宋简体"/>
          <w:sz w:val="30"/>
          <w:szCs w:val="30"/>
        </w:rPr>
      </w:pPr>
      <w:bookmarkStart w:id="78" w:name="_Toc406438888"/>
      <w:r>
        <w:rPr>
          <w:rFonts w:eastAsia="方正仿宋简体"/>
          <w:sz w:val="30"/>
          <w:szCs w:val="30"/>
        </w:rPr>
        <w:t>普通机构投资者参与股票期权交易，应当符合下列条件，具体认定标准参照个人投资者执行：</w:t>
      </w:r>
    </w:p>
    <w:p>
      <w:pPr>
        <w:pStyle w:val="58"/>
        <w:numPr>
          <w:ilvl w:val="0"/>
          <w:numId w:val="14"/>
        </w:numPr>
        <w:spacing w:line="560" w:lineRule="exact"/>
        <w:ind w:firstLine="600"/>
        <w:rPr>
          <w:rFonts w:eastAsia="方正仿宋简体"/>
          <w:sz w:val="30"/>
          <w:szCs w:val="30"/>
        </w:rPr>
      </w:pPr>
      <w:r>
        <w:rPr>
          <w:rFonts w:eastAsia="方正仿宋简体"/>
          <w:sz w:val="30"/>
          <w:szCs w:val="30"/>
        </w:rPr>
        <w:t>申请开户前20个交易日证券账户及资金账户内的资产日均不低于人民币 100万元（不包括该投资者通过融资融券融入的资金和证券）。</w:t>
      </w:r>
    </w:p>
    <w:p>
      <w:pPr>
        <w:pStyle w:val="58"/>
        <w:spacing w:line="560" w:lineRule="exact"/>
        <w:ind w:firstLine="600"/>
        <w:rPr>
          <w:rFonts w:eastAsia="方正仿宋简体"/>
          <w:sz w:val="30"/>
          <w:szCs w:val="30"/>
        </w:rPr>
      </w:pPr>
      <w:r>
        <w:rPr>
          <w:rFonts w:eastAsia="方正仿宋简体"/>
          <w:sz w:val="30"/>
          <w:szCs w:val="30"/>
        </w:rPr>
        <w:t>已开立沪市衍生品合约账户的普通机构投资者，视同符合本条要求；</w:t>
      </w:r>
    </w:p>
    <w:p>
      <w:pPr>
        <w:pStyle w:val="58"/>
        <w:numPr>
          <w:ilvl w:val="0"/>
          <w:numId w:val="14"/>
        </w:numPr>
        <w:spacing w:line="560" w:lineRule="exact"/>
        <w:ind w:firstLine="600"/>
        <w:rPr>
          <w:rFonts w:eastAsia="方正仿宋简体"/>
          <w:sz w:val="30"/>
          <w:szCs w:val="30"/>
        </w:rPr>
      </w:pPr>
      <w:r>
        <w:rPr>
          <w:rFonts w:eastAsia="方正仿宋简体"/>
          <w:sz w:val="30"/>
          <w:szCs w:val="30"/>
        </w:rPr>
        <w:t>上一季度末净资产不低于人民币100万元（新成立的机构取最近净资产）。</w:t>
      </w:r>
    </w:p>
    <w:p>
      <w:pPr>
        <w:pStyle w:val="58"/>
        <w:spacing w:line="560" w:lineRule="exact"/>
        <w:ind w:firstLine="600"/>
        <w:rPr>
          <w:rFonts w:eastAsia="方正仿宋简体"/>
          <w:sz w:val="30"/>
          <w:szCs w:val="30"/>
        </w:rPr>
      </w:pPr>
      <w:r>
        <w:rPr>
          <w:rFonts w:eastAsia="方正仿宋简体"/>
          <w:sz w:val="30"/>
          <w:szCs w:val="30"/>
        </w:rPr>
        <w:t>已开立沪市衍生品合约账户的普通机构投资者，视同符合本条要求；</w:t>
      </w:r>
    </w:p>
    <w:p>
      <w:pPr>
        <w:pStyle w:val="58"/>
        <w:numPr>
          <w:ilvl w:val="0"/>
          <w:numId w:val="14"/>
        </w:numPr>
        <w:spacing w:line="560" w:lineRule="exact"/>
        <w:ind w:firstLine="600"/>
        <w:rPr>
          <w:rFonts w:eastAsia="方正仿宋简体"/>
          <w:sz w:val="30"/>
          <w:szCs w:val="30"/>
        </w:rPr>
      </w:pPr>
      <w:r>
        <w:rPr>
          <w:rFonts w:eastAsia="方正仿宋简体"/>
          <w:sz w:val="30"/>
          <w:szCs w:val="30"/>
        </w:rPr>
        <w:t>相关业务人员具备期权基础知识，通过本所认可的相关知识测试。相关业务人员主要是指股票期权投资决策人员以及交易人员。</w:t>
      </w:r>
    </w:p>
    <w:p>
      <w:pPr>
        <w:pStyle w:val="58"/>
        <w:spacing w:line="560" w:lineRule="exact"/>
        <w:ind w:firstLine="600"/>
        <w:rPr>
          <w:rFonts w:eastAsia="方正仿宋简体"/>
          <w:sz w:val="30"/>
          <w:szCs w:val="30"/>
        </w:rPr>
      </w:pPr>
      <w:r>
        <w:rPr>
          <w:rFonts w:eastAsia="方正仿宋简体"/>
          <w:sz w:val="30"/>
          <w:szCs w:val="30"/>
        </w:rPr>
        <w:t>已开立沪市衍生品合约账户</w:t>
      </w:r>
      <w:r>
        <w:rPr>
          <w:rFonts w:hint="eastAsia" w:eastAsia="方正仿宋简体"/>
          <w:sz w:val="30"/>
          <w:szCs w:val="30"/>
        </w:rPr>
        <w:t>或</w:t>
      </w:r>
      <w:r>
        <w:rPr>
          <w:rFonts w:hint="eastAsia" w:eastAsia="方正仿宋简体"/>
          <w:sz w:val="30"/>
          <w:szCs w:val="30"/>
          <w:lang w:eastAsia="zh-CN"/>
        </w:rPr>
        <w:t>者</w:t>
      </w:r>
      <w:r>
        <w:rPr>
          <w:rFonts w:hint="eastAsia" w:eastAsia="方正仿宋简体"/>
          <w:sz w:val="30"/>
          <w:szCs w:val="30"/>
        </w:rPr>
        <w:t>中金所交易编码</w:t>
      </w:r>
      <w:r>
        <w:rPr>
          <w:rFonts w:eastAsia="方正仿宋简体"/>
          <w:sz w:val="30"/>
          <w:szCs w:val="30"/>
        </w:rPr>
        <w:t>的普通机构投资者，视同符合本条要求；</w:t>
      </w:r>
    </w:p>
    <w:p>
      <w:pPr>
        <w:pStyle w:val="58"/>
        <w:numPr>
          <w:ilvl w:val="0"/>
          <w:numId w:val="14"/>
        </w:numPr>
        <w:spacing w:line="560" w:lineRule="exact"/>
        <w:ind w:firstLine="600"/>
        <w:rPr>
          <w:rFonts w:eastAsia="方正仿宋简体"/>
          <w:sz w:val="30"/>
          <w:szCs w:val="30"/>
        </w:rPr>
      </w:pPr>
      <w:r>
        <w:rPr>
          <w:rFonts w:eastAsia="方正仿宋简体"/>
          <w:sz w:val="30"/>
          <w:szCs w:val="30"/>
        </w:rPr>
        <w:t>相关业务人员具有与三级期权交易权限相对应的本所认可的期权模拟交易经历（通过该机构开设的期权模拟账户来完成）。</w:t>
      </w:r>
    </w:p>
    <w:p>
      <w:pPr>
        <w:pStyle w:val="58"/>
        <w:spacing w:line="560" w:lineRule="exact"/>
        <w:ind w:firstLine="600"/>
        <w:rPr>
          <w:rFonts w:eastAsia="方正仿宋简体"/>
          <w:sz w:val="30"/>
          <w:szCs w:val="30"/>
        </w:rPr>
      </w:pPr>
      <w:r>
        <w:rPr>
          <w:rFonts w:eastAsia="方正仿宋简体"/>
          <w:sz w:val="30"/>
          <w:szCs w:val="30"/>
        </w:rPr>
        <w:t>已开立沪市衍生品合约账户的普通机构投资者，视同符合本条要求；</w:t>
      </w:r>
    </w:p>
    <w:p>
      <w:pPr>
        <w:pStyle w:val="58"/>
        <w:numPr>
          <w:ilvl w:val="0"/>
          <w:numId w:val="14"/>
        </w:numPr>
        <w:spacing w:line="560" w:lineRule="exact"/>
        <w:ind w:firstLine="600"/>
        <w:rPr>
          <w:rFonts w:eastAsia="方正仿宋简体"/>
          <w:sz w:val="30"/>
          <w:szCs w:val="30"/>
        </w:rPr>
      </w:pPr>
      <w:r>
        <w:rPr>
          <w:rFonts w:eastAsia="方正仿宋简体"/>
          <w:sz w:val="30"/>
          <w:szCs w:val="30"/>
        </w:rPr>
        <w:t>不存在严重不良诚信记录和法律、法规、规章和本所业务规则禁止或者限制从事股票期权交易的情形；</w:t>
      </w:r>
    </w:p>
    <w:p>
      <w:pPr>
        <w:pStyle w:val="58"/>
        <w:numPr>
          <w:ilvl w:val="0"/>
          <w:numId w:val="14"/>
        </w:numPr>
        <w:spacing w:line="560" w:lineRule="exact"/>
        <w:ind w:firstLine="600"/>
        <w:rPr>
          <w:rFonts w:eastAsia="方正仿宋简体"/>
          <w:sz w:val="30"/>
          <w:szCs w:val="30"/>
        </w:rPr>
      </w:pPr>
      <w:r>
        <w:rPr>
          <w:rFonts w:eastAsia="方正仿宋简体"/>
          <w:sz w:val="30"/>
          <w:szCs w:val="30"/>
        </w:rPr>
        <w:t>本所规定的其他条件。</w:t>
      </w:r>
    </w:p>
    <w:p>
      <w:pPr>
        <w:pStyle w:val="7"/>
        <w:numPr>
          <w:ilvl w:val="0"/>
          <w:numId w:val="12"/>
        </w:numPr>
        <w:spacing w:before="0" w:after="0" w:line="560" w:lineRule="exact"/>
        <w:ind w:left="0" w:firstLine="601" w:firstLineChars="200"/>
        <w:rPr>
          <w:rFonts w:eastAsia="方正仿宋简体"/>
          <w:sz w:val="30"/>
          <w:szCs w:val="30"/>
        </w:rPr>
      </w:pPr>
      <w:bookmarkStart w:id="79" w:name="_Toc460944568"/>
      <w:r>
        <w:rPr>
          <w:rFonts w:eastAsia="方正仿宋简体"/>
          <w:sz w:val="30"/>
          <w:szCs w:val="30"/>
        </w:rPr>
        <w:t>专业机构投资者</w:t>
      </w:r>
      <w:bookmarkEnd w:id="78"/>
      <w:bookmarkEnd w:id="79"/>
    </w:p>
    <w:p>
      <w:pPr>
        <w:spacing w:line="560" w:lineRule="exact"/>
        <w:ind w:firstLine="600" w:firstLineChars="200"/>
        <w:rPr>
          <w:rFonts w:eastAsia="方正仿宋简体"/>
          <w:sz w:val="30"/>
          <w:szCs w:val="30"/>
        </w:rPr>
      </w:pPr>
      <w:bookmarkStart w:id="80" w:name="_Toc406438889"/>
      <w:bookmarkStart w:id="81" w:name="_Toc408749984"/>
      <w:bookmarkStart w:id="82" w:name="_Toc29696"/>
      <w:bookmarkStart w:id="83" w:name="_Toc452017005"/>
      <w:bookmarkStart w:id="84" w:name="_Toc12636"/>
      <w:bookmarkStart w:id="85" w:name="_Toc28057"/>
      <w:r>
        <w:rPr>
          <w:rFonts w:eastAsia="方正仿宋简体"/>
          <w:sz w:val="30"/>
          <w:szCs w:val="30"/>
        </w:rPr>
        <w:t>除法律、法规、规章以及监管机构另有规定外，下列专业机构投资者参与股票期权交易，不对其进行适当性管理综合评估：</w:t>
      </w:r>
    </w:p>
    <w:p>
      <w:pPr>
        <w:pStyle w:val="58"/>
        <w:numPr>
          <w:ilvl w:val="0"/>
          <w:numId w:val="15"/>
        </w:numPr>
        <w:spacing w:line="560" w:lineRule="exact"/>
        <w:ind w:firstLine="600"/>
        <w:rPr>
          <w:rFonts w:eastAsia="方正仿宋简体"/>
          <w:sz w:val="30"/>
          <w:szCs w:val="30"/>
        </w:rPr>
      </w:pPr>
      <w:r>
        <w:rPr>
          <w:rFonts w:eastAsia="方正仿宋简体"/>
          <w:sz w:val="30"/>
          <w:szCs w:val="30"/>
        </w:rPr>
        <w:t>商业银行、期权经营机构、保险机构、信托公司、基金管理公司、财务公司、合格境外机构投资者等专业机构及其分支机构；</w:t>
      </w:r>
    </w:p>
    <w:p>
      <w:pPr>
        <w:pStyle w:val="58"/>
        <w:numPr>
          <w:ilvl w:val="0"/>
          <w:numId w:val="15"/>
        </w:numPr>
        <w:spacing w:line="560" w:lineRule="exact"/>
        <w:ind w:firstLine="600"/>
        <w:rPr>
          <w:rFonts w:eastAsia="方正仿宋简体"/>
          <w:sz w:val="30"/>
          <w:szCs w:val="30"/>
        </w:rPr>
      </w:pPr>
      <w:r>
        <w:rPr>
          <w:rFonts w:eastAsia="方正仿宋简体"/>
          <w:sz w:val="30"/>
          <w:szCs w:val="30"/>
        </w:rPr>
        <w:t>证券投资基金、社保基金、养老基金、企业年金、信托计划、资产管理计划、银行及保险理财产品、在中国证券投资基金业协会备案的私募基金，以及由第一项所列专业机构担任管理人的其他基金或者受托投资的资产；</w:t>
      </w:r>
    </w:p>
    <w:p>
      <w:pPr>
        <w:pStyle w:val="58"/>
        <w:numPr>
          <w:ilvl w:val="0"/>
          <w:numId w:val="15"/>
        </w:numPr>
        <w:spacing w:line="560" w:lineRule="exact"/>
        <w:ind w:firstLine="600"/>
        <w:rPr>
          <w:rFonts w:eastAsia="方正仿宋简体"/>
          <w:sz w:val="30"/>
          <w:szCs w:val="30"/>
        </w:rPr>
      </w:pPr>
      <w:r>
        <w:rPr>
          <w:rFonts w:eastAsia="方正仿宋简体"/>
          <w:sz w:val="30"/>
          <w:szCs w:val="30"/>
        </w:rPr>
        <w:t>监管机构及本所规定的其他专业机构投资者。</w:t>
      </w:r>
    </w:p>
    <w:p>
      <w:pPr>
        <w:spacing w:line="560" w:lineRule="exact"/>
        <w:ind w:firstLine="600" w:firstLineChars="200"/>
        <w:rPr>
          <w:rFonts w:eastAsia="方正仿宋简体"/>
          <w:sz w:val="30"/>
          <w:szCs w:val="30"/>
        </w:rPr>
      </w:pPr>
      <w:r>
        <w:rPr>
          <w:rFonts w:eastAsia="方正仿宋简体"/>
          <w:sz w:val="30"/>
          <w:szCs w:val="30"/>
        </w:rPr>
        <w:t>股票期权上线初期，根据《深圳证券交易所深港通业务实施办法》，深股通投资者暂时不能交易股票期权产品。根据《</w:t>
      </w:r>
      <w:r>
        <w:rPr>
          <w:rFonts w:hint="eastAsia" w:eastAsia="方正仿宋简体"/>
          <w:sz w:val="30"/>
          <w:szCs w:val="30"/>
        </w:rPr>
        <w:t>合格境外机构投资者和人民币合格境外机构投资者境内证券期货投资管理办法</w:t>
      </w:r>
      <w:r>
        <w:rPr>
          <w:rFonts w:eastAsia="方正仿宋简体"/>
          <w:sz w:val="30"/>
          <w:szCs w:val="30"/>
        </w:rPr>
        <w:t>》</w:t>
      </w:r>
      <w:r>
        <w:rPr>
          <w:rFonts w:hint="eastAsia" w:eastAsia="方正仿宋简体"/>
          <w:sz w:val="30"/>
          <w:szCs w:val="30"/>
        </w:rPr>
        <w:t>《关于合格境外机构投资者和人民币合格境外机构投资者参与股票期权交易的公告》，允许合格境外投资者参与本所上市的交易型开放式指数基金期权（ETF期权）交易，交易目的限于套期保值交易</w:t>
      </w:r>
      <w:r>
        <w:rPr>
          <w:rFonts w:eastAsia="方正仿宋简体"/>
          <w:sz w:val="30"/>
          <w:szCs w:val="30"/>
        </w:rPr>
        <w:t>。</w:t>
      </w:r>
    </w:p>
    <w:bookmarkEnd w:id="80"/>
    <w:bookmarkEnd w:id="81"/>
    <w:bookmarkEnd w:id="82"/>
    <w:bookmarkEnd w:id="83"/>
    <w:bookmarkEnd w:id="84"/>
    <w:bookmarkEnd w:id="85"/>
    <w:p>
      <w:pPr>
        <w:pStyle w:val="5"/>
        <w:numPr>
          <w:ilvl w:val="0"/>
          <w:numId w:val="11"/>
        </w:numPr>
        <w:spacing w:before="0" w:after="0" w:line="560" w:lineRule="exact"/>
        <w:ind w:left="0" w:firstLine="601" w:firstLineChars="200"/>
        <w:rPr>
          <w:rFonts w:ascii="Times New Roman" w:hAnsi="Times New Roman" w:eastAsia="方正仿宋简体"/>
          <w:sz w:val="30"/>
          <w:szCs w:val="30"/>
        </w:rPr>
      </w:pPr>
      <w:bookmarkStart w:id="86" w:name="_Toc25049468"/>
      <w:bookmarkStart w:id="87" w:name="_Toc460944569"/>
      <w:r>
        <w:rPr>
          <w:rFonts w:ascii="Times New Roman" w:hAnsi="Times New Roman" w:eastAsia="方正仿宋简体"/>
          <w:sz w:val="30"/>
          <w:szCs w:val="30"/>
        </w:rPr>
        <w:t>综合评估</w:t>
      </w:r>
      <w:bookmarkEnd w:id="86"/>
      <w:bookmarkEnd w:id="87"/>
    </w:p>
    <w:p>
      <w:pPr>
        <w:spacing w:line="560" w:lineRule="exact"/>
        <w:ind w:firstLine="600" w:firstLineChars="200"/>
        <w:rPr>
          <w:rFonts w:eastAsia="方正仿宋简体"/>
          <w:sz w:val="30"/>
          <w:szCs w:val="30"/>
        </w:rPr>
      </w:pPr>
      <w:bookmarkStart w:id="88" w:name="_Toc3673"/>
      <w:bookmarkStart w:id="89" w:name="_Toc406438890"/>
      <w:bookmarkStart w:id="90" w:name="_Toc19277"/>
      <w:bookmarkStart w:id="91" w:name="_Toc21860"/>
      <w:bookmarkStart w:id="92" w:name="_Toc452017006"/>
      <w:bookmarkStart w:id="93" w:name="_Toc408749985"/>
      <w:r>
        <w:rPr>
          <w:rFonts w:eastAsia="方正仿宋简体"/>
          <w:sz w:val="30"/>
          <w:szCs w:val="30"/>
        </w:rPr>
        <w:t>证券公司应当制定期权投资者适当性管理综合评估（以下简称综合评估）的实施办法，选择适当的投资者参与股票期权交易。</w:t>
      </w:r>
    </w:p>
    <w:p>
      <w:pPr>
        <w:spacing w:line="560" w:lineRule="exact"/>
        <w:ind w:firstLine="600" w:firstLineChars="200"/>
        <w:rPr>
          <w:rFonts w:eastAsia="方正仿宋简体"/>
          <w:sz w:val="30"/>
          <w:szCs w:val="30"/>
        </w:rPr>
      </w:pPr>
      <w:r>
        <w:rPr>
          <w:rFonts w:eastAsia="方正仿宋简体"/>
          <w:sz w:val="30"/>
          <w:szCs w:val="30"/>
        </w:rPr>
        <w:t>证券公司应当对个人投资者的基本情况、风险承受能力、相关投资经历、金融类资产状况、期权知识水平等方面进行综合评估。证券公司可根据投资者适当性管理的相关规定，为客户制作《股票期权投资者适当性综合评估表》（参考样表见附件1），经确认后存档备查。综合评估分数低于证券公司设定分值的，证券公司不得为其办理开户。证券公司应当向客户明确告知综合评估结果，提示其审慎参与期权交易，并对所做提示记录留存。</w:t>
      </w:r>
    </w:p>
    <w:p>
      <w:pPr>
        <w:spacing w:line="560" w:lineRule="exact"/>
        <w:ind w:firstLine="600" w:firstLineChars="200"/>
        <w:rPr>
          <w:rFonts w:eastAsia="方正仿宋简体"/>
          <w:sz w:val="30"/>
          <w:szCs w:val="30"/>
        </w:rPr>
      </w:pPr>
      <w:r>
        <w:rPr>
          <w:rFonts w:eastAsia="方正仿宋简体"/>
          <w:sz w:val="30"/>
          <w:szCs w:val="30"/>
        </w:rPr>
        <w:t>对已开立沪市衍生品合约账户，且满足不存在严重不良诚信记录，不存在法律、法规、规章和本所业务规则禁止或者限制从事股票期权交易的情形要求的投资者，视同通过适当性综合评估，证券公司无需为其制作《股票期权投资者适当性综合评估表》。</w:t>
      </w:r>
    </w:p>
    <w:p>
      <w:pPr>
        <w:spacing w:line="560" w:lineRule="exact"/>
        <w:ind w:firstLine="600" w:firstLineChars="200"/>
        <w:rPr>
          <w:rFonts w:eastAsia="方正仿宋简体"/>
          <w:sz w:val="30"/>
          <w:szCs w:val="30"/>
        </w:rPr>
      </w:pPr>
      <w:r>
        <w:rPr>
          <w:rFonts w:eastAsia="方正仿宋简体"/>
          <w:sz w:val="30"/>
          <w:szCs w:val="30"/>
        </w:rPr>
        <w:t>证券公司应当要求投资者进行现场开户，对于已经开立沪市衍生品合约账户的投资者，可在开立沪市衍生品合约账户的期权经营机构按照中国结算非现场开户有关规定通过见证、网上等方式开立深市衍生品合约账户。</w:t>
      </w:r>
    </w:p>
    <w:p>
      <w:pPr>
        <w:spacing w:line="560" w:lineRule="exact"/>
        <w:ind w:firstLine="600" w:firstLineChars="200"/>
        <w:rPr>
          <w:rFonts w:eastAsia="方正仿宋简体"/>
          <w:sz w:val="30"/>
          <w:szCs w:val="30"/>
        </w:rPr>
      </w:pPr>
      <w:r>
        <w:rPr>
          <w:rFonts w:eastAsia="方正仿宋简体"/>
          <w:sz w:val="30"/>
          <w:szCs w:val="30"/>
        </w:rPr>
        <w:t>本着</w:t>
      </w:r>
      <w:r>
        <w:rPr>
          <w:rFonts w:hint="eastAsia" w:ascii="方正仿宋简体" w:eastAsia="方正仿宋简体"/>
          <w:sz w:val="30"/>
          <w:szCs w:val="30"/>
        </w:rPr>
        <w:t>“</w:t>
      </w:r>
      <w:r>
        <w:rPr>
          <w:rFonts w:eastAsia="方正仿宋简体"/>
          <w:sz w:val="30"/>
          <w:szCs w:val="30"/>
        </w:rPr>
        <w:t>在哪里开户，由哪里负责适当性评估</w:t>
      </w:r>
      <w:r>
        <w:rPr>
          <w:rFonts w:hint="eastAsia" w:ascii="方正仿宋简体" w:eastAsia="方正仿宋简体"/>
          <w:sz w:val="30"/>
          <w:szCs w:val="30"/>
        </w:rPr>
        <w:t>”</w:t>
      </w:r>
      <w:r>
        <w:rPr>
          <w:rFonts w:eastAsia="方正仿宋简体"/>
          <w:sz w:val="30"/>
          <w:szCs w:val="30"/>
        </w:rPr>
        <w:t>的基本原则，期货公司IB介绍开户的投资者，其适当性管理由投资者开户所在证券公司负责。</w:t>
      </w:r>
    </w:p>
    <w:bookmarkEnd w:id="88"/>
    <w:bookmarkEnd w:id="89"/>
    <w:bookmarkEnd w:id="90"/>
    <w:bookmarkEnd w:id="91"/>
    <w:bookmarkEnd w:id="92"/>
    <w:bookmarkEnd w:id="93"/>
    <w:p>
      <w:pPr>
        <w:pStyle w:val="5"/>
        <w:numPr>
          <w:ilvl w:val="0"/>
          <w:numId w:val="11"/>
        </w:numPr>
        <w:spacing w:before="0" w:after="0" w:line="560" w:lineRule="exact"/>
        <w:ind w:left="0" w:firstLine="601" w:firstLineChars="200"/>
        <w:rPr>
          <w:rFonts w:ascii="Times New Roman" w:hAnsi="Times New Roman" w:eastAsia="方正仿宋简体"/>
          <w:sz w:val="30"/>
          <w:szCs w:val="30"/>
        </w:rPr>
      </w:pPr>
      <w:bookmarkStart w:id="94" w:name="_Toc25049469"/>
      <w:bookmarkStart w:id="95" w:name="_Toc460944570"/>
      <w:r>
        <w:rPr>
          <w:rFonts w:ascii="Times New Roman" w:hAnsi="Times New Roman" w:eastAsia="方正仿宋简体"/>
          <w:sz w:val="30"/>
          <w:szCs w:val="30"/>
        </w:rPr>
        <w:t>期权知识测试</w:t>
      </w:r>
      <w:bookmarkEnd w:id="94"/>
      <w:bookmarkEnd w:id="95"/>
    </w:p>
    <w:p>
      <w:pPr>
        <w:pStyle w:val="7"/>
        <w:numPr>
          <w:ilvl w:val="0"/>
          <w:numId w:val="16"/>
        </w:numPr>
        <w:spacing w:before="0" w:after="0" w:line="560" w:lineRule="exact"/>
        <w:ind w:left="0" w:firstLine="601" w:firstLineChars="200"/>
        <w:rPr>
          <w:rFonts w:eastAsia="方正仿宋简体"/>
          <w:sz w:val="30"/>
          <w:szCs w:val="30"/>
        </w:rPr>
      </w:pPr>
      <w:r>
        <w:rPr>
          <w:rFonts w:eastAsia="方正仿宋简体"/>
          <w:sz w:val="30"/>
          <w:szCs w:val="30"/>
        </w:rPr>
        <w:t>考试要求</w:t>
      </w:r>
    </w:p>
    <w:p>
      <w:pPr>
        <w:spacing w:line="560" w:lineRule="exact"/>
        <w:ind w:firstLine="600" w:firstLineChars="200"/>
        <w:rPr>
          <w:rFonts w:eastAsia="方正仿宋简体"/>
          <w:sz w:val="30"/>
          <w:szCs w:val="30"/>
        </w:rPr>
      </w:pPr>
      <w:r>
        <w:rPr>
          <w:rFonts w:eastAsia="方正仿宋简体"/>
          <w:sz w:val="30"/>
          <w:szCs w:val="30"/>
        </w:rPr>
        <w:t>证券公司可根据本公司实际情况及业务规划，在部分或全部分支机构开设期权知识测试考场。拟开设考场的营业部应按照以下</w:t>
      </w:r>
      <w:r>
        <w:rPr>
          <w:rFonts w:hint="eastAsia" w:ascii="方正仿宋简体" w:eastAsia="方正仿宋简体"/>
          <w:sz w:val="30"/>
          <w:szCs w:val="30"/>
        </w:rPr>
        <w:t>“</w:t>
      </w:r>
      <w:r>
        <w:rPr>
          <w:rFonts w:eastAsia="方正仿宋简体"/>
          <w:sz w:val="30"/>
          <w:szCs w:val="30"/>
        </w:rPr>
        <w:t>三个独立</w:t>
      </w:r>
      <w:r>
        <w:rPr>
          <w:rFonts w:hint="eastAsia" w:ascii="方正仿宋简体" w:eastAsia="方正仿宋简体"/>
          <w:sz w:val="30"/>
          <w:szCs w:val="30"/>
        </w:rPr>
        <w:t>”</w:t>
      </w:r>
      <w:r>
        <w:rPr>
          <w:rFonts w:eastAsia="方正仿宋简体"/>
          <w:sz w:val="30"/>
          <w:szCs w:val="30"/>
        </w:rPr>
        <w:t>要求在营业场所内设置考场：</w:t>
      </w:r>
    </w:p>
    <w:p>
      <w:pPr>
        <w:spacing w:line="560" w:lineRule="exact"/>
        <w:ind w:firstLine="600" w:firstLineChars="200"/>
        <w:rPr>
          <w:rFonts w:eastAsia="方正仿宋简体"/>
          <w:sz w:val="30"/>
          <w:szCs w:val="30"/>
        </w:rPr>
      </w:pPr>
      <w:r>
        <w:rPr>
          <w:rFonts w:eastAsia="方正仿宋简体"/>
          <w:sz w:val="30"/>
          <w:szCs w:val="30"/>
        </w:rPr>
        <w:t>区域独立：在营业部设置相对独立的区域用于投资者测试，场地大小可视营业场所实际情况确定。区内应张贴测试流程及纪律要求。</w:t>
      </w:r>
    </w:p>
    <w:p>
      <w:pPr>
        <w:spacing w:line="560" w:lineRule="exact"/>
        <w:ind w:firstLine="600" w:firstLineChars="200"/>
        <w:rPr>
          <w:rFonts w:eastAsia="方正仿宋简体"/>
          <w:sz w:val="30"/>
          <w:szCs w:val="30"/>
        </w:rPr>
      </w:pPr>
      <w:r>
        <w:rPr>
          <w:rFonts w:eastAsia="方正仿宋简体"/>
          <w:sz w:val="30"/>
          <w:szCs w:val="30"/>
        </w:rPr>
        <w:t>人员独立：应当由相对独立的人员（如股票期权工作人员或客服人员）组织测试。上述人员应具备一定的期权知识水平，同时熟悉测试组织要求、考试纪律和流程。在服务投资者测试的同时发挥监考作用。客户开发人员不得兼任测试组织人员。</w:t>
      </w:r>
    </w:p>
    <w:p>
      <w:pPr>
        <w:spacing w:line="560" w:lineRule="exact"/>
        <w:ind w:firstLine="600" w:firstLineChars="200"/>
        <w:rPr>
          <w:rFonts w:eastAsia="方正仿宋简体"/>
          <w:sz w:val="30"/>
          <w:szCs w:val="30"/>
        </w:rPr>
      </w:pPr>
      <w:r>
        <w:rPr>
          <w:rFonts w:eastAsia="方正仿宋简体"/>
          <w:sz w:val="30"/>
          <w:szCs w:val="30"/>
        </w:rPr>
        <w:t>电脑独立：应当配备相对独立的电脑，确保不会和其他业务用途冲突，其配置应当保证投资者能顺畅完成在线测试。</w:t>
      </w:r>
    </w:p>
    <w:p>
      <w:pPr>
        <w:pStyle w:val="7"/>
        <w:numPr>
          <w:ilvl w:val="0"/>
          <w:numId w:val="16"/>
        </w:numPr>
        <w:spacing w:before="0" w:after="0" w:line="560" w:lineRule="exact"/>
        <w:ind w:left="0" w:firstLine="601" w:firstLineChars="200"/>
        <w:rPr>
          <w:rFonts w:eastAsia="方正仿宋简体"/>
          <w:sz w:val="30"/>
          <w:szCs w:val="30"/>
        </w:rPr>
      </w:pPr>
      <w:r>
        <w:rPr>
          <w:rFonts w:eastAsia="方正仿宋简体"/>
          <w:sz w:val="30"/>
          <w:szCs w:val="30"/>
        </w:rPr>
        <w:t>考试纪律</w:t>
      </w:r>
    </w:p>
    <w:p>
      <w:pPr>
        <w:spacing w:line="560" w:lineRule="exact"/>
        <w:ind w:firstLine="600" w:firstLineChars="200"/>
        <w:rPr>
          <w:rFonts w:eastAsia="方正仿宋简体"/>
          <w:color w:val="000000"/>
          <w:sz w:val="30"/>
          <w:szCs w:val="30"/>
        </w:rPr>
      </w:pPr>
      <w:r>
        <w:rPr>
          <w:rFonts w:eastAsia="方正仿宋简体"/>
          <w:color w:val="000000"/>
          <w:sz w:val="30"/>
          <w:szCs w:val="30"/>
        </w:rPr>
        <w:t>证券公司应当负责核对投资者身份证明文件，确认投资者本人独立、自主完成考试。投资者在规定的考试时间内不得查阅任何参考资料（包括但不限于印刷资料、手机、电脑等渠道），不得向营业部监考工作人员询问与考试内容有关的信息。一旦发现作弊、替考等现象，本所将认定考试成绩无效。</w:t>
      </w:r>
    </w:p>
    <w:p>
      <w:pPr>
        <w:pStyle w:val="7"/>
        <w:numPr>
          <w:ilvl w:val="0"/>
          <w:numId w:val="16"/>
        </w:numPr>
        <w:spacing w:before="0" w:after="0" w:line="560" w:lineRule="exact"/>
        <w:ind w:left="0" w:firstLine="601" w:firstLineChars="200"/>
        <w:rPr>
          <w:rFonts w:eastAsia="方正仿宋简体"/>
          <w:sz w:val="30"/>
          <w:szCs w:val="30"/>
        </w:rPr>
      </w:pPr>
      <w:r>
        <w:rPr>
          <w:rFonts w:eastAsia="方正仿宋简体"/>
          <w:sz w:val="30"/>
          <w:szCs w:val="30"/>
        </w:rPr>
        <w:t>考试拍照</w:t>
      </w:r>
    </w:p>
    <w:p>
      <w:pPr>
        <w:spacing w:line="560" w:lineRule="exact"/>
        <w:ind w:firstLine="600" w:firstLineChars="200"/>
        <w:rPr>
          <w:rFonts w:eastAsia="方正仿宋简体"/>
          <w:color w:val="000000"/>
          <w:sz w:val="30"/>
          <w:szCs w:val="30"/>
        </w:rPr>
      </w:pPr>
      <w:r>
        <w:rPr>
          <w:rFonts w:eastAsia="方正仿宋简体"/>
          <w:color w:val="000000"/>
          <w:sz w:val="30"/>
          <w:szCs w:val="30"/>
        </w:rPr>
        <w:t>期权知识测试期间将通过测试系统采集7张照片（其中1张为测试者身份证照片，1张为测试者开始测试前拍摄照片，另外5张为测试期间随机时点摄像头抓拍照片）作为防范作弊手段，请测试者在测试期间使摄像头保持在可以拍到自己的方向。</w:t>
      </w:r>
    </w:p>
    <w:p>
      <w:pPr>
        <w:pStyle w:val="7"/>
        <w:numPr>
          <w:ilvl w:val="0"/>
          <w:numId w:val="16"/>
        </w:numPr>
        <w:spacing w:before="0" w:after="0" w:line="560" w:lineRule="exact"/>
        <w:ind w:left="0" w:firstLine="601" w:firstLineChars="200"/>
        <w:rPr>
          <w:rFonts w:eastAsia="方正仿宋简体"/>
          <w:sz w:val="30"/>
          <w:szCs w:val="30"/>
        </w:rPr>
      </w:pPr>
      <w:r>
        <w:rPr>
          <w:rFonts w:eastAsia="方正仿宋简体"/>
          <w:sz w:val="30"/>
          <w:szCs w:val="30"/>
        </w:rPr>
        <w:t>考试形式</w:t>
      </w:r>
    </w:p>
    <w:p>
      <w:pPr>
        <w:spacing w:line="560" w:lineRule="exact"/>
        <w:ind w:firstLine="600" w:firstLineChars="200"/>
        <w:rPr>
          <w:rFonts w:eastAsia="方正仿宋简体"/>
          <w:color w:val="000000"/>
          <w:sz w:val="30"/>
          <w:szCs w:val="30"/>
        </w:rPr>
      </w:pPr>
      <w:r>
        <w:rPr>
          <w:rFonts w:eastAsia="方正仿宋简体"/>
          <w:color w:val="000000"/>
          <w:sz w:val="30"/>
          <w:szCs w:val="30"/>
        </w:rPr>
        <w:t>个人期权投资者知识测试形式分为逐级考试和综合卷考试。</w:t>
      </w:r>
    </w:p>
    <w:p>
      <w:pPr>
        <w:spacing w:line="560" w:lineRule="exact"/>
        <w:ind w:firstLine="600" w:firstLineChars="200"/>
        <w:rPr>
          <w:rFonts w:eastAsia="方正仿宋简体"/>
          <w:color w:val="000000"/>
          <w:sz w:val="30"/>
          <w:szCs w:val="30"/>
        </w:rPr>
      </w:pPr>
      <w:r>
        <w:rPr>
          <w:rFonts w:eastAsia="方正仿宋简体"/>
          <w:color w:val="000000"/>
          <w:sz w:val="30"/>
          <w:szCs w:val="30"/>
        </w:rPr>
        <w:t>对于选择逐级考试的个人投资者，参加并通过一级考试后，才能参加二级考试；参加并通过一级、二级考试后，才能参加三级考试。对于每个级别的考试，投资者均可多次参加，直至成绩合格。</w:t>
      </w:r>
    </w:p>
    <w:p>
      <w:pPr>
        <w:spacing w:line="560" w:lineRule="exact"/>
        <w:ind w:firstLine="600" w:firstLineChars="200"/>
        <w:rPr>
          <w:rFonts w:eastAsia="方正仿宋简体"/>
          <w:sz w:val="30"/>
          <w:szCs w:val="30"/>
        </w:rPr>
      </w:pPr>
      <w:r>
        <w:rPr>
          <w:rFonts w:eastAsia="方正仿宋简体"/>
          <w:color w:val="000000"/>
          <w:sz w:val="30"/>
          <w:szCs w:val="30"/>
        </w:rPr>
        <w:t>对于选择综合卷考试的个人投资者，也可多次参加，成绩合格者直接成为三级投资者。</w:t>
      </w:r>
    </w:p>
    <w:p>
      <w:pPr>
        <w:spacing w:line="560" w:lineRule="exact"/>
        <w:ind w:firstLine="600" w:firstLineChars="200"/>
        <w:rPr>
          <w:rFonts w:eastAsia="方正仿宋简体"/>
          <w:sz w:val="30"/>
          <w:szCs w:val="30"/>
        </w:rPr>
      </w:pPr>
      <w:r>
        <w:rPr>
          <w:rFonts w:eastAsia="方正仿宋简体"/>
          <w:sz w:val="30"/>
          <w:szCs w:val="30"/>
        </w:rPr>
        <w:t>普通机构投资者相关业务人员须参加从业人员期权知识测试。</w:t>
      </w:r>
    </w:p>
    <w:p>
      <w:pPr>
        <w:pStyle w:val="7"/>
        <w:numPr>
          <w:ilvl w:val="0"/>
          <w:numId w:val="16"/>
        </w:numPr>
        <w:spacing w:before="0" w:after="0" w:line="560" w:lineRule="exact"/>
        <w:ind w:left="0" w:firstLine="601" w:firstLineChars="200"/>
        <w:rPr>
          <w:rFonts w:eastAsia="方正仿宋简体"/>
          <w:sz w:val="30"/>
          <w:szCs w:val="30"/>
        </w:rPr>
      </w:pPr>
      <w:r>
        <w:rPr>
          <w:rFonts w:eastAsia="方正仿宋简体"/>
          <w:sz w:val="30"/>
          <w:szCs w:val="30"/>
        </w:rPr>
        <w:t>考试题目范围与数量</w:t>
      </w:r>
    </w:p>
    <w:p>
      <w:pPr>
        <w:spacing w:line="560" w:lineRule="exact"/>
        <w:ind w:firstLine="600" w:firstLineChars="200"/>
        <w:rPr>
          <w:rFonts w:eastAsia="方正仿宋简体"/>
          <w:color w:val="000000"/>
          <w:sz w:val="30"/>
          <w:szCs w:val="30"/>
        </w:rPr>
      </w:pPr>
      <w:r>
        <w:rPr>
          <w:rFonts w:eastAsia="方正仿宋简体"/>
          <w:color w:val="000000"/>
          <w:sz w:val="30"/>
          <w:szCs w:val="30"/>
        </w:rPr>
        <w:t>一级投资者测试范围为期权基础知识、备兑开仓与保险策略，二级投资者测试范围为买入开仓，三级投资者测试范围为卖出开仓，综合试卷与从业人员测试范围为以上所有内容。逐级考试、综合考试和从业人员考试的测试题目均为20题。</w:t>
      </w:r>
    </w:p>
    <w:p>
      <w:pPr>
        <w:pStyle w:val="7"/>
        <w:numPr>
          <w:ilvl w:val="0"/>
          <w:numId w:val="16"/>
        </w:numPr>
        <w:spacing w:before="0" w:after="0" w:line="560" w:lineRule="exact"/>
        <w:ind w:left="0" w:firstLine="601" w:firstLineChars="200"/>
        <w:rPr>
          <w:rFonts w:eastAsia="方正仿宋简体"/>
          <w:sz w:val="30"/>
          <w:szCs w:val="30"/>
        </w:rPr>
      </w:pPr>
      <w:r>
        <w:rPr>
          <w:rFonts w:eastAsia="方正仿宋简体"/>
          <w:sz w:val="30"/>
          <w:szCs w:val="30"/>
        </w:rPr>
        <w:t>通过标准与考试时长</w:t>
      </w:r>
    </w:p>
    <w:p>
      <w:pPr>
        <w:spacing w:line="560" w:lineRule="exact"/>
        <w:ind w:firstLine="600" w:firstLineChars="200"/>
        <w:rPr>
          <w:rFonts w:eastAsia="方正仿宋简体"/>
          <w:color w:val="000000"/>
          <w:sz w:val="30"/>
          <w:szCs w:val="30"/>
        </w:rPr>
      </w:pPr>
      <w:r>
        <w:rPr>
          <w:rFonts w:eastAsia="方正仿宋简体"/>
          <w:color w:val="000000"/>
          <w:sz w:val="30"/>
          <w:szCs w:val="30"/>
        </w:rPr>
        <w:t>逐级考试、综合考试和从业人员考试测试时间均为30分钟，考试总分均为100分，测试成绩高于或等于70分为合格。</w:t>
      </w:r>
    </w:p>
    <w:p>
      <w:pPr>
        <w:spacing w:line="560" w:lineRule="exact"/>
        <w:ind w:firstLine="600" w:firstLineChars="200"/>
        <w:rPr>
          <w:rFonts w:eastAsia="方正仿宋简体"/>
          <w:sz w:val="30"/>
          <w:szCs w:val="30"/>
        </w:rPr>
      </w:pPr>
      <w:r>
        <w:rPr>
          <w:rFonts w:eastAsia="方正仿宋简体"/>
          <w:color w:val="000000"/>
          <w:sz w:val="30"/>
          <w:szCs w:val="30"/>
        </w:rPr>
        <w:t>测试时间满10分钟才允许交卷。</w:t>
      </w:r>
    </w:p>
    <w:p>
      <w:pPr>
        <w:pStyle w:val="5"/>
        <w:numPr>
          <w:ilvl w:val="0"/>
          <w:numId w:val="11"/>
        </w:numPr>
        <w:spacing w:before="0" w:after="0" w:line="560" w:lineRule="exact"/>
        <w:ind w:left="0" w:firstLine="601" w:firstLineChars="200"/>
        <w:rPr>
          <w:rFonts w:ascii="Times New Roman" w:hAnsi="Times New Roman" w:eastAsia="方正仿宋简体"/>
          <w:sz w:val="30"/>
          <w:szCs w:val="30"/>
        </w:rPr>
      </w:pPr>
      <w:bookmarkStart w:id="96" w:name="_Toc9870"/>
      <w:bookmarkStart w:id="97" w:name="_Toc406438891"/>
      <w:bookmarkStart w:id="98" w:name="_Toc460944571"/>
      <w:bookmarkStart w:id="99" w:name="_Toc25049470"/>
      <w:bookmarkStart w:id="100" w:name="_Toc6908"/>
      <w:bookmarkStart w:id="101" w:name="_Toc452017007"/>
      <w:bookmarkStart w:id="102" w:name="_Toc15423"/>
      <w:bookmarkStart w:id="103" w:name="_Toc408749986"/>
      <w:r>
        <w:rPr>
          <w:rFonts w:ascii="Times New Roman" w:hAnsi="Times New Roman" w:eastAsia="方正仿宋简体"/>
          <w:sz w:val="30"/>
          <w:szCs w:val="30"/>
        </w:rPr>
        <w:t>投资者分级管理</w:t>
      </w:r>
      <w:bookmarkEnd w:id="96"/>
      <w:bookmarkEnd w:id="97"/>
      <w:bookmarkEnd w:id="98"/>
      <w:bookmarkEnd w:id="99"/>
      <w:bookmarkEnd w:id="100"/>
      <w:bookmarkEnd w:id="101"/>
      <w:bookmarkEnd w:id="102"/>
      <w:bookmarkEnd w:id="103"/>
    </w:p>
    <w:p>
      <w:pPr>
        <w:pStyle w:val="7"/>
        <w:numPr>
          <w:ilvl w:val="0"/>
          <w:numId w:val="17"/>
        </w:numPr>
        <w:spacing w:before="0" w:after="0" w:line="560" w:lineRule="exact"/>
        <w:ind w:left="0" w:firstLine="601" w:firstLineChars="200"/>
        <w:rPr>
          <w:rFonts w:eastAsia="方正仿宋简体"/>
          <w:sz w:val="30"/>
          <w:szCs w:val="30"/>
        </w:rPr>
      </w:pPr>
      <w:bookmarkStart w:id="104" w:name="_Toc406438892"/>
      <w:bookmarkStart w:id="105" w:name="_Toc460944572"/>
      <w:bookmarkStart w:id="106" w:name="_Toc19077"/>
      <w:bookmarkStart w:id="107" w:name="_Toc9603"/>
      <w:bookmarkStart w:id="108" w:name="_Toc452017008"/>
      <w:bookmarkStart w:id="109" w:name="_Toc408749987"/>
      <w:bookmarkStart w:id="110" w:name="_Toc8410"/>
      <w:bookmarkStart w:id="111" w:name="_Toc406438894"/>
      <w:r>
        <w:rPr>
          <w:rFonts w:eastAsia="方正仿宋简体"/>
          <w:sz w:val="30"/>
          <w:szCs w:val="30"/>
        </w:rPr>
        <w:t>交易权限</w:t>
      </w:r>
      <w:bookmarkEnd w:id="104"/>
      <w:bookmarkEnd w:id="105"/>
    </w:p>
    <w:p>
      <w:pPr>
        <w:spacing w:line="560" w:lineRule="exact"/>
        <w:ind w:firstLine="600" w:firstLineChars="200"/>
        <w:rPr>
          <w:rFonts w:eastAsia="方正仿宋简体"/>
          <w:sz w:val="30"/>
          <w:szCs w:val="30"/>
        </w:rPr>
      </w:pPr>
      <w:r>
        <w:rPr>
          <w:rFonts w:eastAsia="方正仿宋简体"/>
          <w:sz w:val="30"/>
          <w:szCs w:val="30"/>
        </w:rPr>
        <w:t>个人投资者、普通机构投资者、专业机构投资者的交易权限参见《深圳证券交易所股票期权试点投资者适当性管理指引》。</w:t>
      </w:r>
    </w:p>
    <w:p>
      <w:pPr>
        <w:pStyle w:val="7"/>
        <w:numPr>
          <w:ilvl w:val="0"/>
          <w:numId w:val="17"/>
        </w:numPr>
        <w:spacing w:before="0" w:after="0" w:line="560" w:lineRule="exact"/>
        <w:ind w:left="0" w:firstLine="601" w:firstLineChars="200"/>
        <w:rPr>
          <w:rFonts w:eastAsia="方正仿宋简体"/>
          <w:sz w:val="30"/>
          <w:szCs w:val="30"/>
        </w:rPr>
      </w:pPr>
      <w:bookmarkStart w:id="112" w:name="_Toc460944573"/>
      <w:bookmarkStart w:id="113" w:name="_Toc406438893"/>
      <w:r>
        <w:rPr>
          <w:rFonts w:eastAsia="方正仿宋简体"/>
          <w:sz w:val="30"/>
          <w:szCs w:val="30"/>
        </w:rPr>
        <w:t>交易权限的申请条件</w:t>
      </w:r>
      <w:bookmarkEnd w:id="112"/>
      <w:bookmarkEnd w:id="113"/>
    </w:p>
    <w:p>
      <w:pPr>
        <w:spacing w:line="560" w:lineRule="exact"/>
        <w:ind w:firstLine="600" w:firstLineChars="200"/>
        <w:rPr>
          <w:rFonts w:eastAsia="方正仿宋简体"/>
          <w:sz w:val="30"/>
          <w:szCs w:val="30"/>
        </w:rPr>
      </w:pPr>
      <w:r>
        <w:rPr>
          <w:rFonts w:eastAsia="方正仿宋简体"/>
          <w:sz w:val="30"/>
          <w:szCs w:val="30"/>
        </w:rPr>
        <w:t>证券公司为投资者设置的交易权限不能超出为其评定的交易级别。证券公司应根据投资者交易权限的分级结果，对投资者的期权交易委托指令进行前端控制，对不符合交易权限的交易委托予以拒绝和制止。</w:t>
      </w:r>
    </w:p>
    <w:p>
      <w:pPr>
        <w:spacing w:line="560" w:lineRule="exact"/>
        <w:ind w:firstLine="600" w:firstLineChars="200"/>
        <w:rPr>
          <w:rFonts w:eastAsia="方正仿宋简体"/>
          <w:sz w:val="30"/>
          <w:szCs w:val="30"/>
        </w:rPr>
      </w:pPr>
      <w:r>
        <w:rPr>
          <w:rFonts w:eastAsia="方正仿宋简体"/>
          <w:sz w:val="30"/>
          <w:szCs w:val="30"/>
        </w:rPr>
        <w:t>个人投资者申请各级别交易权限，除通过综合评估，还应当满足以下要求：</w:t>
      </w:r>
    </w:p>
    <w:p>
      <w:pPr>
        <w:spacing w:line="560" w:lineRule="exact"/>
        <w:ind w:firstLine="600" w:firstLineChars="200"/>
        <w:rPr>
          <w:rFonts w:eastAsia="方正仿宋简体"/>
          <w:sz w:val="30"/>
          <w:szCs w:val="30"/>
        </w:rPr>
      </w:pPr>
      <w:r>
        <w:rPr>
          <w:rFonts w:eastAsia="方正仿宋简体"/>
          <w:sz w:val="30"/>
          <w:szCs w:val="30"/>
        </w:rPr>
        <w:t>1．个人投资者申请各级别交易权限，应当在对应级别的知识测试中达到本所规定的合格分数。</w:t>
      </w:r>
    </w:p>
    <w:p>
      <w:pPr>
        <w:spacing w:line="560" w:lineRule="exact"/>
        <w:ind w:firstLine="600" w:firstLineChars="200"/>
        <w:rPr>
          <w:rFonts w:eastAsia="方正仿宋简体"/>
          <w:sz w:val="30"/>
          <w:szCs w:val="30"/>
        </w:rPr>
      </w:pPr>
      <w:r>
        <w:rPr>
          <w:rFonts w:eastAsia="方正仿宋简体"/>
          <w:sz w:val="30"/>
          <w:szCs w:val="30"/>
        </w:rPr>
        <w:t>2．个人投资者申请一级、二级或三级交易权限，应当具备相应的股票期权模拟交易经历。</w:t>
      </w:r>
    </w:p>
    <w:p>
      <w:pPr>
        <w:spacing w:line="560" w:lineRule="exact"/>
        <w:ind w:firstLine="600" w:firstLineChars="200"/>
        <w:rPr>
          <w:rFonts w:eastAsia="方正仿宋简体"/>
          <w:sz w:val="30"/>
          <w:szCs w:val="30"/>
        </w:rPr>
      </w:pPr>
      <w:r>
        <w:rPr>
          <w:rFonts w:eastAsia="方正仿宋简体"/>
          <w:sz w:val="30"/>
          <w:szCs w:val="30"/>
        </w:rPr>
        <w:t>3. 已开立沪市衍生品合约账户的个人投资者，可以在深市申请与沪市相同级别的交易权限。</w:t>
      </w:r>
    </w:p>
    <w:bookmarkEnd w:id="106"/>
    <w:bookmarkEnd w:id="107"/>
    <w:bookmarkEnd w:id="108"/>
    <w:bookmarkEnd w:id="109"/>
    <w:bookmarkEnd w:id="110"/>
    <w:bookmarkEnd w:id="111"/>
    <w:p>
      <w:pPr>
        <w:pStyle w:val="5"/>
        <w:numPr>
          <w:ilvl w:val="0"/>
          <w:numId w:val="11"/>
        </w:numPr>
        <w:spacing w:before="0" w:after="0" w:line="560" w:lineRule="exact"/>
        <w:ind w:left="0" w:firstLine="601" w:firstLineChars="200"/>
        <w:rPr>
          <w:rFonts w:ascii="Times New Roman" w:hAnsi="Times New Roman" w:eastAsia="方正仿宋简体"/>
          <w:sz w:val="30"/>
          <w:szCs w:val="30"/>
        </w:rPr>
      </w:pPr>
      <w:bookmarkStart w:id="114" w:name="_Toc25049471"/>
      <w:bookmarkStart w:id="115" w:name="_Toc460944574"/>
      <w:r>
        <w:rPr>
          <w:rFonts w:ascii="Times New Roman" w:hAnsi="Times New Roman" w:eastAsia="方正仿宋简体"/>
          <w:sz w:val="30"/>
          <w:szCs w:val="30"/>
        </w:rPr>
        <w:t>投资者适当性评估的动态持续管理</w:t>
      </w:r>
      <w:bookmarkEnd w:id="114"/>
      <w:bookmarkEnd w:id="115"/>
    </w:p>
    <w:p>
      <w:pPr>
        <w:pStyle w:val="7"/>
        <w:numPr>
          <w:ilvl w:val="0"/>
          <w:numId w:val="18"/>
        </w:numPr>
        <w:spacing w:before="0" w:after="0" w:line="560" w:lineRule="exact"/>
        <w:ind w:left="0" w:firstLine="601" w:firstLineChars="200"/>
        <w:rPr>
          <w:rFonts w:eastAsia="方正仿宋简体"/>
          <w:sz w:val="30"/>
          <w:szCs w:val="30"/>
        </w:rPr>
      </w:pPr>
      <w:bookmarkStart w:id="116" w:name="_Toc460944575"/>
      <w:bookmarkStart w:id="117" w:name="_Toc406438895"/>
      <w:r>
        <w:rPr>
          <w:rFonts w:eastAsia="方正仿宋简体"/>
          <w:sz w:val="30"/>
          <w:szCs w:val="30"/>
        </w:rPr>
        <w:t>期权投资者信息更新</w:t>
      </w:r>
      <w:bookmarkEnd w:id="116"/>
      <w:bookmarkEnd w:id="117"/>
    </w:p>
    <w:p>
      <w:pPr>
        <w:spacing w:line="560" w:lineRule="exact"/>
        <w:ind w:firstLine="600" w:firstLineChars="200"/>
        <w:rPr>
          <w:rFonts w:eastAsia="方正仿宋简体"/>
          <w:sz w:val="30"/>
          <w:szCs w:val="30"/>
        </w:rPr>
      </w:pPr>
      <w:bookmarkStart w:id="118" w:name="_Toc406438896"/>
      <w:r>
        <w:rPr>
          <w:rFonts w:eastAsia="方正仿宋简体"/>
          <w:sz w:val="30"/>
          <w:szCs w:val="30"/>
        </w:rPr>
        <w:t>证券公司应当通过电话、电子邮件、网络、营业部现场交流等方式，动态跟踪投资者开立衍生品合约账户时提供的基本信息，持续了解投资者的基本情况、财务状况以及期权交易参与情况等信息。</w:t>
      </w:r>
    </w:p>
    <w:p>
      <w:pPr>
        <w:spacing w:line="560" w:lineRule="exact"/>
        <w:ind w:firstLine="600" w:firstLineChars="200"/>
        <w:rPr>
          <w:rFonts w:eastAsia="方正仿宋简体"/>
          <w:sz w:val="30"/>
          <w:szCs w:val="30"/>
        </w:rPr>
      </w:pPr>
      <w:r>
        <w:rPr>
          <w:rFonts w:eastAsia="方正仿宋简体"/>
          <w:sz w:val="30"/>
          <w:szCs w:val="30"/>
        </w:rPr>
        <w:t>投资者提供的基本信息发生变化的，应当及时告知所在证券公司。证券公司发现客户提供的联络方式等重要信息发生变化的，应当及时了解并更新。</w:t>
      </w:r>
    </w:p>
    <w:p>
      <w:pPr>
        <w:pStyle w:val="7"/>
        <w:numPr>
          <w:ilvl w:val="0"/>
          <w:numId w:val="18"/>
        </w:numPr>
        <w:spacing w:before="0" w:after="0" w:line="560" w:lineRule="exact"/>
        <w:ind w:left="0" w:firstLine="601" w:firstLineChars="200"/>
        <w:rPr>
          <w:rFonts w:eastAsia="方正仿宋简体"/>
          <w:sz w:val="30"/>
          <w:szCs w:val="30"/>
        </w:rPr>
      </w:pPr>
      <w:bookmarkStart w:id="119" w:name="_Toc460944576"/>
      <w:r>
        <w:rPr>
          <w:rFonts w:eastAsia="方正仿宋简体"/>
          <w:sz w:val="30"/>
          <w:szCs w:val="30"/>
        </w:rPr>
        <w:t>后续评估</w:t>
      </w:r>
      <w:bookmarkEnd w:id="118"/>
      <w:bookmarkEnd w:id="119"/>
    </w:p>
    <w:p>
      <w:pPr>
        <w:spacing w:line="560" w:lineRule="exact"/>
        <w:ind w:firstLine="600" w:firstLineChars="200"/>
        <w:rPr>
          <w:rFonts w:eastAsia="方正仿宋简体"/>
          <w:sz w:val="30"/>
          <w:szCs w:val="30"/>
        </w:rPr>
      </w:pPr>
      <w:bookmarkStart w:id="120" w:name="_Toc406438897"/>
      <w:r>
        <w:rPr>
          <w:rFonts w:eastAsia="方正仿宋简体"/>
          <w:sz w:val="30"/>
          <w:szCs w:val="30"/>
        </w:rPr>
        <w:t>证券公司应当根据对客户（含个人投资者和普通机构投资者）情况的动态跟踪和持续了解，至少每两年对所有已开户的客户的交易情况、诚信记录、风险承受能力、资产状况等进行一次全面评估，判断其是否仍然符合适当性管理以及交易权限分级管理的要求。</w:t>
      </w:r>
    </w:p>
    <w:p>
      <w:pPr>
        <w:spacing w:line="560" w:lineRule="exact"/>
        <w:ind w:firstLine="600" w:firstLineChars="200"/>
        <w:rPr>
          <w:rFonts w:eastAsia="方正仿宋简体"/>
          <w:sz w:val="30"/>
          <w:szCs w:val="30"/>
        </w:rPr>
      </w:pPr>
      <w:r>
        <w:rPr>
          <w:rFonts w:eastAsia="方正仿宋简体"/>
          <w:sz w:val="30"/>
          <w:szCs w:val="30"/>
        </w:rPr>
        <w:t>评估结果应当予以记录留存20年。</w:t>
      </w:r>
    </w:p>
    <w:p>
      <w:pPr>
        <w:pStyle w:val="7"/>
        <w:numPr>
          <w:ilvl w:val="0"/>
          <w:numId w:val="18"/>
        </w:numPr>
        <w:spacing w:before="0" w:after="0" w:line="560" w:lineRule="exact"/>
        <w:ind w:left="0" w:firstLine="601" w:firstLineChars="200"/>
        <w:rPr>
          <w:rFonts w:eastAsia="方正仿宋简体"/>
          <w:sz w:val="30"/>
          <w:szCs w:val="30"/>
        </w:rPr>
      </w:pPr>
      <w:bookmarkStart w:id="121" w:name="_Toc460944577"/>
      <w:r>
        <w:rPr>
          <w:rFonts w:eastAsia="方正仿宋简体"/>
          <w:sz w:val="30"/>
          <w:szCs w:val="30"/>
        </w:rPr>
        <w:t>交易权限调整</w:t>
      </w:r>
      <w:bookmarkEnd w:id="120"/>
      <w:bookmarkEnd w:id="121"/>
    </w:p>
    <w:p>
      <w:pPr>
        <w:spacing w:line="560" w:lineRule="exact"/>
        <w:ind w:firstLine="600" w:firstLineChars="200"/>
        <w:rPr>
          <w:rFonts w:eastAsia="方正仿宋简体"/>
          <w:sz w:val="30"/>
          <w:szCs w:val="30"/>
        </w:rPr>
      </w:pPr>
      <w:r>
        <w:rPr>
          <w:rFonts w:eastAsia="方正仿宋简体"/>
          <w:sz w:val="30"/>
          <w:szCs w:val="30"/>
        </w:rPr>
        <w:t>证券公司根据投资者申请并调整其交易权限或者自行调低投资者交易权限的，应当就调整后可能增加的投资风险或者可能丧失的交易权限对投资者进行充分提示，并对相关告知和提示材料予以记录留存20年。</w:t>
      </w:r>
    </w:p>
    <w:p>
      <w:pPr>
        <w:pStyle w:val="8"/>
        <w:keepNext w:val="0"/>
        <w:keepLines w:val="0"/>
        <w:numPr>
          <w:ilvl w:val="0"/>
          <w:numId w:val="19"/>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调高交易权限</w:t>
      </w:r>
    </w:p>
    <w:p>
      <w:pPr>
        <w:spacing w:line="560" w:lineRule="exact"/>
        <w:ind w:firstLine="600" w:firstLineChars="200"/>
        <w:rPr>
          <w:rFonts w:eastAsia="方正仿宋简体"/>
          <w:sz w:val="30"/>
          <w:szCs w:val="30"/>
        </w:rPr>
      </w:pPr>
      <w:r>
        <w:rPr>
          <w:rFonts w:eastAsia="方正仿宋简体"/>
          <w:sz w:val="30"/>
          <w:szCs w:val="30"/>
        </w:rPr>
        <w:t>投资者的知识测试成绩、期权模拟交易经历、风险承受能力以及金融类资产状况等发生变化，且满足更高交易权限对应资格要求的，可以向证券公司申请调高其交易权限。公司总部审核认定投资者的申请符合适当性管理要求的，可以对其交易权限进行调整。证券公司不得自行调高投资者交易权限。</w:t>
      </w:r>
    </w:p>
    <w:p>
      <w:pPr>
        <w:pStyle w:val="8"/>
        <w:keepNext w:val="0"/>
        <w:keepLines w:val="0"/>
        <w:numPr>
          <w:ilvl w:val="0"/>
          <w:numId w:val="19"/>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调低交易权限</w:t>
      </w:r>
    </w:p>
    <w:p>
      <w:pPr>
        <w:spacing w:line="560" w:lineRule="exact"/>
        <w:ind w:firstLine="600" w:firstLineChars="200"/>
        <w:rPr>
          <w:rFonts w:eastAsia="方正仿宋简体"/>
          <w:sz w:val="30"/>
          <w:szCs w:val="30"/>
        </w:rPr>
      </w:pPr>
      <w:bookmarkStart w:id="122" w:name="_Toc452017009"/>
      <w:bookmarkStart w:id="123" w:name="_Toc408749988"/>
      <w:bookmarkStart w:id="124" w:name="_Toc27487"/>
      <w:bookmarkStart w:id="125" w:name="_Toc4776"/>
      <w:bookmarkStart w:id="126" w:name="_Toc25245"/>
      <w:bookmarkStart w:id="127" w:name="_Toc406438898"/>
      <w:r>
        <w:rPr>
          <w:rFonts w:eastAsia="方正仿宋简体"/>
          <w:sz w:val="30"/>
          <w:szCs w:val="30"/>
        </w:rPr>
        <w:t>投资者可以向证券公司申请调低其交易权限，证券公司应当根据投资者要求，调低其交易权限至相应级别。</w:t>
      </w:r>
    </w:p>
    <w:p>
      <w:pPr>
        <w:spacing w:line="560" w:lineRule="exact"/>
        <w:ind w:firstLine="600" w:firstLineChars="200"/>
        <w:rPr>
          <w:rFonts w:eastAsia="方正仿宋简体"/>
          <w:sz w:val="30"/>
          <w:szCs w:val="30"/>
        </w:rPr>
      </w:pPr>
      <w:r>
        <w:rPr>
          <w:rFonts w:eastAsia="方正仿宋简体"/>
          <w:sz w:val="30"/>
          <w:szCs w:val="30"/>
        </w:rPr>
        <w:t>证券公司发现投资者的实际情况已经不符合其交易权限对应资格要求的，或者出现期权经纪合同中约定的调低交易权限的情形的，可以自行调低投资者交易权限，并应当至少提前3个交易日通过纸面或者电子形式告知投资者，明确提醒投资者因交易权限调低带来的后果，并予以记录留存20年。</w:t>
      </w:r>
    </w:p>
    <w:p>
      <w:pPr>
        <w:pStyle w:val="5"/>
        <w:numPr>
          <w:ilvl w:val="0"/>
          <w:numId w:val="11"/>
        </w:numPr>
        <w:spacing w:before="0" w:after="0" w:line="560" w:lineRule="exact"/>
        <w:ind w:left="0" w:firstLine="601" w:firstLineChars="200"/>
        <w:rPr>
          <w:rFonts w:ascii="Times New Roman" w:hAnsi="Times New Roman" w:eastAsia="方正仿宋简体"/>
          <w:sz w:val="30"/>
          <w:szCs w:val="30"/>
        </w:rPr>
      </w:pPr>
      <w:bookmarkStart w:id="128" w:name="_Toc25049472"/>
      <w:bookmarkStart w:id="129" w:name="_Toc460944578"/>
      <w:r>
        <w:rPr>
          <w:rFonts w:ascii="Times New Roman" w:hAnsi="Times New Roman" w:eastAsia="方正仿宋简体"/>
          <w:sz w:val="30"/>
          <w:szCs w:val="30"/>
        </w:rPr>
        <w:t>客户档案资料管理</w:t>
      </w:r>
      <w:bookmarkEnd w:id="122"/>
      <w:bookmarkEnd w:id="123"/>
      <w:bookmarkEnd w:id="124"/>
      <w:bookmarkEnd w:id="125"/>
      <w:bookmarkEnd w:id="126"/>
      <w:bookmarkEnd w:id="127"/>
      <w:bookmarkEnd w:id="128"/>
      <w:bookmarkEnd w:id="129"/>
    </w:p>
    <w:p>
      <w:pPr>
        <w:spacing w:line="560" w:lineRule="exact"/>
        <w:ind w:firstLine="600" w:firstLineChars="200"/>
        <w:rPr>
          <w:rFonts w:eastAsia="方正仿宋简体"/>
          <w:sz w:val="30"/>
          <w:szCs w:val="30"/>
        </w:rPr>
      </w:pPr>
      <w:bookmarkStart w:id="130" w:name="_Toc406438899"/>
      <w:bookmarkStart w:id="131" w:name="_Toc24362"/>
      <w:bookmarkStart w:id="132" w:name="_Toc408749989"/>
      <w:bookmarkStart w:id="133" w:name="_Toc452017010"/>
      <w:bookmarkStart w:id="134" w:name="_Toc30877"/>
      <w:bookmarkStart w:id="135" w:name="_Toc10562"/>
      <w:r>
        <w:rPr>
          <w:rFonts w:eastAsia="方正仿宋简体"/>
          <w:sz w:val="30"/>
          <w:szCs w:val="30"/>
        </w:rPr>
        <w:t>证券公司应根据相关规定要求对客户的股票期权档案资料进行有效管理，明确总部及分支机构的档案管理工作职责，满足安全、严格保密、合理存放的管理要求。</w:t>
      </w:r>
    </w:p>
    <w:p>
      <w:pPr>
        <w:spacing w:line="560" w:lineRule="exact"/>
        <w:ind w:firstLine="600" w:firstLineChars="200"/>
        <w:rPr>
          <w:rFonts w:eastAsia="方正仿宋简体"/>
          <w:sz w:val="30"/>
          <w:szCs w:val="30"/>
        </w:rPr>
      </w:pPr>
      <w:r>
        <w:rPr>
          <w:rFonts w:eastAsia="方正仿宋简体"/>
          <w:sz w:val="30"/>
          <w:szCs w:val="30"/>
        </w:rPr>
        <w:t>股票期权客户档案资料包括但不限于客户申请开通股票期权业务时提交的资料、客户与证券公司签订的合同文本、客户开立衍生品合约账户时所生成的各类文件资料等。所有相关资料妥善保管至少20年。</w:t>
      </w:r>
    </w:p>
    <w:bookmarkEnd w:id="130"/>
    <w:bookmarkEnd w:id="131"/>
    <w:bookmarkEnd w:id="132"/>
    <w:bookmarkEnd w:id="133"/>
    <w:bookmarkEnd w:id="134"/>
    <w:bookmarkEnd w:id="135"/>
    <w:p>
      <w:pPr>
        <w:pStyle w:val="5"/>
        <w:numPr>
          <w:ilvl w:val="0"/>
          <w:numId w:val="11"/>
        </w:numPr>
        <w:spacing w:before="0" w:after="0" w:line="560" w:lineRule="exact"/>
        <w:ind w:left="0" w:firstLine="601" w:firstLineChars="200"/>
        <w:rPr>
          <w:rFonts w:ascii="Times New Roman" w:hAnsi="Times New Roman" w:eastAsia="方正仿宋简体"/>
          <w:sz w:val="30"/>
          <w:szCs w:val="30"/>
        </w:rPr>
      </w:pPr>
      <w:bookmarkStart w:id="136" w:name="_Toc460944579"/>
      <w:bookmarkStart w:id="137" w:name="_Toc25049473"/>
      <w:r>
        <w:rPr>
          <w:rFonts w:ascii="Times New Roman" w:hAnsi="Times New Roman" w:eastAsia="方正仿宋简体"/>
          <w:sz w:val="30"/>
          <w:szCs w:val="30"/>
        </w:rPr>
        <w:t>持续监督管理</w:t>
      </w:r>
      <w:bookmarkEnd w:id="136"/>
      <w:bookmarkEnd w:id="137"/>
    </w:p>
    <w:p>
      <w:pPr>
        <w:spacing w:line="560" w:lineRule="exact"/>
        <w:ind w:firstLine="600" w:firstLineChars="200"/>
        <w:rPr>
          <w:rFonts w:eastAsia="方正仿宋简体"/>
          <w:sz w:val="30"/>
          <w:szCs w:val="30"/>
        </w:rPr>
      </w:pPr>
      <w:r>
        <w:rPr>
          <w:rFonts w:eastAsia="方正仿宋简体"/>
          <w:sz w:val="30"/>
          <w:szCs w:val="30"/>
        </w:rPr>
        <w:t>本所将对证券公司的投资者综合评估及分级管理进行持续监督管理，并从越级评估（为投资者评定的级别高于其知识测试级别或模拟交易经历对应级别）、越级交易、信息报备、动态更新、档案管理等多个方面，定期或不定期对证券公司的适当性评估及分级管理进行检查。如发现存在违反投资者适当性管理规定的，将根据规定进行处理。</w:t>
      </w:r>
    </w:p>
    <w:p>
      <w:pPr>
        <w:widowControl/>
        <w:spacing w:line="560" w:lineRule="exact"/>
        <w:ind w:firstLine="600" w:firstLineChars="200"/>
        <w:rPr>
          <w:rFonts w:eastAsia="方正仿宋简体"/>
          <w:sz w:val="30"/>
          <w:szCs w:val="30"/>
        </w:rPr>
      </w:pPr>
      <w:r>
        <w:rPr>
          <w:rFonts w:eastAsia="方正仿宋简体"/>
          <w:sz w:val="30"/>
          <w:szCs w:val="30"/>
        </w:rPr>
        <w:br w:type="page"/>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sz w:val="30"/>
          <w:szCs w:val="30"/>
        </w:rPr>
      </w:pPr>
      <w:bookmarkStart w:id="138" w:name="_Toc17396"/>
      <w:bookmarkStart w:id="139" w:name="_Toc12341"/>
      <w:bookmarkStart w:id="140" w:name="_Toc403729901"/>
      <w:bookmarkStart w:id="141" w:name="_Toc408749990"/>
      <w:bookmarkStart w:id="142" w:name="_Toc452017011"/>
      <w:bookmarkStart w:id="143" w:name="_Toc406438950"/>
      <w:bookmarkStart w:id="144" w:name="_Toc25049474"/>
      <w:bookmarkStart w:id="145" w:name="_Toc406436501"/>
      <w:bookmarkStart w:id="146" w:name="_Toc460944580"/>
      <w:bookmarkStart w:id="147" w:name="_Toc406438900"/>
      <w:bookmarkStart w:id="148" w:name="_Toc406439135"/>
      <w:bookmarkStart w:id="149" w:name="_Toc15426"/>
      <w:r>
        <w:rPr>
          <w:rFonts w:ascii="黑体" w:hAnsi="黑体" w:eastAsia="黑体"/>
          <w:bCs/>
          <w:sz w:val="30"/>
          <w:szCs w:val="30"/>
        </w:rPr>
        <w:t>账户管理</w:t>
      </w:r>
      <w:bookmarkEnd w:id="138"/>
      <w:bookmarkEnd w:id="139"/>
      <w:bookmarkEnd w:id="140"/>
      <w:bookmarkEnd w:id="141"/>
      <w:bookmarkEnd w:id="142"/>
      <w:bookmarkEnd w:id="143"/>
      <w:bookmarkEnd w:id="144"/>
      <w:bookmarkEnd w:id="145"/>
      <w:bookmarkEnd w:id="146"/>
      <w:bookmarkEnd w:id="147"/>
      <w:bookmarkEnd w:id="148"/>
      <w:bookmarkEnd w:id="149"/>
    </w:p>
    <w:p>
      <w:pPr>
        <w:pStyle w:val="5"/>
        <w:numPr>
          <w:ilvl w:val="0"/>
          <w:numId w:val="20"/>
        </w:numPr>
        <w:spacing w:before="0" w:after="0" w:line="560" w:lineRule="exact"/>
        <w:ind w:left="0" w:firstLine="601" w:firstLineChars="200"/>
        <w:rPr>
          <w:rFonts w:ascii="Times New Roman" w:hAnsi="Times New Roman" w:eastAsia="方正仿宋简体"/>
          <w:sz w:val="30"/>
          <w:szCs w:val="30"/>
        </w:rPr>
      </w:pPr>
      <w:bookmarkStart w:id="150" w:name="_Toc408749991"/>
      <w:bookmarkStart w:id="151" w:name="_Toc1139"/>
      <w:bookmarkStart w:id="152" w:name="_Toc22452"/>
      <w:bookmarkStart w:id="153" w:name="_Toc452017012"/>
      <w:bookmarkStart w:id="154" w:name="_Toc5565"/>
      <w:bookmarkStart w:id="155" w:name="_Toc406438901"/>
      <w:bookmarkStart w:id="156" w:name="_Toc25049475"/>
      <w:bookmarkStart w:id="157" w:name="_Toc460944581"/>
      <w:r>
        <w:rPr>
          <w:rFonts w:ascii="Times New Roman" w:hAnsi="Times New Roman" w:eastAsia="方正仿宋简体"/>
          <w:sz w:val="30"/>
          <w:szCs w:val="30"/>
        </w:rPr>
        <w:t>账户体系</w:t>
      </w:r>
      <w:bookmarkEnd w:id="150"/>
      <w:bookmarkEnd w:id="151"/>
      <w:bookmarkEnd w:id="152"/>
      <w:bookmarkEnd w:id="153"/>
      <w:bookmarkEnd w:id="154"/>
      <w:bookmarkEnd w:id="155"/>
      <w:bookmarkEnd w:id="156"/>
      <w:bookmarkEnd w:id="157"/>
    </w:p>
    <w:p>
      <w:pPr>
        <w:pStyle w:val="7"/>
        <w:numPr>
          <w:ilvl w:val="0"/>
          <w:numId w:val="21"/>
        </w:numPr>
        <w:spacing w:before="0" w:after="0" w:line="560" w:lineRule="exact"/>
        <w:ind w:left="0" w:firstLine="601" w:firstLineChars="200"/>
        <w:rPr>
          <w:rFonts w:eastAsia="方正仿宋简体"/>
          <w:sz w:val="30"/>
          <w:szCs w:val="30"/>
        </w:rPr>
      </w:pPr>
      <w:bookmarkStart w:id="158" w:name="_Toc460944582"/>
      <w:bookmarkStart w:id="159" w:name="_Toc406438902"/>
      <w:r>
        <w:rPr>
          <w:rFonts w:eastAsia="方正仿宋简体"/>
          <w:sz w:val="30"/>
          <w:szCs w:val="30"/>
        </w:rPr>
        <w:t>客户需要开立的股票期权交易相关账户</w:t>
      </w:r>
      <w:bookmarkEnd w:id="158"/>
      <w:bookmarkEnd w:id="159"/>
    </w:p>
    <w:p>
      <w:pPr>
        <w:pStyle w:val="8"/>
        <w:keepNext w:val="0"/>
        <w:keepLines w:val="0"/>
        <w:numPr>
          <w:ilvl w:val="0"/>
          <w:numId w:val="22"/>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衍生品合约账户</w:t>
      </w:r>
    </w:p>
    <w:p>
      <w:pPr>
        <w:spacing w:line="560" w:lineRule="exact"/>
        <w:ind w:firstLine="600" w:firstLineChars="200"/>
        <w:rPr>
          <w:rFonts w:eastAsia="方正仿宋简体"/>
          <w:sz w:val="30"/>
          <w:szCs w:val="30"/>
        </w:rPr>
      </w:pPr>
      <w:r>
        <w:rPr>
          <w:rFonts w:eastAsia="方正仿宋简体"/>
          <w:sz w:val="30"/>
          <w:szCs w:val="30"/>
        </w:rPr>
        <w:t>投资者向证券公司申请开立衍生品合约账户，证券公司向中国结算报送账户注册资料等信息，并申请配发编号。中国结算根据证券公司提交的配号申请，按照深市A股证券账户号码加标识码（标识码为结算参与人对应的6位股票期权自营或客户结算账号）的配号规则发放合约账户号码。</w:t>
      </w:r>
    </w:p>
    <w:p>
      <w:pPr>
        <w:spacing w:line="560" w:lineRule="exact"/>
        <w:ind w:firstLine="600" w:firstLineChars="200"/>
        <w:rPr>
          <w:rFonts w:eastAsia="方正仿宋简体"/>
          <w:sz w:val="30"/>
          <w:szCs w:val="30"/>
        </w:rPr>
      </w:pPr>
      <w:r>
        <w:rPr>
          <w:rFonts w:eastAsia="方正仿宋简体"/>
          <w:sz w:val="30"/>
          <w:szCs w:val="30"/>
        </w:rPr>
        <w:t>衍生品合约账户与申请配号提供的投资者深市A股证券账户建立对应关系，用于客户股票期权交易、行权申报和记录股票期权合约持仓信息等。</w:t>
      </w:r>
    </w:p>
    <w:p>
      <w:pPr>
        <w:pStyle w:val="8"/>
        <w:keepNext w:val="0"/>
        <w:keepLines w:val="0"/>
        <w:numPr>
          <w:ilvl w:val="0"/>
          <w:numId w:val="22"/>
        </w:numPr>
        <w:spacing w:before="0" w:after="0" w:line="560" w:lineRule="exact"/>
        <w:ind w:left="0" w:firstLine="601" w:firstLineChars="200"/>
        <w:rPr>
          <w:rFonts w:ascii="Times New Roman" w:hAnsi="Times New Roman" w:eastAsia="方正仿宋简体"/>
          <w:sz w:val="30"/>
          <w:szCs w:val="30"/>
        </w:rPr>
      </w:pPr>
      <w:bookmarkStart w:id="160" w:name="_Toc406438903"/>
      <w:r>
        <w:rPr>
          <w:rFonts w:ascii="Times New Roman" w:hAnsi="Times New Roman" w:eastAsia="方正仿宋简体"/>
          <w:sz w:val="30"/>
          <w:szCs w:val="30"/>
        </w:rPr>
        <w:t>股票期权保证金账户</w:t>
      </w:r>
    </w:p>
    <w:p>
      <w:pPr>
        <w:spacing w:line="560" w:lineRule="exact"/>
        <w:ind w:firstLine="600" w:firstLineChars="200"/>
        <w:rPr>
          <w:rFonts w:eastAsia="方正仿宋简体"/>
          <w:sz w:val="30"/>
          <w:szCs w:val="30"/>
        </w:rPr>
      </w:pPr>
      <w:r>
        <w:rPr>
          <w:rFonts w:eastAsia="方正仿宋简体"/>
          <w:sz w:val="30"/>
          <w:szCs w:val="30"/>
        </w:rPr>
        <w:t>股票期权保证金账户用于权利金和行权资金的交收及股票期权保证金的存放。</w:t>
      </w:r>
    </w:p>
    <w:p>
      <w:pPr>
        <w:pStyle w:val="8"/>
        <w:keepNext w:val="0"/>
        <w:keepLines w:val="0"/>
        <w:numPr>
          <w:ilvl w:val="0"/>
          <w:numId w:val="22"/>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银行结算账户</w:t>
      </w:r>
    </w:p>
    <w:p>
      <w:pPr>
        <w:spacing w:line="560" w:lineRule="exact"/>
        <w:ind w:firstLine="600" w:firstLineChars="200"/>
        <w:rPr>
          <w:rFonts w:eastAsia="方正仿宋简体"/>
          <w:sz w:val="30"/>
          <w:szCs w:val="30"/>
        </w:rPr>
      </w:pPr>
      <w:r>
        <w:rPr>
          <w:rFonts w:eastAsia="方正仿宋简体"/>
          <w:sz w:val="30"/>
          <w:szCs w:val="30"/>
        </w:rPr>
        <w:t>银行结算账户用于与股票期权保证金账户之间的资金划转。</w:t>
      </w:r>
    </w:p>
    <w:p>
      <w:pPr>
        <w:pStyle w:val="7"/>
        <w:numPr>
          <w:ilvl w:val="0"/>
          <w:numId w:val="21"/>
        </w:numPr>
        <w:spacing w:before="0" w:after="0" w:line="560" w:lineRule="exact"/>
        <w:ind w:left="0" w:firstLine="601" w:firstLineChars="200"/>
        <w:rPr>
          <w:rFonts w:eastAsia="方正仿宋简体"/>
          <w:sz w:val="30"/>
          <w:szCs w:val="30"/>
        </w:rPr>
      </w:pPr>
      <w:bookmarkStart w:id="161" w:name="_Toc460944583"/>
      <w:r>
        <w:rPr>
          <w:rFonts w:eastAsia="方正仿宋简体"/>
          <w:sz w:val="30"/>
          <w:szCs w:val="30"/>
        </w:rPr>
        <w:t>证券公司需要开立的账户</w:t>
      </w:r>
      <w:bookmarkEnd w:id="160"/>
      <w:bookmarkEnd w:id="161"/>
    </w:p>
    <w:p>
      <w:pPr>
        <w:pStyle w:val="8"/>
        <w:keepNext w:val="0"/>
        <w:keepLines w:val="0"/>
        <w:numPr>
          <w:ilvl w:val="0"/>
          <w:numId w:val="2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客户股票期权保证金账户</w:t>
      </w:r>
    </w:p>
    <w:p>
      <w:pPr>
        <w:spacing w:line="560" w:lineRule="exact"/>
        <w:ind w:firstLine="600" w:firstLineChars="200"/>
        <w:rPr>
          <w:rFonts w:eastAsia="方正仿宋简体"/>
          <w:sz w:val="30"/>
          <w:szCs w:val="30"/>
        </w:rPr>
      </w:pPr>
      <w:r>
        <w:rPr>
          <w:rFonts w:eastAsia="方正仿宋简体"/>
          <w:sz w:val="30"/>
          <w:szCs w:val="30"/>
        </w:rPr>
        <w:t>证券公司在中国结算深圳分公司开立客户股票期权保证金账户，用于客户股票期权业务的资金交收。</w:t>
      </w:r>
    </w:p>
    <w:p>
      <w:pPr>
        <w:pStyle w:val="8"/>
        <w:keepNext w:val="0"/>
        <w:keepLines w:val="0"/>
        <w:numPr>
          <w:ilvl w:val="0"/>
          <w:numId w:val="2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客户衍生品结算资金汇总账户</w:t>
      </w:r>
    </w:p>
    <w:p>
      <w:pPr>
        <w:spacing w:line="560" w:lineRule="exact"/>
        <w:ind w:firstLine="600" w:firstLineChars="200"/>
        <w:rPr>
          <w:rFonts w:eastAsia="方正仿宋简体"/>
          <w:sz w:val="30"/>
          <w:szCs w:val="30"/>
        </w:rPr>
      </w:pPr>
      <w:r>
        <w:rPr>
          <w:rFonts w:eastAsia="方正仿宋简体"/>
          <w:sz w:val="30"/>
          <w:szCs w:val="30"/>
        </w:rPr>
        <w:t>证券公司在结算银行开立客户衍生品结算资金汇总账户。</w:t>
      </w:r>
    </w:p>
    <w:p>
      <w:pPr>
        <w:pStyle w:val="8"/>
        <w:keepNext w:val="0"/>
        <w:keepLines w:val="0"/>
        <w:numPr>
          <w:ilvl w:val="0"/>
          <w:numId w:val="2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证券处置账户</w:t>
      </w:r>
    </w:p>
    <w:p>
      <w:pPr>
        <w:spacing w:line="560" w:lineRule="exact"/>
        <w:ind w:firstLine="600" w:firstLineChars="200"/>
        <w:rPr>
          <w:rFonts w:eastAsia="方正仿宋简体"/>
          <w:sz w:val="30"/>
          <w:szCs w:val="30"/>
        </w:rPr>
      </w:pPr>
      <w:r>
        <w:rPr>
          <w:rFonts w:eastAsia="方正仿宋简体"/>
          <w:sz w:val="30"/>
          <w:szCs w:val="30"/>
        </w:rPr>
        <w:t>证券公司在中国结算申请开立证券处置账户。如客户出现行权资金交收违约，证券公司可以通过交易系统发出指令，委托中国结算将客户行权应得标的证券划付到其证券处置账户内，并可根据相关规定或与客户的约定对证券处置账户内的客户行权标的证券予以处置。</w:t>
      </w:r>
    </w:p>
    <w:p>
      <w:pPr>
        <w:pStyle w:val="5"/>
        <w:numPr>
          <w:ilvl w:val="0"/>
          <w:numId w:val="20"/>
        </w:numPr>
        <w:spacing w:before="0" w:after="0" w:line="560" w:lineRule="exact"/>
        <w:ind w:left="0" w:firstLine="601" w:firstLineChars="200"/>
        <w:rPr>
          <w:rFonts w:ascii="Times New Roman" w:hAnsi="Times New Roman" w:eastAsia="方正仿宋简体"/>
          <w:sz w:val="30"/>
          <w:szCs w:val="30"/>
        </w:rPr>
      </w:pPr>
      <w:bookmarkStart w:id="162" w:name="_Toc408749992"/>
      <w:bookmarkStart w:id="163" w:name="_Toc452017013"/>
      <w:bookmarkStart w:id="164" w:name="_Toc406438904"/>
      <w:bookmarkStart w:id="165" w:name="_Toc460944584"/>
      <w:bookmarkStart w:id="166" w:name="_Toc25049476"/>
      <w:r>
        <w:rPr>
          <w:rFonts w:ascii="Times New Roman" w:hAnsi="Times New Roman" w:eastAsia="方正仿宋简体"/>
          <w:sz w:val="30"/>
          <w:szCs w:val="30"/>
        </w:rPr>
        <w:t>衍生品合约账户的开立与管理</w:t>
      </w:r>
      <w:bookmarkEnd w:id="162"/>
      <w:bookmarkEnd w:id="163"/>
      <w:bookmarkEnd w:id="164"/>
      <w:bookmarkEnd w:id="165"/>
      <w:bookmarkEnd w:id="166"/>
    </w:p>
    <w:p>
      <w:pPr>
        <w:pStyle w:val="7"/>
        <w:numPr>
          <w:ilvl w:val="0"/>
          <w:numId w:val="24"/>
        </w:numPr>
        <w:spacing w:before="0" w:after="0" w:line="560" w:lineRule="exact"/>
        <w:ind w:left="0" w:firstLine="601" w:firstLineChars="200"/>
        <w:rPr>
          <w:rFonts w:eastAsia="方正仿宋简体"/>
          <w:sz w:val="30"/>
          <w:szCs w:val="30"/>
        </w:rPr>
      </w:pPr>
      <w:bookmarkStart w:id="167" w:name="_Toc460944585"/>
      <w:r>
        <w:rPr>
          <w:rFonts w:eastAsia="方正仿宋简体"/>
          <w:sz w:val="30"/>
          <w:szCs w:val="30"/>
        </w:rPr>
        <w:t>个人投资者临柜开户</w:t>
      </w:r>
      <w:bookmarkEnd w:id="167"/>
    </w:p>
    <w:p>
      <w:pPr>
        <w:pStyle w:val="8"/>
        <w:keepNext w:val="0"/>
        <w:keepLines w:val="0"/>
        <w:numPr>
          <w:ilvl w:val="0"/>
          <w:numId w:val="25"/>
        </w:numPr>
        <w:spacing w:before="0" w:after="0" w:line="560" w:lineRule="exact"/>
        <w:ind w:left="0" w:firstLine="601" w:firstLineChars="200"/>
        <w:rPr>
          <w:rFonts w:ascii="Times New Roman" w:hAnsi="Times New Roman" w:eastAsia="方正仿宋简体"/>
          <w:b w:val="0"/>
          <w:sz w:val="30"/>
          <w:szCs w:val="30"/>
        </w:rPr>
      </w:pPr>
      <w:r>
        <w:rPr>
          <w:rFonts w:ascii="Times New Roman" w:hAnsi="Times New Roman" w:eastAsia="方正仿宋简体"/>
          <w:sz w:val="30"/>
          <w:szCs w:val="30"/>
        </w:rPr>
        <w:t>投资者开户需要准备的资料</w:t>
      </w:r>
    </w:p>
    <w:p>
      <w:pPr>
        <w:spacing w:line="560" w:lineRule="exact"/>
        <w:ind w:firstLine="600" w:firstLineChars="200"/>
        <w:rPr>
          <w:rFonts w:eastAsia="方正仿宋简体"/>
          <w:sz w:val="30"/>
          <w:szCs w:val="30"/>
        </w:rPr>
      </w:pPr>
      <w:r>
        <w:rPr>
          <w:rFonts w:eastAsia="方正仿宋简体"/>
          <w:sz w:val="30"/>
          <w:szCs w:val="30"/>
        </w:rPr>
        <w:t>1.1 身份证</w:t>
      </w:r>
    </w:p>
    <w:p>
      <w:pPr>
        <w:spacing w:line="560" w:lineRule="exact"/>
        <w:ind w:firstLine="600" w:firstLineChars="200"/>
        <w:rPr>
          <w:rFonts w:eastAsia="方正仿宋简体"/>
          <w:sz w:val="30"/>
          <w:szCs w:val="30"/>
        </w:rPr>
      </w:pPr>
      <w:r>
        <w:rPr>
          <w:rFonts w:eastAsia="方正仿宋简体"/>
          <w:sz w:val="30"/>
          <w:szCs w:val="30"/>
        </w:rPr>
        <w:t>1.2 融资融券业务账户证明（已开立融资融券账户投资者）或期货公司出具的金融期货交易结算单</w:t>
      </w:r>
    </w:p>
    <w:p>
      <w:pPr>
        <w:spacing w:line="560" w:lineRule="exact"/>
        <w:ind w:firstLine="600" w:firstLineChars="200"/>
        <w:rPr>
          <w:rFonts w:eastAsia="方正仿宋简体"/>
          <w:sz w:val="30"/>
          <w:szCs w:val="30"/>
        </w:rPr>
      </w:pPr>
      <w:r>
        <w:rPr>
          <w:rFonts w:eastAsia="方正仿宋简体"/>
          <w:sz w:val="30"/>
          <w:szCs w:val="30"/>
        </w:rPr>
        <w:t>1.3 证券公司要求的其他材料</w:t>
      </w:r>
    </w:p>
    <w:p>
      <w:pPr>
        <w:pStyle w:val="8"/>
        <w:keepNext w:val="0"/>
        <w:keepLines w:val="0"/>
        <w:numPr>
          <w:ilvl w:val="0"/>
          <w:numId w:val="25"/>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营业部资格初审</w:t>
      </w:r>
    </w:p>
    <w:p>
      <w:pPr>
        <w:spacing w:line="560" w:lineRule="exact"/>
        <w:ind w:firstLine="600" w:firstLineChars="200"/>
        <w:rPr>
          <w:rFonts w:eastAsia="方正仿宋简体"/>
          <w:sz w:val="30"/>
          <w:szCs w:val="30"/>
        </w:rPr>
      </w:pPr>
      <w:r>
        <w:rPr>
          <w:rFonts w:eastAsia="方正仿宋简体"/>
          <w:kern w:val="0"/>
          <w:sz w:val="30"/>
          <w:szCs w:val="30"/>
        </w:rPr>
        <w:t>营业部根据本指南第三章</w:t>
      </w:r>
      <w:r>
        <w:rPr>
          <w:rFonts w:eastAsia="方正仿宋简体"/>
          <w:sz w:val="30"/>
          <w:szCs w:val="30"/>
        </w:rPr>
        <w:t>投资者</w:t>
      </w:r>
      <w:r>
        <w:rPr>
          <w:rFonts w:eastAsia="方正仿宋简体"/>
          <w:kern w:val="0"/>
          <w:sz w:val="30"/>
          <w:szCs w:val="30"/>
        </w:rPr>
        <w:t>适当性管理的认定标准进行资格初审。</w:t>
      </w:r>
    </w:p>
    <w:p>
      <w:pPr>
        <w:spacing w:line="560" w:lineRule="exact"/>
        <w:ind w:firstLine="600" w:firstLineChars="200"/>
        <w:rPr>
          <w:rFonts w:eastAsia="方正仿宋简体"/>
          <w:sz w:val="30"/>
          <w:szCs w:val="30"/>
        </w:rPr>
      </w:pPr>
      <w:r>
        <w:rPr>
          <w:rFonts w:eastAsia="方正仿宋简体"/>
          <w:sz w:val="30"/>
          <w:szCs w:val="30"/>
        </w:rPr>
        <w:t>2.1核对投资者身份证明文件</w:t>
      </w:r>
    </w:p>
    <w:p>
      <w:pPr>
        <w:spacing w:line="560" w:lineRule="exact"/>
        <w:ind w:firstLine="600" w:firstLineChars="200"/>
        <w:rPr>
          <w:rFonts w:eastAsia="方正仿宋简体"/>
          <w:sz w:val="30"/>
          <w:szCs w:val="30"/>
        </w:rPr>
      </w:pPr>
      <w:r>
        <w:rPr>
          <w:rFonts w:eastAsia="方正仿宋简体"/>
          <w:sz w:val="30"/>
          <w:szCs w:val="30"/>
        </w:rPr>
        <w:t>必须投资者本人持有效证件临柜开户。</w:t>
      </w:r>
    </w:p>
    <w:p>
      <w:pPr>
        <w:spacing w:line="560" w:lineRule="exact"/>
        <w:ind w:firstLine="600" w:firstLineChars="200"/>
        <w:rPr>
          <w:rFonts w:eastAsia="方正仿宋简体"/>
          <w:sz w:val="30"/>
          <w:szCs w:val="30"/>
        </w:rPr>
      </w:pPr>
      <w:r>
        <w:rPr>
          <w:rFonts w:eastAsia="方正仿宋简体"/>
          <w:sz w:val="30"/>
          <w:szCs w:val="30"/>
        </w:rPr>
        <w:t>2.2核对深市Ａ股证券账户及衍生品合约账户</w:t>
      </w:r>
    </w:p>
    <w:p>
      <w:pPr>
        <w:spacing w:line="560" w:lineRule="exact"/>
        <w:ind w:firstLine="600" w:firstLineChars="200"/>
        <w:rPr>
          <w:rFonts w:eastAsia="方正仿宋简体"/>
          <w:sz w:val="30"/>
          <w:szCs w:val="30"/>
        </w:rPr>
      </w:pPr>
      <w:r>
        <w:rPr>
          <w:rFonts w:eastAsia="方正仿宋简体"/>
          <w:sz w:val="30"/>
          <w:szCs w:val="30"/>
        </w:rPr>
        <w:t>核对该投资者是否有已开立衍生品合约账户的深市A股证券账户：</w:t>
      </w:r>
    </w:p>
    <w:p>
      <w:pPr>
        <w:spacing w:line="560" w:lineRule="exact"/>
        <w:ind w:firstLine="600" w:firstLineChars="200"/>
        <w:rPr>
          <w:rFonts w:eastAsia="方正仿宋简体"/>
          <w:sz w:val="30"/>
          <w:szCs w:val="30"/>
        </w:rPr>
      </w:pPr>
      <w:r>
        <w:rPr>
          <w:rFonts w:eastAsia="方正仿宋简体"/>
          <w:sz w:val="30"/>
          <w:szCs w:val="30"/>
        </w:rPr>
        <w:t>（1）如投资者已在其他期权经营机构处开立深市衍生品合约账户，则本次仍须使用同一深市A股证券账户进行衍生品合约账户开立。</w:t>
      </w:r>
    </w:p>
    <w:p>
      <w:pPr>
        <w:spacing w:line="560" w:lineRule="exact"/>
        <w:ind w:firstLine="600" w:firstLineChars="200"/>
        <w:rPr>
          <w:rFonts w:eastAsia="方正仿宋简体"/>
          <w:sz w:val="30"/>
          <w:szCs w:val="30"/>
        </w:rPr>
      </w:pPr>
      <w:r>
        <w:rPr>
          <w:rFonts w:eastAsia="方正仿宋简体"/>
          <w:sz w:val="30"/>
          <w:szCs w:val="30"/>
        </w:rPr>
        <w:t>（2）如投资者未有深市A股证券账户对应的衍生品合约账户，则核对该投资者是否已有账户状态正常的合格深市A股证券账户。若已有账户状态正常的合格深市A股证券账户，核对通过；若无账户状态正常的合格深市A股证券账户，需首先开立深市A股证券账户。</w:t>
      </w:r>
    </w:p>
    <w:p>
      <w:pPr>
        <w:spacing w:line="560" w:lineRule="exact"/>
        <w:ind w:firstLine="600" w:firstLineChars="200"/>
        <w:rPr>
          <w:rFonts w:eastAsia="方正仿宋简体"/>
          <w:sz w:val="30"/>
          <w:szCs w:val="30"/>
        </w:rPr>
      </w:pPr>
      <w:r>
        <w:rPr>
          <w:rFonts w:eastAsia="方正仿宋简体"/>
          <w:sz w:val="30"/>
          <w:szCs w:val="30"/>
        </w:rPr>
        <w:t>2.3核对持有的资产</w:t>
      </w:r>
    </w:p>
    <w:p>
      <w:pPr>
        <w:spacing w:line="560" w:lineRule="exact"/>
        <w:ind w:firstLine="600" w:firstLineChars="200"/>
        <w:rPr>
          <w:rFonts w:eastAsia="方正仿宋简体"/>
          <w:sz w:val="30"/>
          <w:szCs w:val="30"/>
        </w:rPr>
      </w:pPr>
      <w:r>
        <w:rPr>
          <w:rFonts w:eastAsia="方正仿宋简体"/>
          <w:sz w:val="30"/>
          <w:szCs w:val="30"/>
        </w:rPr>
        <w:t>2.4核对交易经历</w:t>
      </w:r>
    </w:p>
    <w:p>
      <w:pPr>
        <w:spacing w:line="560" w:lineRule="exact"/>
        <w:ind w:firstLine="600" w:firstLineChars="200"/>
        <w:rPr>
          <w:rFonts w:eastAsia="方正仿宋简体"/>
          <w:sz w:val="30"/>
          <w:szCs w:val="30"/>
        </w:rPr>
      </w:pPr>
      <w:r>
        <w:rPr>
          <w:rFonts w:eastAsia="方正仿宋简体"/>
          <w:sz w:val="30"/>
          <w:szCs w:val="30"/>
        </w:rPr>
        <w:t>2.5核对股票期权模拟交易经历</w:t>
      </w:r>
    </w:p>
    <w:p>
      <w:pPr>
        <w:spacing w:line="560" w:lineRule="exact"/>
        <w:ind w:firstLine="600" w:firstLineChars="200"/>
        <w:rPr>
          <w:rFonts w:eastAsia="方正仿宋简体"/>
          <w:sz w:val="30"/>
          <w:szCs w:val="30"/>
        </w:rPr>
      </w:pPr>
      <w:r>
        <w:rPr>
          <w:rFonts w:eastAsia="方正仿宋简体"/>
          <w:sz w:val="30"/>
          <w:szCs w:val="30"/>
        </w:rPr>
        <w:t>2.6核对知识测试成绩</w:t>
      </w:r>
    </w:p>
    <w:p>
      <w:pPr>
        <w:spacing w:line="560" w:lineRule="exact"/>
        <w:ind w:firstLine="600" w:firstLineChars="200"/>
        <w:rPr>
          <w:rFonts w:eastAsia="方正仿宋简体"/>
          <w:sz w:val="30"/>
          <w:szCs w:val="30"/>
        </w:rPr>
      </w:pPr>
      <w:r>
        <w:rPr>
          <w:rFonts w:eastAsia="方正仿宋简体"/>
          <w:sz w:val="30"/>
          <w:szCs w:val="30"/>
        </w:rPr>
        <w:t>2.7评估客户风险承受能力</w:t>
      </w:r>
    </w:p>
    <w:p>
      <w:pPr>
        <w:spacing w:line="560" w:lineRule="exact"/>
        <w:ind w:firstLine="600" w:firstLineChars="200"/>
        <w:rPr>
          <w:rFonts w:eastAsia="方正仿宋简体"/>
          <w:sz w:val="30"/>
          <w:szCs w:val="30"/>
        </w:rPr>
      </w:pPr>
      <w:r>
        <w:rPr>
          <w:rFonts w:eastAsia="方正仿宋简体"/>
          <w:sz w:val="30"/>
          <w:szCs w:val="30"/>
        </w:rPr>
        <w:t>2.8核实投资者诚信记录</w:t>
      </w:r>
    </w:p>
    <w:p>
      <w:pPr>
        <w:spacing w:line="560" w:lineRule="exact"/>
        <w:ind w:firstLine="600" w:firstLineChars="200"/>
        <w:rPr>
          <w:rFonts w:eastAsia="方正仿宋简体"/>
          <w:sz w:val="30"/>
          <w:szCs w:val="30"/>
        </w:rPr>
      </w:pPr>
      <w:r>
        <w:rPr>
          <w:rFonts w:eastAsia="方正仿宋简体"/>
          <w:sz w:val="30"/>
          <w:szCs w:val="30"/>
        </w:rPr>
        <w:t>2.9完成适当性综合评估表</w:t>
      </w:r>
    </w:p>
    <w:p>
      <w:pPr>
        <w:pStyle w:val="8"/>
        <w:keepNext w:val="0"/>
        <w:keepLines w:val="0"/>
        <w:numPr>
          <w:ilvl w:val="0"/>
          <w:numId w:val="25"/>
        </w:numPr>
        <w:spacing w:before="0" w:after="0" w:line="560" w:lineRule="exact"/>
        <w:ind w:left="0" w:firstLine="601" w:firstLineChars="200"/>
        <w:rPr>
          <w:rFonts w:ascii="Times New Roman" w:hAnsi="Times New Roman" w:eastAsia="方正仿宋简体"/>
          <w:b w:val="0"/>
          <w:sz w:val="30"/>
          <w:szCs w:val="30"/>
        </w:rPr>
      </w:pPr>
      <w:r>
        <w:rPr>
          <w:rFonts w:ascii="Times New Roman" w:hAnsi="Times New Roman" w:eastAsia="方正仿宋简体"/>
          <w:sz w:val="30"/>
          <w:szCs w:val="30"/>
        </w:rPr>
        <w:t>开户程序</w:t>
      </w:r>
    </w:p>
    <w:p>
      <w:pPr>
        <w:spacing w:line="560" w:lineRule="exact"/>
        <w:ind w:firstLine="600" w:firstLineChars="200"/>
        <w:rPr>
          <w:rFonts w:eastAsia="方正仿宋简体"/>
          <w:sz w:val="30"/>
          <w:szCs w:val="30"/>
        </w:rPr>
      </w:pPr>
      <w:r>
        <w:rPr>
          <w:rFonts w:eastAsia="方正仿宋简体"/>
          <w:sz w:val="30"/>
          <w:szCs w:val="30"/>
        </w:rPr>
        <w:t>3.1向客户解释风险揭示书及经纪合同的核心内容</w:t>
      </w:r>
    </w:p>
    <w:p>
      <w:pPr>
        <w:spacing w:line="560" w:lineRule="exact"/>
        <w:ind w:firstLine="600" w:firstLineChars="200"/>
        <w:rPr>
          <w:rFonts w:eastAsia="方正仿宋简体"/>
          <w:sz w:val="30"/>
          <w:szCs w:val="30"/>
        </w:rPr>
      </w:pPr>
      <w:r>
        <w:rPr>
          <w:rFonts w:eastAsia="方正仿宋简体"/>
          <w:sz w:val="30"/>
          <w:szCs w:val="30"/>
        </w:rPr>
        <w:t>为提高效率，证券公司可在投资者临柜前将经纪合同、风险揭示书等开户资料提前发给投资者阅知，并提醒投资者认真阅读上述文件。各证券公司应在符合相关指引和通知要求的前提下，尽量缩短客户临柜开户时间，提高开户效率，提升客户体验。</w:t>
      </w:r>
    </w:p>
    <w:p>
      <w:pPr>
        <w:spacing w:line="560" w:lineRule="exact"/>
        <w:ind w:firstLine="600" w:firstLineChars="200"/>
        <w:rPr>
          <w:rFonts w:eastAsia="方正仿宋简体"/>
          <w:sz w:val="30"/>
          <w:szCs w:val="30"/>
        </w:rPr>
      </w:pPr>
      <w:r>
        <w:rPr>
          <w:rFonts w:eastAsia="方正仿宋简体"/>
          <w:sz w:val="30"/>
          <w:szCs w:val="30"/>
        </w:rPr>
        <w:t>3.2投资者签署风险揭示书</w:t>
      </w:r>
    </w:p>
    <w:p>
      <w:pPr>
        <w:spacing w:line="560" w:lineRule="exact"/>
        <w:ind w:firstLine="600" w:firstLineChars="200"/>
        <w:rPr>
          <w:rFonts w:eastAsia="方正仿宋简体"/>
          <w:sz w:val="30"/>
          <w:szCs w:val="30"/>
        </w:rPr>
      </w:pPr>
      <w:r>
        <w:rPr>
          <w:rFonts w:eastAsia="方正仿宋简体"/>
          <w:sz w:val="30"/>
          <w:szCs w:val="30"/>
        </w:rPr>
        <w:t>投资者按风险揭示书要求抄写或朗读承诺并签名，证券公司对投资者抄写或朗读承诺文字的过程进行录像。</w:t>
      </w:r>
    </w:p>
    <w:p>
      <w:pPr>
        <w:spacing w:line="560" w:lineRule="exact"/>
        <w:ind w:firstLine="600" w:firstLineChars="200"/>
        <w:rPr>
          <w:rFonts w:eastAsia="方正仿宋简体"/>
          <w:sz w:val="30"/>
          <w:szCs w:val="30"/>
        </w:rPr>
      </w:pPr>
      <w:r>
        <w:rPr>
          <w:rFonts w:eastAsia="方正仿宋简体"/>
          <w:sz w:val="30"/>
          <w:szCs w:val="30"/>
        </w:rPr>
        <w:t>3.3投资者签署经纪合同</w:t>
      </w:r>
    </w:p>
    <w:p>
      <w:pPr>
        <w:spacing w:line="560" w:lineRule="exact"/>
        <w:ind w:firstLine="600" w:firstLineChars="200"/>
        <w:rPr>
          <w:rFonts w:eastAsia="方正仿宋简体"/>
          <w:sz w:val="30"/>
          <w:szCs w:val="30"/>
        </w:rPr>
      </w:pPr>
      <w:r>
        <w:rPr>
          <w:rFonts w:eastAsia="方正仿宋简体"/>
          <w:sz w:val="30"/>
          <w:szCs w:val="30"/>
        </w:rPr>
        <w:t>投资者可以在通过相应等级知识测试并申请相应等级交易权限的同时，当场签署开户申请表、风险揭示书、经纪合同等开户必备文件，一次临柜完成开户相关文件的填写和签署。证券公司在完成后续审核之前，应当充分告知投资者开户相关文件需经证券公司完成后续审核后方可生效。</w:t>
      </w:r>
    </w:p>
    <w:p>
      <w:pPr>
        <w:spacing w:line="560" w:lineRule="exact"/>
        <w:ind w:firstLine="600" w:firstLineChars="200"/>
        <w:rPr>
          <w:rFonts w:eastAsia="方正仿宋简体"/>
          <w:sz w:val="30"/>
          <w:szCs w:val="30"/>
        </w:rPr>
      </w:pPr>
      <w:r>
        <w:rPr>
          <w:rFonts w:eastAsia="方正仿宋简体"/>
          <w:sz w:val="30"/>
          <w:szCs w:val="30"/>
        </w:rPr>
        <w:t>3.4为投资者办理所有开户手续（包括密码设置等），但在总部完成审核前，账户暂不生效</w:t>
      </w:r>
    </w:p>
    <w:p>
      <w:pPr>
        <w:spacing w:line="560" w:lineRule="exact"/>
        <w:ind w:firstLine="600" w:firstLineChars="200"/>
        <w:rPr>
          <w:rFonts w:eastAsia="方正仿宋简体"/>
          <w:sz w:val="30"/>
          <w:szCs w:val="30"/>
        </w:rPr>
      </w:pPr>
      <w:r>
        <w:rPr>
          <w:rFonts w:eastAsia="方正仿宋简体"/>
          <w:sz w:val="30"/>
          <w:szCs w:val="30"/>
        </w:rPr>
        <w:t>3.5公司总部进行审核</w:t>
      </w:r>
    </w:p>
    <w:p>
      <w:pPr>
        <w:spacing w:line="560" w:lineRule="exact"/>
        <w:ind w:firstLine="600" w:firstLineChars="200"/>
        <w:rPr>
          <w:rFonts w:eastAsia="方正仿宋简体"/>
          <w:sz w:val="30"/>
          <w:szCs w:val="30"/>
        </w:rPr>
      </w:pPr>
      <w:r>
        <w:rPr>
          <w:rFonts w:eastAsia="方正仿宋简体"/>
          <w:sz w:val="30"/>
          <w:szCs w:val="30"/>
        </w:rPr>
        <w:t>投资者适当性评估及交易权限分级等事宜经公司总部期权经纪业务相关部门负责人或其授权人核准后，营业部可为投资者激活衍生品合约账户和股票期权保证金账户；未通过相关审核的，证券公司不得对开户相关文件进行签署，投资者此前签署的文件即予作废处理。</w:t>
      </w:r>
    </w:p>
    <w:p>
      <w:pPr>
        <w:spacing w:line="560" w:lineRule="exact"/>
        <w:ind w:firstLine="600" w:firstLineChars="200"/>
        <w:rPr>
          <w:rFonts w:eastAsia="方正仿宋简体"/>
          <w:sz w:val="30"/>
          <w:szCs w:val="30"/>
        </w:rPr>
      </w:pPr>
      <w:r>
        <w:rPr>
          <w:rFonts w:eastAsia="方正仿宋简体"/>
          <w:sz w:val="30"/>
          <w:szCs w:val="30"/>
        </w:rPr>
        <w:t>3.6开户结果反馈，通知客户办理银衍签约</w:t>
      </w:r>
    </w:p>
    <w:p>
      <w:pPr>
        <w:spacing w:line="560" w:lineRule="exact"/>
        <w:ind w:firstLine="600" w:firstLineChars="200"/>
        <w:rPr>
          <w:rFonts w:eastAsia="方正仿宋简体"/>
          <w:sz w:val="30"/>
          <w:szCs w:val="30"/>
        </w:rPr>
      </w:pPr>
      <w:r>
        <w:rPr>
          <w:rFonts w:eastAsia="方正仿宋简体"/>
          <w:sz w:val="30"/>
          <w:szCs w:val="30"/>
        </w:rPr>
        <w:t>证券公司应当及时将审核及开户结果告知投资者，通知通过审核的投资者办理银衍签约。</w:t>
      </w:r>
    </w:p>
    <w:p>
      <w:pPr>
        <w:pStyle w:val="7"/>
        <w:numPr>
          <w:ilvl w:val="0"/>
          <w:numId w:val="24"/>
        </w:numPr>
        <w:spacing w:before="0" w:after="0" w:line="560" w:lineRule="exact"/>
        <w:ind w:left="0" w:firstLine="601" w:firstLineChars="200"/>
        <w:rPr>
          <w:rFonts w:eastAsia="方正仿宋简体"/>
          <w:sz w:val="30"/>
          <w:szCs w:val="30"/>
        </w:rPr>
      </w:pPr>
      <w:r>
        <w:rPr>
          <w:rFonts w:eastAsia="方正仿宋简体"/>
          <w:sz w:val="30"/>
          <w:szCs w:val="30"/>
        </w:rPr>
        <w:t>已开立沪市衍生品合约账户个人投资者非现场开户</w:t>
      </w:r>
    </w:p>
    <w:p>
      <w:pPr>
        <w:pStyle w:val="8"/>
        <w:keepNext w:val="0"/>
        <w:keepLines w:val="0"/>
        <w:numPr>
          <w:ilvl w:val="0"/>
          <w:numId w:val="26"/>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投资者需要准备的材料</w:t>
      </w:r>
    </w:p>
    <w:p>
      <w:pPr>
        <w:spacing w:line="560" w:lineRule="exact"/>
        <w:ind w:firstLine="600" w:firstLineChars="200"/>
        <w:rPr>
          <w:rFonts w:eastAsia="方正仿宋简体"/>
          <w:sz w:val="30"/>
          <w:szCs w:val="30"/>
        </w:rPr>
      </w:pPr>
      <w:r>
        <w:rPr>
          <w:rFonts w:eastAsia="方正仿宋简体"/>
          <w:sz w:val="30"/>
          <w:szCs w:val="30"/>
        </w:rPr>
        <w:t>1.1 身份证</w:t>
      </w:r>
    </w:p>
    <w:p>
      <w:pPr>
        <w:spacing w:line="560" w:lineRule="exact"/>
        <w:ind w:firstLine="600" w:firstLineChars="200"/>
        <w:rPr>
          <w:rFonts w:eastAsia="方正仿宋简体"/>
          <w:sz w:val="30"/>
          <w:szCs w:val="30"/>
        </w:rPr>
      </w:pPr>
      <w:r>
        <w:rPr>
          <w:rFonts w:eastAsia="方正仿宋简体"/>
          <w:sz w:val="30"/>
          <w:szCs w:val="30"/>
        </w:rPr>
        <w:t>1.2 证券公司要求的其他材料</w:t>
      </w:r>
    </w:p>
    <w:p>
      <w:pPr>
        <w:pStyle w:val="8"/>
        <w:keepNext w:val="0"/>
        <w:keepLines w:val="0"/>
        <w:numPr>
          <w:ilvl w:val="0"/>
          <w:numId w:val="26"/>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非现场开户资格审核</w:t>
      </w:r>
    </w:p>
    <w:p>
      <w:pPr>
        <w:spacing w:line="560" w:lineRule="exact"/>
        <w:ind w:firstLine="600" w:firstLineChars="200"/>
        <w:rPr>
          <w:rFonts w:eastAsia="方正仿宋简体"/>
          <w:sz w:val="30"/>
          <w:szCs w:val="30"/>
        </w:rPr>
      </w:pPr>
      <w:r>
        <w:rPr>
          <w:rFonts w:eastAsia="方正仿宋简体"/>
          <w:sz w:val="30"/>
          <w:szCs w:val="30"/>
        </w:rPr>
        <w:t>2.1 核对客户是否已在本机构开立沪市衍生品合约账户及已取得的交易权限等级</w:t>
      </w:r>
    </w:p>
    <w:p>
      <w:pPr>
        <w:spacing w:line="560" w:lineRule="exact"/>
        <w:ind w:firstLine="600" w:firstLineChars="200"/>
        <w:rPr>
          <w:rFonts w:eastAsia="方正仿宋简体"/>
          <w:sz w:val="30"/>
          <w:szCs w:val="30"/>
        </w:rPr>
      </w:pPr>
      <w:r>
        <w:rPr>
          <w:rFonts w:eastAsia="方正仿宋简体"/>
          <w:sz w:val="30"/>
          <w:szCs w:val="30"/>
        </w:rPr>
        <w:t xml:space="preserve">2.2 核对投资者身份证明文件：必须投资者本人持有效证件开户 </w:t>
      </w:r>
    </w:p>
    <w:p>
      <w:pPr>
        <w:spacing w:line="560" w:lineRule="exact"/>
        <w:ind w:firstLine="600" w:firstLineChars="200"/>
        <w:rPr>
          <w:rFonts w:eastAsia="方正仿宋简体"/>
          <w:sz w:val="30"/>
          <w:szCs w:val="30"/>
        </w:rPr>
      </w:pPr>
      <w:r>
        <w:rPr>
          <w:rFonts w:eastAsia="方正仿宋简体"/>
          <w:sz w:val="30"/>
          <w:szCs w:val="30"/>
        </w:rPr>
        <w:t xml:space="preserve">2.3 核对深市Ａ股证券账户：  </w:t>
      </w:r>
    </w:p>
    <w:p>
      <w:pPr>
        <w:spacing w:line="560" w:lineRule="exact"/>
        <w:ind w:firstLine="600" w:firstLineChars="200"/>
        <w:rPr>
          <w:rFonts w:eastAsia="方正仿宋简体"/>
          <w:sz w:val="30"/>
          <w:szCs w:val="30"/>
        </w:rPr>
      </w:pPr>
      <w:r>
        <w:rPr>
          <w:rFonts w:eastAsia="方正仿宋简体"/>
          <w:sz w:val="30"/>
          <w:szCs w:val="30"/>
        </w:rPr>
        <w:t>（1）如投资者已在其他期权经营机构处开立深市衍生品合约账户，则本次仍须使用同一深市A股证券账户进行衍生品合约账户开立。</w:t>
      </w:r>
    </w:p>
    <w:p>
      <w:pPr>
        <w:spacing w:line="560" w:lineRule="exact"/>
        <w:ind w:firstLine="600" w:firstLineChars="200"/>
        <w:rPr>
          <w:rFonts w:eastAsia="方正仿宋简体"/>
          <w:sz w:val="30"/>
          <w:szCs w:val="30"/>
        </w:rPr>
      </w:pPr>
      <w:r>
        <w:rPr>
          <w:rFonts w:eastAsia="方正仿宋简体"/>
          <w:sz w:val="30"/>
          <w:szCs w:val="30"/>
        </w:rPr>
        <w:t>（2）如投资者未有深市A股证券账户对应的衍生品合约账户，则核对该投资者是否已有账户状态正常的合格深市A股证券账户。若已有账户状态正常的合格深市A股证券账户，核对通过；若无账户状态正常的合格深市A股证券账户，需首先开立深市A股证券账户。</w:t>
      </w:r>
    </w:p>
    <w:p>
      <w:pPr>
        <w:spacing w:line="560" w:lineRule="exact"/>
        <w:ind w:firstLine="600" w:firstLineChars="200"/>
        <w:rPr>
          <w:rFonts w:eastAsia="方正仿宋简体"/>
          <w:sz w:val="30"/>
          <w:szCs w:val="30"/>
        </w:rPr>
      </w:pPr>
      <w:r>
        <w:rPr>
          <w:rFonts w:eastAsia="方正仿宋简体"/>
          <w:sz w:val="30"/>
          <w:szCs w:val="30"/>
        </w:rPr>
        <w:t>2.4 核实投资者诚信记录</w:t>
      </w:r>
    </w:p>
    <w:p>
      <w:pPr>
        <w:pStyle w:val="8"/>
        <w:keepNext w:val="0"/>
        <w:keepLines w:val="0"/>
        <w:numPr>
          <w:ilvl w:val="0"/>
          <w:numId w:val="26"/>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 xml:space="preserve">开户程序 </w:t>
      </w:r>
    </w:p>
    <w:p>
      <w:pPr>
        <w:spacing w:line="560" w:lineRule="exact"/>
        <w:ind w:firstLine="600" w:firstLineChars="200"/>
        <w:rPr>
          <w:rFonts w:eastAsia="方正仿宋简体"/>
          <w:sz w:val="30"/>
          <w:szCs w:val="30"/>
        </w:rPr>
      </w:pPr>
      <w:r>
        <w:rPr>
          <w:rFonts w:eastAsia="方正仿宋简体"/>
          <w:sz w:val="30"/>
          <w:szCs w:val="30"/>
        </w:rPr>
        <w:t>3.1 通过文字展示方式向客户解释沪深交易规则的差别，并用文字向客户解释风险揭示书及经纪合同的核心内容。</w:t>
      </w:r>
    </w:p>
    <w:p>
      <w:pPr>
        <w:spacing w:line="560" w:lineRule="exact"/>
        <w:ind w:firstLine="600" w:firstLineChars="200"/>
        <w:rPr>
          <w:rFonts w:eastAsia="方正仿宋简体"/>
          <w:sz w:val="30"/>
          <w:szCs w:val="30"/>
        </w:rPr>
      </w:pPr>
      <w:r>
        <w:rPr>
          <w:rFonts w:eastAsia="方正仿宋简体"/>
          <w:sz w:val="30"/>
          <w:szCs w:val="30"/>
        </w:rPr>
        <w:t>3.2根据中国结算非现场开户相关规定，采取网上或见证方式开户，核对客户身份信息。</w:t>
      </w:r>
    </w:p>
    <w:p>
      <w:pPr>
        <w:spacing w:line="560" w:lineRule="exact"/>
        <w:ind w:firstLine="600" w:firstLineChars="200"/>
        <w:rPr>
          <w:rFonts w:eastAsia="方正仿宋简体"/>
          <w:sz w:val="30"/>
          <w:szCs w:val="30"/>
        </w:rPr>
      </w:pPr>
      <w:r>
        <w:rPr>
          <w:rFonts w:eastAsia="方正仿宋简体"/>
          <w:sz w:val="30"/>
          <w:szCs w:val="30"/>
        </w:rPr>
        <w:t>3.3 投资者协议确认：投资者确认风险揭示书、经纪合同等各项协议。</w:t>
      </w:r>
    </w:p>
    <w:p>
      <w:pPr>
        <w:spacing w:line="560" w:lineRule="exact"/>
        <w:ind w:firstLine="600" w:firstLineChars="200"/>
        <w:rPr>
          <w:rFonts w:eastAsia="方正仿宋简体"/>
          <w:sz w:val="30"/>
          <w:szCs w:val="30"/>
        </w:rPr>
      </w:pPr>
      <w:r>
        <w:rPr>
          <w:rFonts w:eastAsia="方正仿宋简体"/>
          <w:sz w:val="30"/>
          <w:szCs w:val="30"/>
        </w:rPr>
        <w:t>3.4 为投资者办理所有开户手续（包括密码设置等），但在总部完成审核前，账户暂不生效。</w:t>
      </w:r>
    </w:p>
    <w:p>
      <w:pPr>
        <w:spacing w:line="560" w:lineRule="exact"/>
        <w:ind w:firstLine="600" w:firstLineChars="200"/>
        <w:rPr>
          <w:rFonts w:eastAsia="方正仿宋简体"/>
          <w:sz w:val="30"/>
          <w:szCs w:val="30"/>
        </w:rPr>
      </w:pPr>
      <w:r>
        <w:rPr>
          <w:rFonts w:eastAsia="方正仿宋简体"/>
          <w:sz w:val="30"/>
          <w:szCs w:val="30"/>
        </w:rPr>
        <w:t>3.5 根据沪市期权交易权限级别与持仓限额设置本所期权交易权限级别与持仓限额。</w:t>
      </w:r>
    </w:p>
    <w:p>
      <w:pPr>
        <w:spacing w:line="560" w:lineRule="exact"/>
        <w:ind w:firstLine="600" w:firstLineChars="200"/>
        <w:rPr>
          <w:rFonts w:eastAsia="方正仿宋简体"/>
          <w:sz w:val="30"/>
          <w:szCs w:val="30"/>
        </w:rPr>
      </w:pPr>
      <w:r>
        <w:rPr>
          <w:rFonts w:eastAsia="方正仿宋简体"/>
          <w:sz w:val="30"/>
          <w:szCs w:val="30"/>
        </w:rPr>
        <w:t>3.6 期权经营机构总部进行审核，审核通过的衍生品账户生效。</w:t>
      </w:r>
    </w:p>
    <w:p>
      <w:pPr>
        <w:spacing w:line="560" w:lineRule="exact"/>
        <w:ind w:firstLine="600" w:firstLineChars="200"/>
        <w:rPr>
          <w:rFonts w:eastAsia="方正仿宋简体"/>
          <w:sz w:val="30"/>
          <w:szCs w:val="30"/>
        </w:rPr>
      </w:pPr>
      <w:r>
        <w:rPr>
          <w:rFonts w:eastAsia="方正仿宋简体"/>
          <w:sz w:val="30"/>
          <w:szCs w:val="30"/>
        </w:rPr>
        <w:t>3.7 开户结果反馈。</w:t>
      </w:r>
    </w:p>
    <w:p>
      <w:pPr>
        <w:pStyle w:val="8"/>
        <w:keepNext w:val="0"/>
        <w:keepLines w:val="0"/>
        <w:numPr>
          <w:ilvl w:val="0"/>
          <w:numId w:val="26"/>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回访程序</w:t>
      </w:r>
    </w:p>
    <w:p>
      <w:pPr>
        <w:spacing w:line="560" w:lineRule="exact"/>
        <w:ind w:firstLine="600" w:firstLineChars="200"/>
        <w:rPr>
          <w:rFonts w:eastAsia="方正仿宋简体"/>
          <w:sz w:val="30"/>
          <w:szCs w:val="30"/>
        </w:rPr>
      </w:pPr>
      <w:r>
        <w:rPr>
          <w:rFonts w:eastAsia="方正仿宋简体"/>
          <w:sz w:val="30"/>
          <w:szCs w:val="30"/>
        </w:rPr>
        <w:t>证券公司应对非现场开户的投资者进行回访并保存回访记录。可以先回访成功，后开立衍生品合约账户；也可以先开立衍生品合约账户，回访成功后方允许使用账户。回访内容包括但不限于：1.核实投资者是否本人开户；2.核实开户是否为投资者本人意愿；3.是否对深沪期权交易规则的差异有清晰地了解；4.在开户过程中是否认真阅读并亲自签署了风险揭示书。</w:t>
      </w:r>
    </w:p>
    <w:p>
      <w:pPr>
        <w:pStyle w:val="7"/>
        <w:numPr>
          <w:ilvl w:val="0"/>
          <w:numId w:val="24"/>
        </w:numPr>
        <w:spacing w:before="0" w:after="0" w:line="560" w:lineRule="exact"/>
        <w:ind w:left="0" w:firstLine="601" w:firstLineChars="200"/>
        <w:rPr>
          <w:rFonts w:eastAsia="方正仿宋简体"/>
          <w:sz w:val="30"/>
          <w:szCs w:val="30"/>
        </w:rPr>
      </w:pPr>
      <w:bookmarkStart w:id="168" w:name="_Toc460944586"/>
      <w:r>
        <w:rPr>
          <w:rFonts w:eastAsia="方正仿宋简体"/>
          <w:sz w:val="30"/>
          <w:szCs w:val="30"/>
        </w:rPr>
        <w:t>机构投资者股票期权现场开户</w:t>
      </w:r>
      <w:bookmarkEnd w:id="168"/>
    </w:p>
    <w:p>
      <w:pPr>
        <w:pStyle w:val="8"/>
        <w:keepNext w:val="0"/>
        <w:keepLines w:val="0"/>
        <w:numPr>
          <w:ilvl w:val="0"/>
          <w:numId w:val="27"/>
        </w:numPr>
        <w:spacing w:before="0" w:after="0" w:line="560" w:lineRule="exact"/>
        <w:ind w:left="0" w:firstLine="601" w:firstLineChars="200"/>
        <w:rPr>
          <w:rFonts w:ascii="Times New Roman" w:hAnsi="Times New Roman" w:eastAsia="方正仿宋简体"/>
          <w:b w:val="0"/>
          <w:sz w:val="30"/>
          <w:szCs w:val="30"/>
        </w:rPr>
      </w:pPr>
      <w:r>
        <w:rPr>
          <w:rFonts w:ascii="Times New Roman" w:hAnsi="Times New Roman" w:eastAsia="方正仿宋简体"/>
          <w:sz w:val="30"/>
          <w:szCs w:val="30"/>
        </w:rPr>
        <w:t>开户准备材料</w:t>
      </w:r>
    </w:p>
    <w:p>
      <w:pPr>
        <w:spacing w:line="560" w:lineRule="exact"/>
        <w:ind w:firstLine="600" w:firstLineChars="200"/>
        <w:rPr>
          <w:rFonts w:eastAsia="方正仿宋简体"/>
          <w:sz w:val="30"/>
          <w:szCs w:val="30"/>
        </w:rPr>
      </w:pPr>
      <w:r>
        <w:rPr>
          <w:rFonts w:eastAsia="方正仿宋简体"/>
          <w:sz w:val="30"/>
          <w:szCs w:val="30"/>
        </w:rPr>
        <w:t>1.1法人证明证件：企业法人加载统一社会信用代码的营业执照（如尚未换发新版营业执照，则需营业执照和组织机构代码证）</w:t>
      </w:r>
    </w:p>
    <w:p>
      <w:pPr>
        <w:spacing w:line="560" w:lineRule="exact"/>
        <w:ind w:firstLine="600" w:firstLineChars="200"/>
        <w:rPr>
          <w:rFonts w:eastAsia="方正仿宋简体"/>
          <w:sz w:val="30"/>
          <w:szCs w:val="30"/>
        </w:rPr>
      </w:pPr>
      <w:r>
        <w:rPr>
          <w:rFonts w:eastAsia="方正仿宋简体"/>
          <w:sz w:val="30"/>
          <w:szCs w:val="30"/>
        </w:rPr>
        <w:t>1.2证券公司所需的机构投资者经办人身份证明和业务授权等材料</w:t>
      </w:r>
    </w:p>
    <w:p>
      <w:pPr>
        <w:spacing w:line="560" w:lineRule="exact"/>
        <w:ind w:firstLine="600" w:firstLineChars="200"/>
        <w:rPr>
          <w:rFonts w:eastAsia="方正仿宋简体"/>
          <w:kern w:val="0"/>
          <w:sz w:val="30"/>
          <w:szCs w:val="30"/>
        </w:rPr>
      </w:pPr>
      <w:r>
        <w:rPr>
          <w:rFonts w:eastAsia="方正仿宋简体"/>
          <w:kern w:val="0"/>
          <w:sz w:val="30"/>
          <w:szCs w:val="30"/>
        </w:rPr>
        <w:t>1.3对于普通机构投资者，还需提供上一季末净资产相关证明，或最近净资产证明</w:t>
      </w:r>
    </w:p>
    <w:p>
      <w:pPr>
        <w:spacing w:line="560" w:lineRule="exact"/>
        <w:ind w:firstLine="600" w:firstLineChars="200"/>
        <w:rPr>
          <w:rFonts w:eastAsia="方正仿宋简体"/>
          <w:kern w:val="0"/>
          <w:sz w:val="30"/>
          <w:szCs w:val="30"/>
        </w:rPr>
      </w:pPr>
      <w:r>
        <w:rPr>
          <w:rFonts w:eastAsia="方正仿宋简体"/>
          <w:kern w:val="0"/>
          <w:sz w:val="30"/>
          <w:szCs w:val="30"/>
        </w:rPr>
        <w:t>1.4根据相关监管机构要求需要进行备案的专业机构投资者，还需提供在相关监管机构的成立备案文件</w:t>
      </w:r>
    </w:p>
    <w:p>
      <w:pPr>
        <w:pStyle w:val="8"/>
        <w:keepNext w:val="0"/>
        <w:keepLines w:val="0"/>
        <w:numPr>
          <w:ilvl w:val="0"/>
          <w:numId w:val="27"/>
        </w:numPr>
        <w:spacing w:before="0" w:after="0" w:line="560" w:lineRule="exact"/>
        <w:ind w:left="0" w:firstLine="601" w:firstLineChars="200"/>
        <w:rPr>
          <w:rFonts w:ascii="Times New Roman" w:hAnsi="Times New Roman" w:eastAsia="方正仿宋简体"/>
          <w:b w:val="0"/>
          <w:sz w:val="30"/>
          <w:szCs w:val="30"/>
        </w:rPr>
      </w:pPr>
      <w:r>
        <w:rPr>
          <w:rFonts w:ascii="Times New Roman" w:hAnsi="Times New Roman" w:eastAsia="方正仿宋简体"/>
          <w:sz w:val="30"/>
          <w:szCs w:val="30"/>
        </w:rPr>
        <w:t>普通机构投资者资格初审</w:t>
      </w:r>
    </w:p>
    <w:p>
      <w:pPr>
        <w:spacing w:line="560" w:lineRule="exact"/>
        <w:ind w:firstLine="600" w:firstLineChars="200"/>
        <w:rPr>
          <w:rFonts w:eastAsia="方正仿宋简体"/>
          <w:sz w:val="30"/>
          <w:szCs w:val="30"/>
        </w:rPr>
      </w:pPr>
      <w:r>
        <w:rPr>
          <w:rFonts w:eastAsia="方正仿宋简体"/>
          <w:sz w:val="30"/>
          <w:szCs w:val="30"/>
        </w:rPr>
        <w:t>2.1核对机构法人证明文件：原件与复印件的一致性、年检有效期等信息</w:t>
      </w:r>
    </w:p>
    <w:p>
      <w:pPr>
        <w:spacing w:line="560" w:lineRule="exact"/>
        <w:ind w:firstLine="600" w:firstLineChars="200"/>
        <w:rPr>
          <w:rFonts w:eastAsia="方正仿宋简体"/>
          <w:sz w:val="30"/>
          <w:szCs w:val="30"/>
        </w:rPr>
      </w:pPr>
      <w:r>
        <w:rPr>
          <w:rFonts w:eastAsia="方正仿宋简体"/>
          <w:sz w:val="30"/>
          <w:szCs w:val="30"/>
        </w:rPr>
        <w:t>2.2核对机构投资者经办人身份信息和业务授权等材料</w:t>
      </w:r>
    </w:p>
    <w:p>
      <w:pPr>
        <w:spacing w:line="560" w:lineRule="exact"/>
        <w:ind w:firstLine="600" w:firstLineChars="200"/>
        <w:rPr>
          <w:rFonts w:eastAsia="方正仿宋简体"/>
          <w:sz w:val="30"/>
          <w:szCs w:val="30"/>
        </w:rPr>
      </w:pPr>
      <w:r>
        <w:rPr>
          <w:rFonts w:eastAsia="方正仿宋简体"/>
          <w:sz w:val="30"/>
          <w:szCs w:val="30"/>
        </w:rPr>
        <w:t>2.3核对深市Ａ股证券账户：核对该投资者是否有已开立衍生品合约账户的深市A股证券账户：</w:t>
      </w:r>
    </w:p>
    <w:p>
      <w:pPr>
        <w:spacing w:line="560" w:lineRule="exact"/>
        <w:ind w:firstLine="600" w:firstLineChars="200"/>
        <w:rPr>
          <w:rFonts w:eastAsia="方正仿宋简体"/>
          <w:sz w:val="30"/>
          <w:szCs w:val="30"/>
        </w:rPr>
      </w:pPr>
      <w:r>
        <w:rPr>
          <w:rFonts w:eastAsia="方正仿宋简体"/>
          <w:sz w:val="30"/>
          <w:szCs w:val="30"/>
        </w:rPr>
        <w:t>（1）如投资者已在其他期权经营机构处开立深市衍生品合约账户，则本次仍须使用同一深市A股证券账户开立衍生品合约账户。</w:t>
      </w:r>
    </w:p>
    <w:p>
      <w:pPr>
        <w:spacing w:line="560" w:lineRule="exact"/>
        <w:ind w:firstLine="600" w:firstLineChars="200"/>
        <w:rPr>
          <w:rFonts w:eastAsia="方正仿宋简体"/>
          <w:sz w:val="30"/>
          <w:szCs w:val="30"/>
        </w:rPr>
      </w:pPr>
      <w:r>
        <w:rPr>
          <w:rFonts w:eastAsia="方正仿宋简体"/>
          <w:sz w:val="30"/>
          <w:szCs w:val="30"/>
        </w:rPr>
        <w:t>（2）如投资者未有深市A股证券账户对应的衍生品合约账户，则核对该投资者是否在已有账户状态正常的合格深市A股证券账户。若已有账户状态正常的合格深市A股证券账户，核对通过；若无账户状态正常的合格深市A股证券账户，需首先开立深市A股账户。</w:t>
      </w:r>
    </w:p>
    <w:p>
      <w:pPr>
        <w:spacing w:line="560" w:lineRule="exact"/>
        <w:ind w:firstLine="600" w:firstLineChars="200"/>
        <w:rPr>
          <w:rFonts w:eastAsia="方正仿宋简体"/>
          <w:sz w:val="30"/>
          <w:szCs w:val="30"/>
        </w:rPr>
      </w:pPr>
      <w:r>
        <w:rPr>
          <w:rFonts w:eastAsia="方正仿宋简体"/>
          <w:sz w:val="30"/>
          <w:szCs w:val="30"/>
        </w:rPr>
        <w:t>2.4核对持有的资产</w:t>
      </w:r>
    </w:p>
    <w:p>
      <w:pPr>
        <w:spacing w:line="560" w:lineRule="exact"/>
        <w:ind w:firstLine="600" w:firstLineChars="200"/>
        <w:rPr>
          <w:rFonts w:eastAsia="方正仿宋简体"/>
          <w:sz w:val="30"/>
          <w:szCs w:val="30"/>
        </w:rPr>
      </w:pPr>
      <w:r>
        <w:rPr>
          <w:rFonts w:eastAsia="方正仿宋简体"/>
          <w:sz w:val="30"/>
          <w:szCs w:val="30"/>
        </w:rPr>
        <w:t>2.5核对相关业务人员的模拟交易经历</w:t>
      </w:r>
    </w:p>
    <w:p>
      <w:pPr>
        <w:spacing w:line="560" w:lineRule="exact"/>
        <w:ind w:firstLine="600" w:firstLineChars="200"/>
        <w:rPr>
          <w:rFonts w:eastAsia="方正仿宋简体"/>
          <w:sz w:val="30"/>
          <w:szCs w:val="30"/>
        </w:rPr>
      </w:pPr>
      <w:r>
        <w:rPr>
          <w:rFonts w:eastAsia="方正仿宋简体"/>
          <w:sz w:val="30"/>
          <w:szCs w:val="30"/>
        </w:rPr>
        <w:t>2.6核对相关业务人员的期权知识测试成绩</w:t>
      </w:r>
    </w:p>
    <w:p>
      <w:pPr>
        <w:spacing w:line="560" w:lineRule="exact"/>
        <w:ind w:firstLine="600" w:firstLineChars="200"/>
        <w:rPr>
          <w:rFonts w:eastAsia="方正仿宋简体"/>
          <w:sz w:val="30"/>
          <w:szCs w:val="30"/>
        </w:rPr>
      </w:pPr>
      <w:r>
        <w:rPr>
          <w:rFonts w:eastAsia="方正仿宋简体"/>
          <w:sz w:val="30"/>
          <w:szCs w:val="30"/>
        </w:rPr>
        <w:t>2.7</w:t>
      </w:r>
      <w:r>
        <w:rPr>
          <w:rFonts w:eastAsia="方正仿宋简体"/>
          <w:kern w:val="0"/>
          <w:sz w:val="30"/>
          <w:szCs w:val="30"/>
        </w:rPr>
        <w:t>审核其他相关信息</w:t>
      </w:r>
    </w:p>
    <w:p>
      <w:pPr>
        <w:pStyle w:val="8"/>
        <w:keepNext w:val="0"/>
        <w:keepLines w:val="0"/>
        <w:numPr>
          <w:ilvl w:val="0"/>
          <w:numId w:val="27"/>
        </w:numPr>
        <w:spacing w:before="0" w:after="0" w:line="560" w:lineRule="exact"/>
        <w:ind w:left="0" w:firstLine="601" w:firstLineChars="200"/>
        <w:rPr>
          <w:rFonts w:ascii="Times New Roman" w:hAnsi="Times New Roman" w:eastAsia="方正仿宋简体"/>
          <w:b w:val="0"/>
          <w:sz w:val="30"/>
          <w:szCs w:val="30"/>
        </w:rPr>
      </w:pPr>
      <w:r>
        <w:rPr>
          <w:rFonts w:ascii="Times New Roman" w:hAnsi="Times New Roman" w:eastAsia="方正仿宋简体"/>
          <w:sz w:val="30"/>
          <w:szCs w:val="30"/>
        </w:rPr>
        <w:t>专业机构投资者资格初审</w:t>
      </w:r>
    </w:p>
    <w:p>
      <w:pPr>
        <w:spacing w:line="560" w:lineRule="exact"/>
        <w:ind w:firstLine="600" w:firstLineChars="200"/>
        <w:rPr>
          <w:rFonts w:eastAsia="方正仿宋简体"/>
          <w:sz w:val="30"/>
          <w:szCs w:val="30"/>
        </w:rPr>
      </w:pPr>
      <w:r>
        <w:rPr>
          <w:rFonts w:eastAsia="方正仿宋简体"/>
          <w:sz w:val="30"/>
          <w:szCs w:val="30"/>
        </w:rPr>
        <w:t>3.1核对相关监管机构出具的成立备案文件</w:t>
      </w:r>
    </w:p>
    <w:p>
      <w:pPr>
        <w:spacing w:line="560" w:lineRule="exact"/>
        <w:ind w:firstLine="600" w:firstLineChars="200"/>
        <w:rPr>
          <w:rFonts w:eastAsia="方正仿宋简体"/>
          <w:sz w:val="30"/>
          <w:szCs w:val="30"/>
        </w:rPr>
      </w:pPr>
      <w:r>
        <w:rPr>
          <w:rFonts w:eastAsia="方正仿宋简体"/>
          <w:sz w:val="30"/>
          <w:szCs w:val="30"/>
        </w:rPr>
        <w:t>3.2核对机构法人证明文件：原件与复印件的一致性、年检有效期等信息</w:t>
      </w:r>
    </w:p>
    <w:p>
      <w:pPr>
        <w:spacing w:line="560" w:lineRule="exact"/>
        <w:ind w:firstLine="600" w:firstLineChars="200"/>
        <w:rPr>
          <w:rFonts w:eastAsia="方正仿宋简体"/>
          <w:sz w:val="30"/>
          <w:szCs w:val="30"/>
        </w:rPr>
      </w:pPr>
      <w:r>
        <w:rPr>
          <w:rFonts w:eastAsia="方正仿宋简体"/>
          <w:sz w:val="30"/>
          <w:szCs w:val="30"/>
        </w:rPr>
        <w:t>3.3核对机构投资者经办人身份信息和业务授权等材料</w:t>
      </w:r>
    </w:p>
    <w:p>
      <w:pPr>
        <w:spacing w:line="560" w:lineRule="exact"/>
        <w:ind w:firstLine="600" w:firstLineChars="200"/>
        <w:rPr>
          <w:rFonts w:eastAsia="方正仿宋简体"/>
          <w:sz w:val="30"/>
          <w:szCs w:val="30"/>
        </w:rPr>
      </w:pPr>
      <w:r>
        <w:rPr>
          <w:rFonts w:eastAsia="方正仿宋简体"/>
          <w:sz w:val="30"/>
          <w:szCs w:val="30"/>
        </w:rPr>
        <w:t>3.4核对深市Ａ股证券账户及衍生品合约账户</w:t>
      </w:r>
    </w:p>
    <w:p>
      <w:pPr>
        <w:spacing w:line="560" w:lineRule="exact"/>
        <w:ind w:firstLine="600" w:firstLineChars="200"/>
        <w:rPr>
          <w:rFonts w:eastAsia="方正仿宋简体"/>
          <w:bCs/>
          <w:kern w:val="0"/>
          <w:sz w:val="30"/>
          <w:szCs w:val="30"/>
          <w:lang w:bidi="ar"/>
        </w:rPr>
      </w:pPr>
      <w:r>
        <w:rPr>
          <w:rFonts w:eastAsia="方正仿宋简体"/>
          <w:bCs/>
          <w:kern w:val="0"/>
          <w:sz w:val="30"/>
          <w:szCs w:val="30"/>
          <w:lang w:bidi="ar"/>
        </w:rPr>
        <w:t>采用托管人结算模式的专业机构和产品，如需参加股票期权交易，应选择具有资格的期权经营机构开立衍生品合约账户，由中国结算对应进行配号。</w:t>
      </w:r>
    </w:p>
    <w:p>
      <w:pPr>
        <w:spacing w:line="560" w:lineRule="exact"/>
        <w:ind w:firstLine="600" w:firstLineChars="200"/>
        <w:rPr>
          <w:rFonts w:eastAsia="方正仿宋简体"/>
          <w:sz w:val="30"/>
          <w:szCs w:val="30"/>
        </w:rPr>
      </w:pPr>
      <w:r>
        <w:rPr>
          <w:rFonts w:eastAsia="方正仿宋简体"/>
          <w:bCs/>
          <w:kern w:val="0"/>
          <w:sz w:val="30"/>
          <w:szCs w:val="30"/>
          <w:lang w:bidi="ar"/>
        </w:rPr>
        <w:t>采用证券公司结算模式的专业机构和产品，</w:t>
      </w:r>
      <w:r>
        <w:rPr>
          <w:rFonts w:eastAsia="方正仿宋简体"/>
          <w:sz w:val="30"/>
          <w:szCs w:val="30"/>
        </w:rPr>
        <w:t>如已在其他期权经营机构处开立深市衍生品合约账户，则本次仍须使用同一深市A股证券账户进行衍生品合约账户开立；如未有账户状态正常的合格深市A股证券账户对应的衍生品合约账户，则核对该投资者是否已有账户状态正常的合格深市A股账户。若已有账户状态正常的合格深市A股证券账户，核对通过；若无账户状态正常的合格深市A股证券账户，需首先开立深市A股证券账户。</w:t>
      </w:r>
    </w:p>
    <w:p>
      <w:pPr>
        <w:pStyle w:val="8"/>
        <w:keepNext w:val="0"/>
        <w:keepLines w:val="0"/>
        <w:numPr>
          <w:ilvl w:val="0"/>
          <w:numId w:val="27"/>
        </w:numPr>
        <w:spacing w:before="0" w:after="0" w:line="560" w:lineRule="exact"/>
        <w:ind w:left="0" w:firstLine="601" w:firstLineChars="200"/>
        <w:rPr>
          <w:rFonts w:ascii="Times New Roman" w:hAnsi="Times New Roman" w:eastAsia="方正仿宋简体"/>
          <w:b w:val="0"/>
          <w:sz w:val="30"/>
          <w:szCs w:val="30"/>
        </w:rPr>
      </w:pPr>
      <w:r>
        <w:rPr>
          <w:rFonts w:ascii="Times New Roman" w:hAnsi="Times New Roman" w:eastAsia="方正仿宋简体"/>
          <w:sz w:val="30"/>
          <w:szCs w:val="30"/>
        </w:rPr>
        <w:t>开户程序</w:t>
      </w:r>
    </w:p>
    <w:p>
      <w:pPr>
        <w:spacing w:line="560" w:lineRule="exact"/>
        <w:ind w:firstLine="600" w:firstLineChars="200"/>
        <w:rPr>
          <w:rFonts w:eastAsia="方正仿宋简体"/>
          <w:sz w:val="30"/>
          <w:szCs w:val="30"/>
        </w:rPr>
      </w:pPr>
      <w:r>
        <w:rPr>
          <w:rFonts w:eastAsia="方正仿宋简体"/>
          <w:sz w:val="30"/>
          <w:szCs w:val="30"/>
        </w:rPr>
        <w:t>4.1普通机构投资者签署风险揭示书</w:t>
      </w:r>
    </w:p>
    <w:p>
      <w:pPr>
        <w:spacing w:line="560" w:lineRule="exact"/>
        <w:ind w:firstLine="600" w:firstLineChars="200"/>
        <w:rPr>
          <w:rFonts w:eastAsia="方正仿宋简体"/>
          <w:sz w:val="30"/>
          <w:szCs w:val="30"/>
        </w:rPr>
      </w:pPr>
      <w:r>
        <w:rPr>
          <w:rFonts w:eastAsia="方正仿宋简体"/>
          <w:sz w:val="30"/>
          <w:szCs w:val="30"/>
        </w:rPr>
        <w:t>开户人按风险揭示书要求抄写或朗读承诺并签名，证券公司对开户人抄写或朗读承诺文字的过程进行录像存档。</w:t>
      </w:r>
    </w:p>
    <w:p>
      <w:pPr>
        <w:spacing w:line="560" w:lineRule="exact"/>
        <w:ind w:firstLine="600" w:firstLineChars="200"/>
        <w:rPr>
          <w:rFonts w:eastAsia="方正仿宋简体"/>
          <w:sz w:val="30"/>
          <w:szCs w:val="30"/>
        </w:rPr>
      </w:pPr>
      <w:r>
        <w:rPr>
          <w:rFonts w:eastAsia="方正仿宋简体"/>
          <w:sz w:val="30"/>
          <w:szCs w:val="30"/>
        </w:rPr>
        <w:t>4.2机构投资者签署经纪合同</w:t>
      </w:r>
    </w:p>
    <w:p>
      <w:pPr>
        <w:spacing w:line="560" w:lineRule="exact"/>
        <w:ind w:firstLine="600" w:firstLineChars="200"/>
        <w:rPr>
          <w:rFonts w:eastAsia="方正仿宋简体"/>
          <w:sz w:val="30"/>
          <w:szCs w:val="30"/>
        </w:rPr>
      </w:pPr>
      <w:r>
        <w:rPr>
          <w:rFonts w:eastAsia="方正仿宋简体"/>
          <w:sz w:val="30"/>
          <w:szCs w:val="30"/>
        </w:rPr>
        <w:t>4.3公司总部审核</w:t>
      </w:r>
    </w:p>
    <w:p>
      <w:pPr>
        <w:spacing w:line="560" w:lineRule="exact"/>
        <w:ind w:firstLine="600" w:firstLineChars="200"/>
        <w:rPr>
          <w:rFonts w:eastAsia="方正仿宋简体"/>
          <w:sz w:val="30"/>
          <w:szCs w:val="30"/>
        </w:rPr>
      </w:pPr>
      <w:r>
        <w:rPr>
          <w:rFonts w:eastAsia="方正仿宋简体"/>
          <w:sz w:val="30"/>
          <w:szCs w:val="30"/>
        </w:rPr>
        <w:t>4.4审核与开户结果反馈，如通过审核，通知客户办理银衍账户签约</w:t>
      </w:r>
    </w:p>
    <w:p>
      <w:pPr>
        <w:pStyle w:val="7"/>
        <w:numPr>
          <w:ilvl w:val="0"/>
          <w:numId w:val="24"/>
        </w:numPr>
        <w:spacing w:before="0" w:after="0" w:line="560" w:lineRule="exact"/>
        <w:ind w:left="0" w:firstLine="601" w:firstLineChars="200"/>
        <w:rPr>
          <w:rFonts w:eastAsia="方正仿宋简体"/>
          <w:sz w:val="30"/>
          <w:szCs w:val="30"/>
        </w:rPr>
      </w:pPr>
      <w:r>
        <w:rPr>
          <w:rFonts w:eastAsia="方正仿宋简体"/>
          <w:sz w:val="30"/>
          <w:szCs w:val="30"/>
        </w:rPr>
        <w:t>已开立沪市衍生品合约账户机构投资者非现场开户</w:t>
      </w:r>
    </w:p>
    <w:p>
      <w:pPr>
        <w:pStyle w:val="8"/>
        <w:keepNext w:val="0"/>
        <w:keepLines w:val="0"/>
        <w:numPr>
          <w:ilvl w:val="0"/>
          <w:numId w:val="2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开户准备材料</w:t>
      </w:r>
    </w:p>
    <w:p>
      <w:pPr>
        <w:spacing w:line="560" w:lineRule="exact"/>
        <w:ind w:firstLine="600" w:firstLineChars="200"/>
        <w:rPr>
          <w:rFonts w:eastAsia="方正仿宋简体"/>
          <w:sz w:val="30"/>
          <w:szCs w:val="30"/>
        </w:rPr>
      </w:pPr>
      <w:r>
        <w:rPr>
          <w:rFonts w:eastAsia="方正仿宋简体"/>
          <w:sz w:val="30"/>
          <w:szCs w:val="30"/>
        </w:rPr>
        <w:t>1.1 法人证明证件：企业法人加载统一社会信用代码的营业执照（如尚未换发新版营业执照，则需营业执照和组织机构代码证）、税务登记证等</w:t>
      </w:r>
    </w:p>
    <w:p>
      <w:pPr>
        <w:spacing w:line="560" w:lineRule="exact"/>
        <w:ind w:firstLine="600" w:firstLineChars="200"/>
        <w:rPr>
          <w:rFonts w:eastAsia="方正仿宋简体"/>
          <w:sz w:val="30"/>
          <w:szCs w:val="30"/>
        </w:rPr>
      </w:pPr>
      <w:r>
        <w:rPr>
          <w:rFonts w:eastAsia="方正仿宋简体"/>
          <w:sz w:val="30"/>
          <w:szCs w:val="30"/>
        </w:rPr>
        <w:t>1.2 证券公司所需的机构投资者经办人身份证明和业务授权等材料</w:t>
      </w:r>
    </w:p>
    <w:p>
      <w:pPr>
        <w:spacing w:line="560" w:lineRule="exact"/>
        <w:ind w:firstLine="600" w:firstLineChars="200"/>
        <w:rPr>
          <w:rFonts w:eastAsia="方正仿宋简体"/>
          <w:sz w:val="30"/>
          <w:szCs w:val="30"/>
        </w:rPr>
      </w:pPr>
      <w:r>
        <w:rPr>
          <w:rFonts w:eastAsia="方正仿宋简体"/>
          <w:sz w:val="30"/>
          <w:szCs w:val="30"/>
        </w:rPr>
        <w:t>1.3根据相关监管机构要求需要进行备案的专业机构投资者，还需提供在相关监管机构的成立备案文件</w:t>
      </w:r>
    </w:p>
    <w:p>
      <w:pPr>
        <w:pStyle w:val="8"/>
        <w:keepNext w:val="0"/>
        <w:keepLines w:val="0"/>
        <w:numPr>
          <w:ilvl w:val="0"/>
          <w:numId w:val="2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普通机构投资者资格初审</w:t>
      </w:r>
    </w:p>
    <w:p>
      <w:pPr>
        <w:spacing w:line="560" w:lineRule="exact"/>
        <w:ind w:firstLine="600" w:firstLineChars="200"/>
        <w:rPr>
          <w:rFonts w:eastAsia="方正仿宋简体"/>
          <w:sz w:val="30"/>
          <w:szCs w:val="30"/>
        </w:rPr>
      </w:pPr>
      <w:r>
        <w:rPr>
          <w:rFonts w:eastAsia="方正仿宋简体"/>
          <w:sz w:val="30"/>
          <w:szCs w:val="30"/>
        </w:rPr>
        <w:t>2.1 核对机构法人证明文件：原件与复印件一致性、年检有效期等信息</w:t>
      </w:r>
    </w:p>
    <w:p>
      <w:pPr>
        <w:spacing w:line="560" w:lineRule="exact"/>
        <w:ind w:firstLine="600" w:firstLineChars="200"/>
        <w:rPr>
          <w:rFonts w:eastAsia="方正仿宋简体"/>
          <w:sz w:val="30"/>
          <w:szCs w:val="30"/>
        </w:rPr>
      </w:pPr>
      <w:r>
        <w:rPr>
          <w:rFonts w:eastAsia="方正仿宋简体"/>
          <w:sz w:val="30"/>
          <w:szCs w:val="30"/>
        </w:rPr>
        <w:t>2.2根据中国结算非现场开户相关规定，采取见证方式开户，核对机构投资者经办人身份信息和业务授权等材料</w:t>
      </w:r>
    </w:p>
    <w:p>
      <w:pPr>
        <w:spacing w:line="560" w:lineRule="exact"/>
        <w:ind w:firstLine="600" w:firstLineChars="200"/>
        <w:rPr>
          <w:rFonts w:eastAsia="方正仿宋简体"/>
          <w:sz w:val="30"/>
          <w:szCs w:val="30"/>
        </w:rPr>
      </w:pPr>
      <w:r>
        <w:rPr>
          <w:rFonts w:eastAsia="方正仿宋简体"/>
          <w:sz w:val="30"/>
          <w:szCs w:val="30"/>
        </w:rPr>
        <w:t>2.3 核对客户是否已在本机构开立沪市衍生品合约账户</w:t>
      </w:r>
    </w:p>
    <w:p>
      <w:pPr>
        <w:spacing w:line="560" w:lineRule="exact"/>
        <w:ind w:firstLine="600" w:firstLineChars="200"/>
        <w:rPr>
          <w:rFonts w:eastAsia="方正仿宋简体"/>
          <w:sz w:val="30"/>
          <w:szCs w:val="30"/>
        </w:rPr>
      </w:pPr>
      <w:r>
        <w:rPr>
          <w:rFonts w:eastAsia="方正仿宋简体"/>
          <w:sz w:val="30"/>
          <w:szCs w:val="30"/>
        </w:rPr>
        <w:t>2.4 核对深市Ａ股证券账户：</w:t>
      </w:r>
    </w:p>
    <w:p>
      <w:pPr>
        <w:spacing w:line="560" w:lineRule="exact"/>
        <w:ind w:firstLine="600" w:firstLineChars="200"/>
        <w:rPr>
          <w:rFonts w:eastAsia="方正仿宋简体"/>
          <w:sz w:val="30"/>
          <w:szCs w:val="30"/>
        </w:rPr>
      </w:pPr>
      <w:r>
        <w:rPr>
          <w:rFonts w:eastAsia="方正仿宋简体"/>
          <w:sz w:val="30"/>
          <w:szCs w:val="30"/>
        </w:rPr>
        <w:t>（1）如投资者已在其他期权经营机构处开立深市衍生品合约账户，则本次仍须使用同一深市A股证券账户进行衍生品合约账户开立。</w:t>
      </w:r>
    </w:p>
    <w:p>
      <w:pPr>
        <w:spacing w:line="560" w:lineRule="exact"/>
        <w:ind w:firstLine="600" w:firstLineChars="200"/>
        <w:rPr>
          <w:rFonts w:eastAsia="方正仿宋简体"/>
          <w:sz w:val="30"/>
          <w:szCs w:val="30"/>
        </w:rPr>
      </w:pPr>
      <w:r>
        <w:rPr>
          <w:rFonts w:eastAsia="方正仿宋简体"/>
          <w:sz w:val="30"/>
          <w:szCs w:val="30"/>
        </w:rPr>
        <w:t>（2）如投资者未有深市A股证券账户对应的衍生品合约账户，则核对该投资者是否已有账户状态正常的合格深市A股证券账户。若已有账户状态正常的合格深市A股证券账户，核对通过；若无账户状态正常的合格深市A股证券账户，需首先开立深市A股证券账户。</w:t>
      </w:r>
    </w:p>
    <w:p>
      <w:pPr>
        <w:spacing w:line="560" w:lineRule="exact"/>
        <w:ind w:firstLine="600" w:firstLineChars="200"/>
        <w:rPr>
          <w:rFonts w:eastAsia="方正仿宋简体"/>
          <w:sz w:val="30"/>
          <w:szCs w:val="30"/>
        </w:rPr>
      </w:pPr>
      <w:r>
        <w:rPr>
          <w:rFonts w:eastAsia="方正仿宋简体"/>
          <w:sz w:val="30"/>
          <w:szCs w:val="30"/>
        </w:rPr>
        <w:t>2.5 审核其他相关信息</w:t>
      </w:r>
    </w:p>
    <w:p>
      <w:pPr>
        <w:pStyle w:val="8"/>
        <w:keepNext w:val="0"/>
        <w:keepLines w:val="0"/>
        <w:numPr>
          <w:ilvl w:val="0"/>
          <w:numId w:val="2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专业机构投资者资格初审</w:t>
      </w:r>
    </w:p>
    <w:p>
      <w:pPr>
        <w:spacing w:line="560" w:lineRule="exact"/>
        <w:ind w:firstLine="600" w:firstLineChars="200"/>
        <w:rPr>
          <w:rFonts w:eastAsia="方正仿宋简体"/>
          <w:sz w:val="30"/>
          <w:szCs w:val="30"/>
        </w:rPr>
      </w:pPr>
      <w:r>
        <w:rPr>
          <w:rFonts w:eastAsia="方正仿宋简体"/>
          <w:sz w:val="30"/>
          <w:szCs w:val="30"/>
        </w:rPr>
        <w:t>3.1 核对相关监管机构出具的成立备案文件</w:t>
      </w:r>
    </w:p>
    <w:p>
      <w:pPr>
        <w:spacing w:line="560" w:lineRule="exact"/>
        <w:ind w:firstLine="600" w:firstLineChars="200"/>
        <w:rPr>
          <w:rFonts w:eastAsia="方正仿宋简体"/>
          <w:sz w:val="30"/>
          <w:szCs w:val="30"/>
        </w:rPr>
      </w:pPr>
      <w:r>
        <w:rPr>
          <w:rFonts w:eastAsia="方正仿宋简体"/>
          <w:sz w:val="30"/>
          <w:szCs w:val="30"/>
        </w:rPr>
        <w:t>3.2 核对机构法人证明文件：原件与复印件一致性、年检有效期等信息</w:t>
      </w:r>
    </w:p>
    <w:p>
      <w:pPr>
        <w:spacing w:line="560" w:lineRule="exact"/>
        <w:ind w:firstLine="600" w:firstLineChars="200"/>
        <w:rPr>
          <w:rFonts w:eastAsia="方正仿宋简体"/>
          <w:sz w:val="30"/>
          <w:szCs w:val="30"/>
        </w:rPr>
      </w:pPr>
      <w:r>
        <w:rPr>
          <w:rFonts w:eastAsia="方正仿宋简体"/>
          <w:sz w:val="30"/>
          <w:szCs w:val="30"/>
        </w:rPr>
        <w:t>3.3 核对机构投资者经办人身份信息和业务授权等材料</w:t>
      </w:r>
    </w:p>
    <w:p>
      <w:pPr>
        <w:spacing w:line="560" w:lineRule="exact"/>
        <w:ind w:firstLine="600" w:firstLineChars="200"/>
        <w:rPr>
          <w:rFonts w:eastAsia="方正仿宋简体"/>
          <w:sz w:val="30"/>
          <w:szCs w:val="30"/>
        </w:rPr>
      </w:pPr>
      <w:r>
        <w:rPr>
          <w:rFonts w:eastAsia="方正仿宋简体"/>
          <w:sz w:val="30"/>
          <w:szCs w:val="30"/>
        </w:rPr>
        <w:t>3.4 核对客户是否已在本机构开立沪市衍生品合约账户及已取得的交易权限等级</w:t>
      </w:r>
    </w:p>
    <w:p>
      <w:pPr>
        <w:spacing w:line="560" w:lineRule="exact"/>
        <w:ind w:firstLine="600" w:firstLineChars="200"/>
        <w:rPr>
          <w:rFonts w:eastAsia="方正仿宋简体"/>
          <w:sz w:val="30"/>
          <w:szCs w:val="30"/>
        </w:rPr>
      </w:pPr>
      <w:r>
        <w:rPr>
          <w:rFonts w:eastAsia="方正仿宋简体"/>
          <w:sz w:val="30"/>
          <w:szCs w:val="30"/>
        </w:rPr>
        <w:t>3.5 核对深市Ａ股证券账户：</w:t>
      </w:r>
    </w:p>
    <w:p>
      <w:pPr>
        <w:spacing w:line="560" w:lineRule="exact"/>
        <w:ind w:firstLine="600" w:firstLineChars="200"/>
        <w:rPr>
          <w:rFonts w:eastAsia="方正仿宋简体"/>
          <w:sz w:val="30"/>
          <w:szCs w:val="30"/>
        </w:rPr>
      </w:pPr>
      <w:r>
        <w:rPr>
          <w:rFonts w:eastAsia="方正仿宋简体"/>
          <w:sz w:val="30"/>
          <w:szCs w:val="30"/>
        </w:rPr>
        <w:t>（1）如投资者已在其他期权经营机构处开立深市衍生品合约账户，则本次仍须使用同一深市A股证券账户进行衍生品合约账户开立。</w:t>
      </w:r>
    </w:p>
    <w:p>
      <w:pPr>
        <w:spacing w:line="560" w:lineRule="exact"/>
        <w:ind w:firstLine="600" w:firstLineChars="200"/>
        <w:rPr>
          <w:rFonts w:eastAsia="方正仿宋简体"/>
          <w:sz w:val="30"/>
          <w:szCs w:val="30"/>
        </w:rPr>
      </w:pPr>
      <w:r>
        <w:rPr>
          <w:rFonts w:eastAsia="方正仿宋简体"/>
          <w:sz w:val="30"/>
          <w:szCs w:val="30"/>
        </w:rPr>
        <w:t>（2）如投资者未有深市A股证券账户对应的衍生品合约账户，则核对该投资者是否已有账户状态正常的合格深市A股证券账户。若已有账户状态正常的合格深市A股证券账户，核对通过；若无账户状态正常的合格深市A股证券账户，需首先开立深市A股证券账户。</w:t>
      </w:r>
    </w:p>
    <w:p>
      <w:pPr>
        <w:pStyle w:val="8"/>
        <w:keepNext w:val="0"/>
        <w:keepLines w:val="0"/>
        <w:numPr>
          <w:ilvl w:val="0"/>
          <w:numId w:val="2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开户程序</w:t>
      </w:r>
    </w:p>
    <w:p>
      <w:pPr>
        <w:spacing w:line="560" w:lineRule="exact"/>
        <w:ind w:firstLine="600" w:firstLineChars="200"/>
        <w:rPr>
          <w:rFonts w:eastAsia="方正仿宋简体"/>
          <w:sz w:val="30"/>
          <w:szCs w:val="30"/>
        </w:rPr>
      </w:pPr>
      <w:r>
        <w:rPr>
          <w:rFonts w:eastAsia="方正仿宋简体"/>
          <w:sz w:val="30"/>
          <w:szCs w:val="30"/>
        </w:rPr>
        <w:t>4.1根据中国结算非现场开户相关规定，采取见证方式开户，核对客户身份信息</w:t>
      </w:r>
    </w:p>
    <w:p>
      <w:pPr>
        <w:spacing w:line="560" w:lineRule="exact"/>
        <w:ind w:firstLine="600" w:firstLineChars="200"/>
        <w:rPr>
          <w:rFonts w:eastAsia="方正仿宋简体"/>
          <w:sz w:val="30"/>
          <w:szCs w:val="30"/>
        </w:rPr>
      </w:pPr>
      <w:r>
        <w:rPr>
          <w:rFonts w:eastAsia="方正仿宋简体"/>
          <w:sz w:val="30"/>
          <w:szCs w:val="30"/>
        </w:rPr>
        <w:t>4.2 投资者签署风险揭示书。开户人按风险揭示书要求抄写或朗读承诺并签名，见证人员对开户人抄写或朗读承诺文字的过程进行录像存档</w:t>
      </w:r>
    </w:p>
    <w:p>
      <w:pPr>
        <w:spacing w:line="560" w:lineRule="exact"/>
        <w:ind w:firstLine="600" w:firstLineChars="200"/>
        <w:rPr>
          <w:rFonts w:eastAsia="方正仿宋简体"/>
          <w:sz w:val="30"/>
          <w:szCs w:val="30"/>
        </w:rPr>
      </w:pPr>
      <w:r>
        <w:rPr>
          <w:rFonts w:eastAsia="方正仿宋简体"/>
          <w:sz w:val="30"/>
          <w:szCs w:val="30"/>
        </w:rPr>
        <w:t>4.3 投资者签署经纪合同</w:t>
      </w:r>
    </w:p>
    <w:p>
      <w:pPr>
        <w:spacing w:line="560" w:lineRule="exact"/>
        <w:ind w:firstLine="600" w:firstLineChars="200"/>
        <w:rPr>
          <w:rFonts w:eastAsia="方正仿宋简体"/>
          <w:sz w:val="30"/>
          <w:szCs w:val="30"/>
        </w:rPr>
      </w:pPr>
      <w:r>
        <w:rPr>
          <w:rFonts w:eastAsia="方正仿宋简体"/>
          <w:sz w:val="30"/>
          <w:szCs w:val="30"/>
        </w:rPr>
        <w:t>4.4 为投资者办理所有开户手续（包括密码设置等），但在总部完成审核前，账户暂不生效</w:t>
      </w:r>
    </w:p>
    <w:p>
      <w:pPr>
        <w:spacing w:line="560" w:lineRule="exact"/>
        <w:ind w:firstLine="600" w:firstLineChars="200"/>
        <w:rPr>
          <w:rFonts w:eastAsia="方正仿宋简体"/>
          <w:sz w:val="30"/>
          <w:szCs w:val="30"/>
        </w:rPr>
      </w:pPr>
      <w:r>
        <w:rPr>
          <w:rFonts w:eastAsia="方正仿宋简体"/>
          <w:sz w:val="30"/>
          <w:szCs w:val="30"/>
        </w:rPr>
        <w:t>4.5 公司总部审核，审核通过的衍生品账户生效</w:t>
      </w:r>
    </w:p>
    <w:p>
      <w:pPr>
        <w:spacing w:line="560" w:lineRule="exact"/>
        <w:ind w:firstLine="600" w:firstLineChars="200"/>
        <w:rPr>
          <w:rFonts w:eastAsia="方正仿宋简体"/>
          <w:sz w:val="30"/>
          <w:szCs w:val="30"/>
        </w:rPr>
      </w:pPr>
      <w:r>
        <w:rPr>
          <w:rFonts w:eastAsia="方正仿宋简体"/>
          <w:sz w:val="30"/>
          <w:szCs w:val="30"/>
        </w:rPr>
        <w:t>4.6 审核与开户结果反馈</w:t>
      </w:r>
    </w:p>
    <w:p>
      <w:pPr>
        <w:pStyle w:val="8"/>
        <w:keepNext w:val="0"/>
        <w:keepLines w:val="0"/>
        <w:numPr>
          <w:ilvl w:val="0"/>
          <w:numId w:val="2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回访程序</w:t>
      </w:r>
    </w:p>
    <w:p>
      <w:pPr>
        <w:spacing w:line="560" w:lineRule="exact"/>
        <w:ind w:firstLine="600" w:firstLineChars="200"/>
        <w:rPr>
          <w:rFonts w:eastAsia="方正仿宋简体"/>
          <w:sz w:val="30"/>
          <w:szCs w:val="30"/>
        </w:rPr>
      </w:pPr>
      <w:r>
        <w:rPr>
          <w:rFonts w:eastAsia="方正仿宋简体"/>
          <w:sz w:val="30"/>
          <w:szCs w:val="30"/>
        </w:rPr>
        <w:t>证券公司应对投资者进行回访并保存回访记录。可以先回访成功，后开立衍生品合约账户；也可以先开立衍生品合约账户，回访成功后方允许使用账户。回访内容包括但不限于：1.核实投资者是否本人开户；2.核实开户是否为投资者本人意愿；3.是否对深沪期权交易规则的差异有清晰地了解；4.在开户过程中是否认真阅读并亲自签署了风险揭示书。</w:t>
      </w:r>
    </w:p>
    <w:p>
      <w:pPr>
        <w:pStyle w:val="7"/>
        <w:numPr>
          <w:ilvl w:val="0"/>
          <w:numId w:val="24"/>
        </w:numPr>
        <w:spacing w:before="0" w:after="0" w:line="560" w:lineRule="exact"/>
        <w:ind w:left="0" w:firstLine="601" w:firstLineChars="200"/>
        <w:rPr>
          <w:rFonts w:eastAsia="方正仿宋简体"/>
          <w:sz w:val="30"/>
          <w:szCs w:val="30"/>
        </w:rPr>
      </w:pPr>
      <w:r>
        <w:rPr>
          <w:rFonts w:eastAsia="方正仿宋简体"/>
          <w:sz w:val="30"/>
          <w:szCs w:val="30"/>
        </w:rPr>
        <w:t>开户管理</w:t>
      </w:r>
    </w:p>
    <w:p>
      <w:pPr>
        <w:pStyle w:val="8"/>
        <w:keepNext w:val="0"/>
        <w:keepLines w:val="0"/>
        <w:numPr>
          <w:ilvl w:val="0"/>
          <w:numId w:val="29"/>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普通类型合约账户开户管理</w:t>
      </w:r>
    </w:p>
    <w:p>
      <w:pPr>
        <w:spacing w:line="560" w:lineRule="exact"/>
        <w:ind w:firstLine="600" w:firstLineChars="200"/>
        <w:rPr>
          <w:rFonts w:eastAsia="方正仿宋简体"/>
          <w:sz w:val="30"/>
          <w:szCs w:val="30"/>
        </w:rPr>
      </w:pPr>
      <w:r>
        <w:rPr>
          <w:rFonts w:eastAsia="方正仿宋简体"/>
          <w:sz w:val="30"/>
          <w:szCs w:val="30"/>
        </w:rPr>
        <w:t>个人投资者和普通机构投资者须使用单一深市A股证券账户开立普通类型的衍生品合约账户。证券公司按适当性要求为合格投资者申请开立合约账户前，需通过中国结算统一账户平台检查该投资者于其他经营机构处开立的合约账户。如投资者已在其它经营机构处开立普通类型的合约账户，则本次为投资者开立新的合约账户需使用同一深市A股证券账户进行配号申请。</w:t>
      </w:r>
    </w:p>
    <w:p>
      <w:pPr>
        <w:spacing w:line="560" w:lineRule="exact"/>
        <w:ind w:firstLine="600" w:firstLineChars="200"/>
        <w:rPr>
          <w:rFonts w:eastAsia="方正仿宋简体"/>
          <w:sz w:val="30"/>
          <w:szCs w:val="30"/>
        </w:rPr>
      </w:pPr>
      <w:r>
        <w:rPr>
          <w:rFonts w:eastAsia="方正仿宋简体"/>
          <w:sz w:val="30"/>
          <w:szCs w:val="30"/>
        </w:rPr>
        <w:t>投资者开立非首个衍生品合约账户时，在提供已开立的首个合约账户相关凭证或交易记录的情况下，证券公司只需执行以下投资者适当性评估要求，无需再对投资者的交易经历、知识测试成绩、期权模拟交易经历进行核查：</w:t>
      </w:r>
    </w:p>
    <w:p>
      <w:pPr>
        <w:pStyle w:val="58"/>
        <w:numPr>
          <w:ilvl w:val="1"/>
          <w:numId w:val="30"/>
        </w:numPr>
        <w:spacing w:line="560" w:lineRule="exact"/>
        <w:ind w:firstLine="600"/>
        <w:rPr>
          <w:rFonts w:eastAsia="方正仿宋简体"/>
          <w:sz w:val="30"/>
          <w:szCs w:val="30"/>
        </w:rPr>
      </w:pPr>
      <w:r>
        <w:rPr>
          <w:rFonts w:eastAsia="方正仿宋简体"/>
          <w:sz w:val="30"/>
          <w:szCs w:val="30"/>
        </w:rPr>
        <w:t>个人投资者</w:t>
      </w:r>
    </w:p>
    <w:p>
      <w:pPr>
        <w:spacing w:line="560" w:lineRule="exact"/>
        <w:ind w:firstLine="600" w:firstLineChars="200"/>
        <w:rPr>
          <w:rFonts w:eastAsia="方正仿宋简体"/>
          <w:sz w:val="30"/>
          <w:szCs w:val="30"/>
        </w:rPr>
      </w:pPr>
      <w:r>
        <w:rPr>
          <w:rFonts w:eastAsia="方正仿宋简体"/>
          <w:sz w:val="30"/>
          <w:szCs w:val="30"/>
        </w:rPr>
        <w:t>申请开户前20个交易日日均持有的证券市值与资金账户可用余额（不含通过融资融券交易融入的资金和证券），合计不低于人民币50万元；</w:t>
      </w:r>
    </w:p>
    <w:p>
      <w:pPr>
        <w:spacing w:line="560" w:lineRule="exact"/>
        <w:ind w:firstLine="600" w:firstLineChars="200"/>
        <w:rPr>
          <w:rFonts w:eastAsia="方正仿宋简体"/>
          <w:sz w:val="30"/>
          <w:szCs w:val="30"/>
        </w:rPr>
      </w:pPr>
      <w:r>
        <w:rPr>
          <w:rFonts w:eastAsia="方正仿宋简体"/>
          <w:sz w:val="30"/>
          <w:szCs w:val="30"/>
        </w:rPr>
        <w:t>通过本公司的风险承受能力评估，1年内对该投资者进行过风险评估的，可不重做评估。</w:t>
      </w:r>
    </w:p>
    <w:p>
      <w:pPr>
        <w:pStyle w:val="58"/>
        <w:numPr>
          <w:ilvl w:val="1"/>
          <w:numId w:val="30"/>
        </w:numPr>
        <w:spacing w:line="560" w:lineRule="exact"/>
        <w:ind w:firstLine="600"/>
        <w:rPr>
          <w:rFonts w:eastAsia="方正仿宋简体"/>
          <w:sz w:val="30"/>
          <w:szCs w:val="30"/>
        </w:rPr>
      </w:pPr>
      <w:r>
        <w:rPr>
          <w:rFonts w:eastAsia="方正仿宋简体"/>
          <w:sz w:val="30"/>
          <w:szCs w:val="30"/>
        </w:rPr>
        <w:t>普通机构投资者</w:t>
      </w:r>
    </w:p>
    <w:p>
      <w:pPr>
        <w:spacing w:line="560" w:lineRule="exact"/>
        <w:ind w:firstLine="600" w:firstLineChars="200"/>
        <w:rPr>
          <w:rFonts w:eastAsia="方正仿宋简体"/>
          <w:sz w:val="30"/>
          <w:szCs w:val="30"/>
        </w:rPr>
      </w:pPr>
      <w:r>
        <w:rPr>
          <w:rFonts w:eastAsia="方正仿宋简体"/>
          <w:sz w:val="30"/>
          <w:szCs w:val="30"/>
        </w:rPr>
        <w:t>申请开户前20个交易日日均持有的证券市值与资金账户可用余额（不含通过融资融券交易融入的资金和证券），合计不低于人民币100万元；</w:t>
      </w:r>
    </w:p>
    <w:p>
      <w:pPr>
        <w:spacing w:line="560" w:lineRule="exact"/>
        <w:ind w:firstLine="600" w:firstLineChars="200"/>
        <w:rPr>
          <w:rFonts w:eastAsia="方正仿宋简体"/>
          <w:sz w:val="30"/>
          <w:szCs w:val="30"/>
        </w:rPr>
      </w:pPr>
      <w:r>
        <w:rPr>
          <w:rFonts w:eastAsia="方正仿宋简体"/>
          <w:sz w:val="30"/>
          <w:szCs w:val="30"/>
        </w:rPr>
        <w:t>上一季度末净资产不低于人民币100万元（新成立的机构取最近净资产）。</w:t>
      </w:r>
      <w:bookmarkStart w:id="169" w:name="_Toc460944588"/>
    </w:p>
    <w:p>
      <w:pPr>
        <w:pStyle w:val="8"/>
        <w:keepNext w:val="0"/>
        <w:keepLines w:val="0"/>
        <w:numPr>
          <w:ilvl w:val="0"/>
          <w:numId w:val="29"/>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特殊业务合约账户开户管理</w:t>
      </w:r>
    </w:p>
    <w:p>
      <w:pPr>
        <w:spacing w:line="560" w:lineRule="exact"/>
        <w:ind w:firstLine="600" w:firstLineChars="200"/>
        <w:rPr>
          <w:rFonts w:eastAsia="方正仿宋简体"/>
          <w:sz w:val="30"/>
          <w:szCs w:val="30"/>
        </w:rPr>
      </w:pPr>
      <w:r>
        <w:rPr>
          <w:rFonts w:eastAsia="方正仿宋简体"/>
          <w:sz w:val="30"/>
          <w:szCs w:val="30"/>
        </w:rPr>
        <w:t>投资者从事套期保值等特殊业务，需使用专用的深市A股证券账户申请开立合约账户，用于区分不同用途的期权业务。特殊业务投资者需向本所申请相关业务资格，报备计划使用的深市A股证券账户。相关业务资格申请通过后，再使用报备的深市A股证券账户对应的已有合约账户或新开立合约账户进行相关交易。具体见《深圳证券交易所股票期权试点持仓限额管理业务指引》及相关指南。</w:t>
      </w:r>
    </w:p>
    <w:p>
      <w:pPr>
        <w:pStyle w:val="7"/>
        <w:numPr>
          <w:ilvl w:val="0"/>
          <w:numId w:val="24"/>
        </w:numPr>
        <w:spacing w:before="0" w:after="0" w:line="560" w:lineRule="exact"/>
        <w:ind w:left="0" w:firstLine="601" w:firstLineChars="200"/>
        <w:rPr>
          <w:rFonts w:eastAsia="方正仿宋简体"/>
          <w:sz w:val="30"/>
          <w:szCs w:val="30"/>
        </w:rPr>
      </w:pPr>
      <w:r>
        <w:rPr>
          <w:rFonts w:eastAsia="方正仿宋简体"/>
          <w:sz w:val="30"/>
          <w:szCs w:val="30"/>
        </w:rPr>
        <w:t>客户资料的修改</w:t>
      </w:r>
      <w:bookmarkEnd w:id="169"/>
    </w:p>
    <w:p>
      <w:pPr>
        <w:spacing w:line="560" w:lineRule="exact"/>
        <w:ind w:firstLine="600" w:firstLineChars="200"/>
        <w:rPr>
          <w:rFonts w:eastAsia="方正仿宋简体"/>
          <w:sz w:val="30"/>
          <w:szCs w:val="30"/>
        </w:rPr>
      </w:pPr>
      <w:r>
        <w:rPr>
          <w:rFonts w:eastAsia="方正仿宋简体"/>
          <w:sz w:val="30"/>
          <w:szCs w:val="30"/>
        </w:rPr>
        <w:t>客户资料修改业务包括客户信息资料修改、交易权限修改、持仓限额修改、密码重置等。客户资料修改应符合相关规定，并留痕。</w:t>
      </w:r>
    </w:p>
    <w:p>
      <w:pPr>
        <w:spacing w:line="560" w:lineRule="exact"/>
        <w:ind w:firstLine="600" w:firstLineChars="200"/>
        <w:rPr>
          <w:rFonts w:eastAsia="方正仿宋简体"/>
          <w:sz w:val="30"/>
          <w:szCs w:val="30"/>
        </w:rPr>
      </w:pPr>
      <w:r>
        <w:rPr>
          <w:rFonts w:eastAsia="方正仿宋简体"/>
          <w:sz w:val="30"/>
          <w:szCs w:val="30"/>
        </w:rPr>
        <w:t>客户信息资料及密码的修改等操作应严格遵循证券公司内部操作流程。客户交易权限及持仓限额的修改，由分支机构进行初步审查、复核后提交至总部审核。</w:t>
      </w:r>
    </w:p>
    <w:p>
      <w:pPr>
        <w:pStyle w:val="7"/>
        <w:numPr>
          <w:ilvl w:val="0"/>
          <w:numId w:val="24"/>
        </w:numPr>
        <w:spacing w:before="0" w:after="0" w:line="560" w:lineRule="exact"/>
        <w:ind w:left="0" w:firstLine="601" w:firstLineChars="200"/>
        <w:rPr>
          <w:rFonts w:eastAsia="方正仿宋简体"/>
          <w:sz w:val="30"/>
          <w:szCs w:val="30"/>
        </w:rPr>
      </w:pPr>
      <w:bookmarkStart w:id="170" w:name="_Toc460944589"/>
      <w:r>
        <w:rPr>
          <w:rFonts w:eastAsia="方正仿宋简体"/>
          <w:sz w:val="30"/>
          <w:szCs w:val="30"/>
        </w:rPr>
        <w:t>客户衍生品账户销户</w:t>
      </w:r>
      <w:bookmarkEnd w:id="170"/>
    </w:p>
    <w:p>
      <w:pPr>
        <w:spacing w:line="560" w:lineRule="exact"/>
        <w:ind w:firstLine="600" w:firstLineChars="200"/>
        <w:rPr>
          <w:rFonts w:eastAsia="方正仿宋简体"/>
          <w:sz w:val="30"/>
          <w:szCs w:val="30"/>
        </w:rPr>
      </w:pPr>
      <w:r>
        <w:rPr>
          <w:rFonts w:eastAsia="方正仿宋简体"/>
          <w:sz w:val="30"/>
          <w:szCs w:val="30"/>
        </w:rPr>
        <w:t>衍生品账户销户业务须由客户本人按以下顺序办理：</w:t>
      </w:r>
    </w:p>
    <w:p>
      <w:pPr>
        <w:spacing w:line="560" w:lineRule="exact"/>
        <w:ind w:firstLine="600" w:firstLineChars="200"/>
        <w:rPr>
          <w:rFonts w:eastAsia="方正仿宋简体"/>
          <w:sz w:val="30"/>
          <w:szCs w:val="30"/>
        </w:rPr>
      </w:pPr>
      <w:r>
        <w:rPr>
          <w:rFonts w:eastAsia="方正仿宋简体"/>
          <w:sz w:val="30"/>
          <w:szCs w:val="30"/>
        </w:rPr>
        <w:t>1</w:t>
      </w:r>
      <w:r>
        <w:rPr>
          <w:rFonts w:hint="eastAsia" w:eastAsia="方正仿宋简体"/>
          <w:sz w:val="30"/>
          <w:szCs w:val="30"/>
        </w:rPr>
        <w:t>．</w:t>
      </w:r>
      <w:r>
        <w:rPr>
          <w:rFonts w:eastAsia="方正仿宋简体"/>
          <w:sz w:val="30"/>
          <w:szCs w:val="30"/>
        </w:rPr>
        <w:t>注销衍生品合约账户；</w:t>
      </w:r>
    </w:p>
    <w:p>
      <w:pPr>
        <w:spacing w:line="560" w:lineRule="exact"/>
        <w:ind w:firstLine="600" w:firstLineChars="200"/>
        <w:rPr>
          <w:rFonts w:eastAsia="方正仿宋简体"/>
          <w:sz w:val="30"/>
          <w:szCs w:val="30"/>
        </w:rPr>
      </w:pPr>
      <w:r>
        <w:rPr>
          <w:rFonts w:eastAsia="方正仿宋简体"/>
          <w:sz w:val="30"/>
          <w:szCs w:val="30"/>
        </w:rPr>
        <w:t>2</w:t>
      </w:r>
      <w:r>
        <w:rPr>
          <w:rFonts w:hint="eastAsia" w:eastAsia="方正仿宋简体"/>
          <w:sz w:val="30"/>
          <w:szCs w:val="30"/>
        </w:rPr>
        <w:t>．</w:t>
      </w:r>
      <w:r>
        <w:rPr>
          <w:rFonts w:eastAsia="方正仿宋简体"/>
          <w:sz w:val="30"/>
          <w:szCs w:val="30"/>
        </w:rPr>
        <w:t>撤销银衍转账；</w:t>
      </w:r>
    </w:p>
    <w:p>
      <w:pPr>
        <w:spacing w:line="560" w:lineRule="exact"/>
        <w:ind w:firstLine="600" w:firstLineChars="200"/>
        <w:rPr>
          <w:rFonts w:eastAsia="方正仿宋简体"/>
          <w:sz w:val="30"/>
          <w:szCs w:val="30"/>
        </w:rPr>
      </w:pPr>
      <w:r>
        <w:rPr>
          <w:rFonts w:eastAsia="方正仿宋简体"/>
          <w:sz w:val="30"/>
          <w:szCs w:val="30"/>
        </w:rPr>
        <w:t>3</w:t>
      </w:r>
      <w:r>
        <w:rPr>
          <w:rFonts w:hint="eastAsia" w:eastAsia="方正仿宋简体"/>
          <w:sz w:val="30"/>
          <w:szCs w:val="30"/>
        </w:rPr>
        <w:t>．</w:t>
      </w:r>
      <w:r>
        <w:rPr>
          <w:rFonts w:eastAsia="方正仿宋简体"/>
          <w:sz w:val="30"/>
          <w:szCs w:val="30"/>
        </w:rPr>
        <w:t>注销股票期权保证金账户。</w:t>
      </w:r>
    </w:p>
    <w:p>
      <w:pPr>
        <w:spacing w:line="560" w:lineRule="exact"/>
        <w:ind w:firstLine="600" w:firstLineChars="200"/>
        <w:rPr>
          <w:rFonts w:eastAsia="方正仿宋简体"/>
          <w:kern w:val="0"/>
          <w:sz w:val="30"/>
          <w:szCs w:val="30"/>
        </w:rPr>
      </w:pPr>
      <w:r>
        <w:rPr>
          <w:rFonts w:eastAsia="方正仿宋简体"/>
          <w:sz w:val="30"/>
          <w:szCs w:val="30"/>
        </w:rPr>
        <w:t>证券公司确认投资者衍生品合约账户内没有持仓及未了结债权债务后，方可办理投资者合约账户销户。投资者所有合约账户销户后方可办理对应证券账户的销户。</w:t>
      </w:r>
      <w:r>
        <w:rPr>
          <w:rFonts w:eastAsia="方正仿宋简体"/>
          <w:kern w:val="0"/>
          <w:sz w:val="30"/>
          <w:szCs w:val="30"/>
        </w:rPr>
        <w:br w:type="page"/>
      </w: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171" w:name="_Toc25049477"/>
      <w:bookmarkStart w:id="172" w:name="_Toc422331050"/>
      <w:r>
        <w:rPr>
          <w:rFonts w:ascii="黑体" w:hAnsi="黑体" w:eastAsia="黑体"/>
          <w:bCs/>
          <w:sz w:val="30"/>
          <w:szCs w:val="30"/>
        </w:rPr>
        <w:t>持仓限额管理</w:t>
      </w:r>
      <w:bookmarkEnd w:id="171"/>
      <w:bookmarkEnd w:id="172"/>
    </w:p>
    <w:p>
      <w:pPr>
        <w:spacing w:line="560" w:lineRule="exact"/>
        <w:ind w:firstLine="600" w:firstLineChars="200"/>
        <w:rPr>
          <w:rFonts w:eastAsia="方正仿宋简体"/>
          <w:sz w:val="30"/>
          <w:szCs w:val="30"/>
        </w:rPr>
      </w:pPr>
      <w:r>
        <w:rPr>
          <w:rFonts w:eastAsia="方正仿宋简体"/>
          <w:kern w:val="0"/>
          <w:sz w:val="30"/>
          <w:szCs w:val="30"/>
        </w:rPr>
        <w:t>证券公司总部负责制定持仓限额管理相关制度、统筹审核管理客户持仓、限购额度及本公司经纪业务持仓额度，分支机构协助总部做好相关工作</w:t>
      </w:r>
      <w:r>
        <w:rPr>
          <w:rFonts w:eastAsia="方正仿宋简体"/>
          <w:sz w:val="30"/>
          <w:szCs w:val="30"/>
        </w:rPr>
        <w:t>。</w:t>
      </w:r>
    </w:p>
    <w:p>
      <w:pPr>
        <w:pStyle w:val="5"/>
        <w:numPr>
          <w:ilvl w:val="0"/>
          <w:numId w:val="31"/>
        </w:numPr>
        <w:spacing w:before="0" w:after="0" w:line="560" w:lineRule="exact"/>
        <w:ind w:left="0" w:firstLine="601" w:firstLineChars="200"/>
        <w:rPr>
          <w:rFonts w:ascii="Times New Roman" w:hAnsi="Times New Roman" w:eastAsia="方正仿宋简体"/>
          <w:sz w:val="30"/>
          <w:szCs w:val="30"/>
        </w:rPr>
      </w:pPr>
      <w:bookmarkStart w:id="173" w:name="_Toc25049478"/>
      <w:r>
        <w:rPr>
          <w:rFonts w:ascii="Times New Roman" w:hAnsi="Times New Roman" w:eastAsia="方正仿宋简体"/>
          <w:sz w:val="30"/>
          <w:szCs w:val="30"/>
        </w:rPr>
        <w:t>持仓限额</w:t>
      </w:r>
      <w:bookmarkEnd w:id="173"/>
    </w:p>
    <w:p>
      <w:pPr>
        <w:spacing w:line="560" w:lineRule="exact"/>
        <w:ind w:firstLine="600" w:firstLineChars="200"/>
        <w:rPr>
          <w:rFonts w:eastAsia="方正仿宋简体"/>
          <w:kern w:val="0"/>
          <w:sz w:val="30"/>
          <w:szCs w:val="30"/>
        </w:rPr>
      </w:pPr>
      <w:r>
        <w:rPr>
          <w:rFonts w:eastAsia="方正仿宋简体"/>
          <w:kern w:val="0"/>
          <w:sz w:val="30"/>
          <w:szCs w:val="30"/>
        </w:rPr>
        <w:t>持仓限额制度包括投资者对单一期权品种的权利仓持仓限额、总持仓限额和单日买入开仓限额。</w:t>
      </w:r>
    </w:p>
    <w:p>
      <w:pPr>
        <w:spacing w:line="560" w:lineRule="exact"/>
        <w:ind w:firstLine="600" w:firstLineChars="200"/>
        <w:rPr>
          <w:rFonts w:eastAsia="方正仿宋简体"/>
          <w:kern w:val="0"/>
          <w:sz w:val="30"/>
          <w:szCs w:val="30"/>
        </w:rPr>
      </w:pPr>
      <w:r>
        <w:rPr>
          <w:rFonts w:eastAsia="方正仿宋简体"/>
          <w:kern w:val="0"/>
          <w:sz w:val="30"/>
          <w:szCs w:val="30"/>
        </w:rPr>
        <w:t>单个投资者对同一合约品种权利仓持仓限额指投资者持有该合约品种的认购期权和认沽期权合约的权利仓合计不得超过的数量。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单个投资者对同一合约品种总持仓限额指投资者持有该合约品种的认购期权和认沽期权合约的权利仓和义务仓（含备兑开仓）合计不得超过的数量。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单个投资者对同一合约品种单日买入开仓限额指投资者在单个交易日内开仓买入该合约品种的认购期权和认沽期权合约合计不得超过的数量。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证券公司对同一合约品种的经纪业务总持仓限额指证券公司经纪业务持有该合约品种的认购期权和认沽期权合约的权利仓和义务仓（含备兑开仓）合计不得超过的数量。</w:t>
      </w:r>
    </w:p>
    <w:p>
      <w:pPr>
        <w:spacing w:line="560" w:lineRule="exact"/>
        <w:ind w:firstLine="600" w:firstLineChars="200"/>
        <w:rPr>
          <w:rFonts w:eastAsia="方正仿宋简体"/>
          <w:kern w:val="0"/>
          <w:sz w:val="30"/>
          <w:szCs w:val="30"/>
        </w:rPr>
      </w:pPr>
      <w:r>
        <w:rPr>
          <w:rFonts w:eastAsia="方正仿宋简体"/>
          <w:kern w:val="0"/>
          <w:sz w:val="30"/>
          <w:szCs w:val="30"/>
        </w:rPr>
        <w:t>证券公司应落实持仓限额管理制度，通过交易系统进行前端控制，对客户持仓情况进行监控，并对持仓情况设置预警值及调整措施。</w:t>
      </w:r>
    </w:p>
    <w:p>
      <w:pPr>
        <w:spacing w:line="560" w:lineRule="exact"/>
        <w:ind w:firstLine="600" w:firstLineChars="200"/>
        <w:rPr>
          <w:rFonts w:eastAsia="方正仿宋简体"/>
          <w:kern w:val="0"/>
          <w:sz w:val="30"/>
          <w:szCs w:val="30"/>
        </w:rPr>
      </w:pPr>
      <w:r>
        <w:rPr>
          <w:rFonts w:eastAsia="方正仿宋简体"/>
          <w:kern w:val="0"/>
          <w:sz w:val="30"/>
          <w:szCs w:val="30"/>
        </w:rPr>
        <w:t>对于单个合约品种权利仓持仓限额首次超过2000张的客户，证券公司应于每周一17:00前通过期权业务专区向本所报备其持仓限额情况。</w:t>
      </w:r>
    </w:p>
    <w:p>
      <w:pPr>
        <w:pStyle w:val="7"/>
        <w:numPr>
          <w:ilvl w:val="0"/>
          <w:numId w:val="32"/>
        </w:numPr>
        <w:spacing w:before="0" w:after="0" w:line="560" w:lineRule="exact"/>
        <w:ind w:left="0" w:firstLine="601" w:firstLineChars="200"/>
        <w:rPr>
          <w:rFonts w:eastAsia="方正仿宋简体"/>
          <w:sz w:val="30"/>
          <w:szCs w:val="30"/>
        </w:rPr>
      </w:pPr>
      <w:r>
        <w:rPr>
          <w:rFonts w:eastAsia="方正仿宋简体"/>
          <w:sz w:val="30"/>
          <w:szCs w:val="30"/>
        </w:rPr>
        <w:t>额度设定</w:t>
      </w:r>
    </w:p>
    <w:p>
      <w:pPr>
        <w:spacing w:line="560" w:lineRule="exact"/>
        <w:ind w:firstLine="600" w:firstLineChars="200"/>
        <w:rPr>
          <w:rFonts w:eastAsia="方正仿宋简体"/>
          <w:kern w:val="0"/>
          <w:sz w:val="30"/>
          <w:szCs w:val="30"/>
        </w:rPr>
      </w:pPr>
      <w:r>
        <w:rPr>
          <w:rFonts w:eastAsia="方正仿宋简体"/>
          <w:kern w:val="0"/>
          <w:sz w:val="30"/>
          <w:szCs w:val="30"/>
        </w:rPr>
        <w:t>对不同合约品种，证券公司可以对不同客户设置不同的持仓限额，但不得高于交易所规定标准。证券公司可以结合客户的期权交易情况、额度使用情况、自有资产余额以及风险承受能力，确定客户实际可以获得的持仓限额：</w:t>
      </w:r>
    </w:p>
    <w:p>
      <w:pPr>
        <w:pStyle w:val="58"/>
        <w:numPr>
          <w:ilvl w:val="0"/>
          <w:numId w:val="33"/>
        </w:numPr>
        <w:spacing w:line="560" w:lineRule="exact"/>
        <w:ind w:left="0" w:firstLine="600"/>
        <w:rPr>
          <w:rFonts w:eastAsia="方正仿宋简体"/>
          <w:kern w:val="0"/>
          <w:sz w:val="30"/>
          <w:szCs w:val="30"/>
        </w:rPr>
      </w:pPr>
      <w:r>
        <w:rPr>
          <w:rFonts w:eastAsia="方正仿宋简体"/>
          <w:kern w:val="0"/>
          <w:sz w:val="30"/>
          <w:szCs w:val="30"/>
        </w:rPr>
        <w:t>新开立合约账户的投资者，权利仓持仓限额为100张，总持仓限额为200张，单日买入开仓限额为400张。</w:t>
      </w:r>
    </w:p>
    <w:p>
      <w:pPr>
        <w:pStyle w:val="58"/>
        <w:numPr>
          <w:ilvl w:val="0"/>
          <w:numId w:val="33"/>
        </w:numPr>
        <w:spacing w:line="560" w:lineRule="exact"/>
        <w:ind w:left="0" w:firstLine="600"/>
        <w:rPr>
          <w:rFonts w:eastAsia="方正仿宋简体"/>
          <w:kern w:val="0"/>
          <w:sz w:val="30"/>
          <w:szCs w:val="30"/>
        </w:rPr>
      </w:pPr>
      <w:r>
        <w:rPr>
          <w:rFonts w:eastAsia="方正仿宋简体"/>
          <w:kern w:val="0"/>
          <w:sz w:val="30"/>
          <w:szCs w:val="30"/>
        </w:rPr>
        <w:t>经证券公司评估认为风险承受能力较强、开户满10个交易日、期权合约成交量达到100张且具备三级交易权限的投资者，权利仓持仓限额1000张、总持仓限额2000张、单日买入开仓限额4000张。</w:t>
      </w:r>
    </w:p>
    <w:p>
      <w:pPr>
        <w:pStyle w:val="58"/>
        <w:numPr>
          <w:ilvl w:val="0"/>
          <w:numId w:val="33"/>
        </w:numPr>
        <w:spacing w:line="560" w:lineRule="exact"/>
        <w:ind w:left="0" w:firstLine="600"/>
        <w:rPr>
          <w:rFonts w:eastAsia="方正仿宋简体"/>
          <w:kern w:val="0"/>
          <w:sz w:val="30"/>
          <w:szCs w:val="30"/>
        </w:rPr>
      </w:pPr>
      <w:r>
        <w:rPr>
          <w:rFonts w:eastAsia="方正仿宋简体"/>
          <w:kern w:val="0"/>
          <w:sz w:val="30"/>
          <w:szCs w:val="30"/>
        </w:rPr>
        <w:t>经证券公司评估认为风险承受能力较强、开户满10个交易日、期权合约成交量达到500张、自有资产余额超过100万元且具备三级交易权限的客户，权利仓持仓限额2000张、总持仓限额4000张、单日买入开仓限额8000张。</w:t>
      </w:r>
    </w:p>
    <w:p>
      <w:pPr>
        <w:pStyle w:val="58"/>
        <w:numPr>
          <w:ilvl w:val="0"/>
          <w:numId w:val="33"/>
        </w:numPr>
        <w:spacing w:line="560" w:lineRule="exact"/>
        <w:ind w:left="0" w:firstLine="600"/>
        <w:rPr>
          <w:rFonts w:eastAsia="方正仿宋简体"/>
          <w:kern w:val="0"/>
          <w:sz w:val="30"/>
          <w:szCs w:val="30"/>
        </w:rPr>
      </w:pPr>
      <w:r>
        <w:rPr>
          <w:rFonts w:eastAsia="方正仿宋简体"/>
          <w:kern w:val="0"/>
          <w:sz w:val="30"/>
          <w:szCs w:val="30"/>
        </w:rPr>
        <w:t>经证券公司评估认为风险承受能力较强、开户满10个交易日、期权合约成交量达到1000张、自有资产余额超过300万且具备三级交易权限的投资者，权利仓持仓限额为5000张、总持仓限额为10000张、单日买入开仓限额为10000张。</w:t>
      </w:r>
    </w:p>
    <w:p>
      <w:pPr>
        <w:pStyle w:val="58"/>
        <w:spacing w:line="560" w:lineRule="exact"/>
        <w:ind w:firstLine="600"/>
        <w:rPr>
          <w:rFonts w:eastAsia="方正仿宋简体"/>
          <w:kern w:val="0"/>
          <w:sz w:val="30"/>
          <w:szCs w:val="30"/>
        </w:rPr>
      </w:pPr>
      <w:r>
        <w:rPr>
          <w:rFonts w:eastAsia="方正仿宋简体"/>
          <w:kern w:val="0"/>
          <w:sz w:val="30"/>
          <w:szCs w:val="30"/>
        </w:rPr>
        <w:t xml:space="preserve">投资者确有需要提高单个品种持仓限额的，须经过期权经营机构向本所报备。本所视报备情况提高其单个品种的持仓限额，最高不超过该品种持仓限额最高标准的五倍。接收委托的证券公司应当通过本所期权业务专区报备，同时提交下列书面材料： </w:t>
      </w:r>
    </w:p>
    <w:p>
      <w:pPr>
        <w:numPr>
          <w:ilvl w:val="0"/>
          <w:numId w:val="34"/>
        </w:numPr>
        <w:spacing w:line="560" w:lineRule="exact"/>
        <w:ind w:firstLine="600" w:firstLineChars="200"/>
        <w:rPr>
          <w:rFonts w:eastAsia="方正仿宋简体"/>
          <w:kern w:val="0"/>
          <w:sz w:val="30"/>
          <w:szCs w:val="30"/>
        </w:rPr>
      </w:pPr>
      <w:r>
        <w:rPr>
          <w:rFonts w:eastAsia="方正仿宋简体"/>
          <w:kern w:val="0"/>
          <w:sz w:val="30"/>
          <w:szCs w:val="30"/>
        </w:rPr>
        <w:t>个人投资者提交经本人签字的持仓限额调整报备表（附件2）；机构投资者提交加盖单位公章的申请书及持仓限额调整报备表（附件2）；</w:t>
      </w:r>
    </w:p>
    <w:p>
      <w:pPr>
        <w:numPr>
          <w:ilvl w:val="0"/>
          <w:numId w:val="34"/>
        </w:numPr>
        <w:spacing w:line="560" w:lineRule="exact"/>
        <w:ind w:firstLine="600" w:firstLineChars="200"/>
        <w:rPr>
          <w:rFonts w:eastAsia="方正仿宋简体"/>
          <w:sz w:val="30"/>
          <w:szCs w:val="30"/>
        </w:rPr>
      </w:pPr>
      <w:r>
        <w:rPr>
          <w:rFonts w:eastAsia="方正仿宋简体"/>
          <w:sz w:val="30"/>
          <w:szCs w:val="30"/>
        </w:rPr>
        <w:t>个人投资者需提供账户信息、有效身份证明复印件；机构投资者需提供账户信息、单位的授权委托书、授权委托人（代理人）身份证复印件和单位营</w:t>
      </w:r>
      <w:r>
        <w:rPr>
          <w:rFonts w:hint="eastAsia" w:eastAsia="方正仿宋简体"/>
          <w:sz w:val="30"/>
          <w:szCs w:val="30"/>
        </w:rPr>
        <w:t xml:space="preserve"> </w:t>
      </w:r>
      <w:r>
        <w:rPr>
          <w:rFonts w:eastAsia="方正仿宋简体"/>
          <w:sz w:val="30"/>
          <w:szCs w:val="30"/>
        </w:rPr>
        <w:t>业执照复印件等；</w:t>
      </w:r>
    </w:p>
    <w:p>
      <w:pPr>
        <w:numPr>
          <w:ilvl w:val="0"/>
          <w:numId w:val="34"/>
        </w:numPr>
        <w:spacing w:line="560" w:lineRule="exact"/>
        <w:ind w:firstLine="600" w:firstLineChars="200"/>
        <w:rPr>
          <w:rFonts w:eastAsia="方正仿宋简体"/>
          <w:kern w:val="0"/>
          <w:sz w:val="30"/>
          <w:szCs w:val="30"/>
        </w:rPr>
      </w:pPr>
      <w:r>
        <w:rPr>
          <w:rFonts w:eastAsia="方正仿宋简体"/>
          <w:sz w:val="30"/>
          <w:szCs w:val="30"/>
        </w:rPr>
        <w:t>证券公司出具的客户持仓限额调整意见书。客户持仓限额调整意见书需经证券公司股票期权经纪业务负责人签字，并加盖证券公司公章；</w:t>
      </w:r>
    </w:p>
    <w:p>
      <w:pPr>
        <w:numPr>
          <w:ilvl w:val="0"/>
          <w:numId w:val="34"/>
        </w:numPr>
        <w:spacing w:line="560" w:lineRule="exact"/>
        <w:ind w:firstLine="600" w:firstLineChars="200"/>
        <w:rPr>
          <w:rFonts w:eastAsia="方正仿宋简体"/>
          <w:kern w:val="0"/>
          <w:sz w:val="30"/>
          <w:szCs w:val="30"/>
        </w:rPr>
      </w:pPr>
      <w:r>
        <w:rPr>
          <w:rFonts w:eastAsia="方正仿宋简体"/>
          <w:kern w:val="0"/>
          <w:sz w:val="30"/>
          <w:szCs w:val="30"/>
        </w:rPr>
        <w:t>证券公司出具的客户在最近1个月的日均持仓量、限仓额度、买入额度使用情况等材料；</w:t>
      </w:r>
    </w:p>
    <w:p>
      <w:pPr>
        <w:numPr>
          <w:ilvl w:val="0"/>
          <w:numId w:val="34"/>
        </w:numPr>
        <w:spacing w:line="560" w:lineRule="exact"/>
        <w:ind w:firstLine="600" w:firstLineChars="200"/>
        <w:rPr>
          <w:rFonts w:eastAsia="方正仿宋简体"/>
          <w:kern w:val="0"/>
          <w:sz w:val="30"/>
          <w:szCs w:val="30"/>
        </w:rPr>
      </w:pPr>
      <w:r>
        <w:rPr>
          <w:rFonts w:eastAsia="方正仿宋简体"/>
          <w:kern w:val="0"/>
          <w:sz w:val="30"/>
          <w:szCs w:val="30"/>
        </w:rPr>
        <w:t>已在沪市开通的多个衍生品合约账户及持仓限额的证明材料。已开立沪市衍生品合约账户的投资者，若在多个期权经营机构开立有效沪市合约账户且进行过交易，提供半年以内交割单、对账单等证明材料。</w:t>
      </w:r>
    </w:p>
    <w:p>
      <w:pPr>
        <w:pStyle w:val="58"/>
        <w:spacing w:line="560" w:lineRule="exact"/>
        <w:ind w:firstLine="600"/>
        <w:rPr>
          <w:rFonts w:eastAsia="方正仿宋简体"/>
          <w:kern w:val="0"/>
          <w:sz w:val="30"/>
          <w:szCs w:val="30"/>
        </w:rPr>
      </w:pPr>
      <w:r>
        <w:rPr>
          <w:rFonts w:eastAsia="方正仿宋简体"/>
          <w:kern w:val="0"/>
          <w:sz w:val="30"/>
          <w:szCs w:val="30"/>
        </w:rPr>
        <w:t>投资者提供的申请材料应当真实、准确、完整，证券公司应当对客户的申请材料进行核查，保证其真实、准确、完整，并持续对其额度的使用情况进行跟踪评估。</w:t>
      </w:r>
    </w:p>
    <w:p>
      <w:pPr>
        <w:pStyle w:val="58"/>
        <w:spacing w:line="560" w:lineRule="exact"/>
        <w:ind w:firstLine="600"/>
        <w:rPr>
          <w:rFonts w:eastAsia="方正仿宋简体"/>
          <w:kern w:val="0"/>
          <w:sz w:val="30"/>
          <w:szCs w:val="30"/>
          <w:lang w:val="zh-CN" w:eastAsia="zh-CN"/>
        </w:rPr>
      </w:pPr>
      <w:r>
        <w:rPr>
          <w:rFonts w:eastAsia="方正仿宋简体"/>
          <w:kern w:val="0"/>
          <w:sz w:val="30"/>
          <w:szCs w:val="30"/>
        </w:rPr>
        <w:t>投资者因套保等需要可以通过证券公司向本所申请提高持仓限额</w:t>
      </w:r>
      <w:r>
        <w:rPr>
          <w:rFonts w:eastAsia="方正仿宋简体"/>
          <w:kern w:val="0"/>
          <w:sz w:val="30"/>
          <w:szCs w:val="30"/>
          <w:lang w:val="zh-CN" w:eastAsia="zh-CN"/>
        </w:rPr>
        <w:t>。</w:t>
      </w:r>
    </w:p>
    <w:p>
      <w:pPr>
        <w:pStyle w:val="58"/>
        <w:spacing w:line="560" w:lineRule="exact"/>
        <w:ind w:firstLine="600"/>
        <w:rPr>
          <w:rFonts w:eastAsia="方正仿宋简体"/>
          <w:sz w:val="30"/>
          <w:szCs w:val="30"/>
        </w:rPr>
      </w:pPr>
      <w:r>
        <w:rPr>
          <w:rFonts w:eastAsia="方正仿宋简体"/>
          <w:kern w:val="0"/>
          <w:sz w:val="30"/>
          <w:szCs w:val="30"/>
        </w:rPr>
        <w:t>为避免投资者多处交易出现超仓违规情况</w:t>
      </w:r>
      <w:r>
        <w:rPr>
          <w:rFonts w:eastAsia="方正仿宋简体"/>
          <w:sz w:val="30"/>
          <w:szCs w:val="30"/>
        </w:rPr>
        <w:t>，本所交易系统</w:t>
      </w:r>
      <w:r>
        <w:rPr>
          <w:rFonts w:eastAsia="方正仿宋简体"/>
          <w:kern w:val="0"/>
          <w:sz w:val="30"/>
          <w:szCs w:val="30"/>
        </w:rPr>
        <w:t>按照</w:t>
      </w:r>
      <w:r>
        <w:rPr>
          <w:rFonts w:eastAsia="方正仿宋简体"/>
          <w:sz w:val="30"/>
          <w:szCs w:val="30"/>
        </w:rPr>
        <w:t>投资者A股证券账户对投资者持仓限额（包括权利仓持仓限额、总持仓限额及单日买入开仓限额）进行前端控制</w:t>
      </w:r>
      <w:r>
        <w:rPr>
          <w:rFonts w:eastAsia="方正仿宋简体"/>
          <w:kern w:val="0"/>
          <w:sz w:val="30"/>
          <w:szCs w:val="30"/>
        </w:rPr>
        <w:t>，超出本所持仓限额标准的开仓申报指令将被自动撤单</w:t>
      </w:r>
      <w:r>
        <w:rPr>
          <w:rFonts w:eastAsia="方正仿宋简体"/>
          <w:sz w:val="30"/>
          <w:szCs w:val="30"/>
        </w:rPr>
        <w:t>。</w:t>
      </w:r>
    </w:p>
    <w:p>
      <w:pPr>
        <w:pStyle w:val="58"/>
        <w:spacing w:line="560" w:lineRule="exact"/>
        <w:ind w:firstLine="600"/>
        <w:rPr>
          <w:rFonts w:eastAsia="方正仿宋简体"/>
          <w:kern w:val="0"/>
          <w:sz w:val="30"/>
          <w:szCs w:val="30"/>
          <w:lang w:val="zh-CN"/>
        </w:rPr>
      </w:pPr>
      <w:r>
        <w:rPr>
          <w:rFonts w:eastAsia="方正仿宋简体"/>
          <w:kern w:val="0"/>
          <w:sz w:val="30"/>
          <w:szCs w:val="30"/>
          <w:lang w:val="zh-CN"/>
        </w:rPr>
        <w:t>对于在多家证券公司进行期权开户交易的投资者（通过中国结算统一账户平台检查），</w:t>
      </w:r>
      <w:r>
        <w:rPr>
          <w:rFonts w:eastAsia="方正仿宋简体"/>
          <w:kern w:val="0"/>
          <w:sz w:val="30"/>
          <w:szCs w:val="30"/>
        </w:rPr>
        <w:t>证券公司在确定其持仓限额时，应告知投资者如在其他经营机构已有同期权品种的交易持仓，则该投资者可能因持仓合并计算达到本所标准，而无法按本公司确定的持仓限额上限进行开仓交易。</w:t>
      </w:r>
    </w:p>
    <w:p>
      <w:pPr>
        <w:pStyle w:val="7"/>
        <w:numPr>
          <w:ilvl w:val="0"/>
          <w:numId w:val="32"/>
        </w:numPr>
        <w:spacing w:before="0" w:after="0" w:line="560" w:lineRule="exact"/>
        <w:ind w:left="0" w:firstLine="601" w:firstLineChars="200"/>
        <w:rPr>
          <w:rFonts w:eastAsia="方正仿宋简体"/>
          <w:sz w:val="30"/>
          <w:szCs w:val="30"/>
        </w:rPr>
      </w:pPr>
      <w:r>
        <w:rPr>
          <w:rFonts w:eastAsia="方正仿宋简体"/>
          <w:sz w:val="30"/>
          <w:szCs w:val="30"/>
        </w:rPr>
        <w:t>前端控制</w:t>
      </w:r>
    </w:p>
    <w:p>
      <w:pPr>
        <w:spacing w:line="560" w:lineRule="exact"/>
        <w:ind w:firstLine="600" w:firstLineChars="200"/>
        <w:rPr>
          <w:rFonts w:eastAsia="方正仿宋简体"/>
          <w:kern w:val="0"/>
          <w:sz w:val="30"/>
          <w:szCs w:val="30"/>
        </w:rPr>
      </w:pPr>
      <w:r>
        <w:rPr>
          <w:rFonts w:eastAsia="方正仿宋简体"/>
          <w:kern w:val="0"/>
          <w:sz w:val="30"/>
          <w:szCs w:val="30"/>
        </w:rPr>
        <w:t>证券公司应监控客户及自身经纪业务的期权合约持仓情况，包括：单个账户对同一合约品种（指同一合约标的的期权合约）权利仓持仓数量、单个账户对同一合约品种总持仓数量、单个账户对同一合约品种单日买入开仓数量、证券公司对同一合约品种的经纪业务总持仓数量。前端控制可按下列条件进行检查，由于开仓申报数量不满足下列要求导致的申报失败应在交易界面进行提醒及解释。</w:t>
      </w:r>
    </w:p>
    <w:p>
      <w:pPr>
        <w:numPr>
          <w:ilvl w:val="0"/>
          <w:numId w:val="35"/>
        </w:numPr>
        <w:spacing w:line="560" w:lineRule="exact"/>
        <w:ind w:left="0" w:firstLine="601" w:firstLineChars="200"/>
        <w:outlineLvl w:val="3"/>
        <w:rPr>
          <w:rFonts w:eastAsia="方正仿宋简体"/>
          <w:b/>
          <w:bCs/>
          <w:sz w:val="30"/>
          <w:szCs w:val="30"/>
        </w:rPr>
      </w:pPr>
      <w:r>
        <w:rPr>
          <w:rFonts w:eastAsia="方正仿宋简体"/>
          <w:b/>
          <w:bCs/>
          <w:sz w:val="30"/>
          <w:szCs w:val="30"/>
        </w:rPr>
        <w:t>买入开仓</w:t>
      </w:r>
    </w:p>
    <w:p>
      <w:pPr>
        <w:spacing w:line="560" w:lineRule="exact"/>
        <w:ind w:firstLine="600" w:firstLineChars="200"/>
        <w:rPr>
          <w:rFonts w:eastAsia="方正仿宋简体"/>
          <w:sz w:val="30"/>
          <w:szCs w:val="30"/>
        </w:rPr>
      </w:pPr>
      <w:r>
        <w:rPr>
          <w:rFonts w:eastAsia="方正仿宋简体"/>
          <w:sz w:val="30"/>
          <w:szCs w:val="30"/>
        </w:rPr>
        <w:t>权利仓已持仓</w:t>
      </w:r>
      <w:r>
        <w:rPr>
          <w:rFonts w:eastAsia="方正仿宋简体"/>
          <w:kern w:val="0"/>
          <w:sz w:val="30"/>
          <w:szCs w:val="30"/>
        </w:rPr>
        <w:t>数量</w:t>
      </w:r>
      <w:r>
        <w:rPr>
          <w:rFonts w:eastAsia="方正仿宋简体"/>
          <w:sz w:val="30"/>
          <w:szCs w:val="30"/>
        </w:rPr>
        <w:t>+买入开仓未成交申报数量（撤单需扣减）&lt;=权利仓持仓限额</w:t>
      </w:r>
    </w:p>
    <w:p>
      <w:pPr>
        <w:spacing w:line="560" w:lineRule="exact"/>
        <w:ind w:firstLine="600" w:firstLineChars="200"/>
        <w:rPr>
          <w:rFonts w:eastAsia="方正仿宋简体"/>
          <w:sz w:val="30"/>
          <w:szCs w:val="30"/>
        </w:rPr>
      </w:pPr>
      <w:r>
        <w:rPr>
          <w:rFonts w:eastAsia="方正仿宋简体"/>
          <w:sz w:val="30"/>
          <w:szCs w:val="30"/>
        </w:rPr>
        <w:t>权利仓已持仓</w:t>
      </w:r>
      <w:r>
        <w:rPr>
          <w:rFonts w:eastAsia="方正仿宋简体"/>
          <w:kern w:val="0"/>
          <w:sz w:val="30"/>
          <w:szCs w:val="30"/>
        </w:rPr>
        <w:t>数量</w:t>
      </w:r>
      <w:r>
        <w:rPr>
          <w:rFonts w:eastAsia="方正仿宋简体"/>
          <w:sz w:val="30"/>
          <w:szCs w:val="30"/>
        </w:rPr>
        <w:t>+</w:t>
      </w:r>
      <w:r>
        <w:rPr>
          <w:rFonts w:eastAsia="方正仿宋简体"/>
          <w:kern w:val="0"/>
          <w:sz w:val="30"/>
          <w:szCs w:val="30"/>
        </w:rPr>
        <w:t>义务</w:t>
      </w:r>
      <w:r>
        <w:rPr>
          <w:rFonts w:eastAsia="方正仿宋简体"/>
          <w:sz w:val="30"/>
          <w:szCs w:val="30"/>
        </w:rPr>
        <w:t>仓已持仓数量（包括备兑开仓）+买入开仓未成交申报数量（撤单需扣减）+卖出开仓未成交申报数量（撤单需扣减，包括备兑开仓）&lt;=总持仓限额</w:t>
      </w:r>
    </w:p>
    <w:p>
      <w:pPr>
        <w:spacing w:line="560" w:lineRule="exact"/>
        <w:ind w:firstLine="600" w:firstLineChars="200"/>
        <w:rPr>
          <w:rFonts w:eastAsia="方正仿宋简体"/>
          <w:sz w:val="30"/>
          <w:szCs w:val="30"/>
        </w:rPr>
      </w:pPr>
      <w:r>
        <w:rPr>
          <w:rFonts w:eastAsia="方正仿宋简体"/>
          <w:kern w:val="0"/>
          <w:sz w:val="30"/>
          <w:szCs w:val="30"/>
        </w:rPr>
        <w:t>该合约品种当日已累计买入开仓委托数量（撤单需扣减实际撤单数量）+该笔买入开仓数量&lt;=该合约品种单日买入开仓限额（平仓后不计增单日可买入开仓额度）</w:t>
      </w:r>
    </w:p>
    <w:p>
      <w:pPr>
        <w:numPr>
          <w:ilvl w:val="0"/>
          <w:numId w:val="35"/>
        </w:numPr>
        <w:spacing w:line="560" w:lineRule="exact"/>
        <w:ind w:left="0" w:firstLine="601" w:firstLineChars="200"/>
        <w:outlineLvl w:val="3"/>
        <w:rPr>
          <w:rFonts w:eastAsia="方正仿宋简体"/>
          <w:b/>
          <w:bCs/>
          <w:sz w:val="30"/>
          <w:szCs w:val="30"/>
        </w:rPr>
      </w:pPr>
      <w:r>
        <w:rPr>
          <w:rFonts w:eastAsia="方正仿宋简体"/>
          <w:b/>
          <w:bCs/>
          <w:sz w:val="30"/>
          <w:szCs w:val="30"/>
        </w:rPr>
        <w:t>卖出开仓</w:t>
      </w:r>
    </w:p>
    <w:p>
      <w:pPr>
        <w:spacing w:line="560" w:lineRule="exact"/>
        <w:ind w:firstLine="600" w:firstLineChars="200"/>
        <w:rPr>
          <w:rFonts w:eastAsia="方正仿宋简体"/>
          <w:sz w:val="30"/>
          <w:szCs w:val="30"/>
        </w:rPr>
      </w:pPr>
      <w:r>
        <w:rPr>
          <w:rFonts w:eastAsia="方正仿宋简体"/>
          <w:sz w:val="30"/>
          <w:szCs w:val="30"/>
        </w:rPr>
        <w:t>权利仓已持仓</w:t>
      </w:r>
      <w:r>
        <w:rPr>
          <w:rFonts w:eastAsia="方正仿宋简体"/>
          <w:kern w:val="0"/>
          <w:sz w:val="30"/>
          <w:szCs w:val="30"/>
        </w:rPr>
        <w:t>数量</w:t>
      </w:r>
      <w:r>
        <w:rPr>
          <w:rFonts w:eastAsia="方正仿宋简体"/>
          <w:sz w:val="30"/>
          <w:szCs w:val="30"/>
        </w:rPr>
        <w:t>+义务仓已持仓数量（包括备兑开仓）+买入开仓未成交申报数量（撤单需扣减）+卖出开仓未成交申报数量（撤单需扣减，包括备兑开仓）&lt;=总持仓限额</w:t>
      </w:r>
    </w:p>
    <w:p>
      <w:pPr>
        <w:pStyle w:val="7"/>
        <w:numPr>
          <w:ilvl w:val="0"/>
          <w:numId w:val="32"/>
        </w:numPr>
        <w:spacing w:before="0" w:after="0" w:line="560" w:lineRule="exact"/>
        <w:ind w:left="0" w:firstLine="601" w:firstLineChars="200"/>
        <w:rPr>
          <w:rFonts w:eastAsia="方正仿宋简体"/>
          <w:sz w:val="30"/>
          <w:szCs w:val="30"/>
        </w:rPr>
      </w:pPr>
      <w:r>
        <w:rPr>
          <w:rFonts w:eastAsia="方正仿宋简体"/>
          <w:sz w:val="30"/>
          <w:szCs w:val="30"/>
        </w:rPr>
        <w:t>持仓比例预警值</w:t>
      </w:r>
    </w:p>
    <w:p>
      <w:pPr>
        <w:spacing w:line="560" w:lineRule="exact"/>
        <w:ind w:firstLine="600" w:firstLineChars="200"/>
        <w:rPr>
          <w:rFonts w:eastAsia="方正仿宋简体"/>
          <w:kern w:val="0"/>
          <w:sz w:val="30"/>
          <w:szCs w:val="30"/>
        </w:rPr>
      </w:pPr>
      <w:r>
        <w:rPr>
          <w:rFonts w:eastAsia="方正仿宋简体"/>
          <w:kern w:val="0"/>
          <w:sz w:val="30"/>
          <w:szCs w:val="30"/>
        </w:rPr>
        <w:t>证券公司应就上述针对同一合约品种的持仓数量设置持仓比例预警值，确保投资者、证券公司经纪业务对同一合约品种的持仓不超过证券公司及本所规定的持仓限额：</w:t>
      </w:r>
    </w:p>
    <w:p>
      <w:pPr>
        <w:spacing w:line="560" w:lineRule="exact"/>
        <w:ind w:firstLine="600" w:firstLineChars="200"/>
        <w:rPr>
          <w:rFonts w:eastAsia="方正仿宋简体"/>
          <w:kern w:val="0"/>
          <w:sz w:val="30"/>
          <w:szCs w:val="30"/>
        </w:rPr>
      </w:pPr>
      <w:r>
        <w:rPr>
          <w:rFonts w:eastAsia="方正仿宋简体"/>
          <w:kern w:val="0"/>
          <w:sz w:val="30"/>
          <w:szCs w:val="30"/>
        </w:rPr>
        <w:t>同一合约品种持仓比例=单个合约品种持仓数量之和/持仓限额</w:t>
      </w:r>
    </w:p>
    <w:p>
      <w:pPr>
        <w:widowControl/>
        <w:spacing w:line="560" w:lineRule="exact"/>
        <w:ind w:firstLine="600" w:firstLineChars="200"/>
        <w:rPr>
          <w:rFonts w:eastAsia="方正仿宋简体"/>
          <w:kern w:val="0"/>
          <w:sz w:val="30"/>
          <w:szCs w:val="30"/>
        </w:rPr>
      </w:pPr>
      <w:r>
        <w:rPr>
          <w:rFonts w:eastAsia="方正仿宋简体"/>
          <w:kern w:val="0"/>
          <w:sz w:val="30"/>
          <w:szCs w:val="30"/>
        </w:rPr>
        <w:t>为了对整个经纪业务持仓风险进行控制，证券公司应当对经纪业务中同一合约品种的总持仓进行前端控制。对于经纪业务同一合约品种总持仓占持仓限额比例达到一定阀值（比如80%，证券公司可以结合本公司实际情况确定阀值）时，证券公司根据自身情况决定是否向本所提出调高总持仓限额的申请。若需调整总持仓限额，需提交相关申请材料，本所将根据市场情况以及申请人的申请材料、资信状况、交易情况等，对其额度申请进行审核。</w:t>
      </w:r>
    </w:p>
    <w:p>
      <w:pPr>
        <w:autoSpaceDE w:val="0"/>
        <w:autoSpaceDN w:val="0"/>
        <w:adjustRightInd w:val="0"/>
        <w:jc w:val="center"/>
        <w:rPr>
          <w:rFonts w:eastAsia="方正仿宋简体"/>
          <w:kern w:val="0"/>
          <w:sz w:val="28"/>
          <w:szCs w:val="28"/>
        </w:rPr>
      </w:pPr>
      <w:r>
        <w:rPr>
          <w:rFonts w:eastAsia="方正仿宋简体"/>
          <w:kern w:val="0"/>
          <w:sz w:val="28"/>
          <w:szCs w:val="28"/>
        </w:rPr>
        <w:t>表1 同一期权品种持仓限额设置（单位：张）</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1"/>
        <w:gridCol w:w="2057"/>
        <w:gridCol w:w="2207"/>
        <w:gridCol w:w="1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0" w:hRule="atLeast"/>
        </w:trPr>
        <w:tc>
          <w:tcPr>
            <w:tcW w:w="4140" w:type="pct"/>
            <w:gridSpan w:val="3"/>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单个账户</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证券公司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4140" w:type="pct"/>
            <w:gridSpan w:val="3"/>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投资者（包括个人投资者、机构投资者和自营）</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经纪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727"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权利仓持仓限额</w:t>
            </w:r>
          </w:p>
        </w:tc>
        <w:tc>
          <w:tcPr>
            <w:tcW w:w="1164"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总持仓限额</w:t>
            </w:r>
          </w:p>
        </w:tc>
        <w:tc>
          <w:tcPr>
            <w:tcW w:w="1249"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单日（买入）开仓限额</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总持仓限额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727"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c>
          <w:tcPr>
            <w:tcW w:w="1164"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c>
          <w:tcPr>
            <w:tcW w:w="1249"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c>
          <w:tcPr>
            <w:tcW w:w="860" w:type="pct"/>
            <w:shd w:val="clear" w:color="auto" w:fill="auto"/>
            <w:noWrap/>
            <w:vAlign w:val="center"/>
          </w:tcPr>
          <w:p>
            <w:pPr>
              <w:widowControl/>
              <w:jc w:val="center"/>
              <w:rPr>
                <w:rFonts w:eastAsia="方正仿宋简体"/>
                <w:kern w:val="0"/>
                <w:sz w:val="24"/>
                <w:szCs w:val="28"/>
              </w:rPr>
            </w:pPr>
            <w:r>
              <w:rPr>
                <w:rFonts w:eastAsia="方正仿宋简体"/>
                <w:kern w:val="0"/>
                <w:sz w:val="24"/>
                <w:szCs w:val="28"/>
              </w:rPr>
              <w:t>*</w:t>
            </w:r>
          </w:p>
        </w:tc>
      </w:tr>
    </w:tbl>
    <w:p>
      <w:pPr>
        <w:pStyle w:val="7"/>
        <w:numPr>
          <w:ilvl w:val="0"/>
          <w:numId w:val="32"/>
        </w:numPr>
        <w:spacing w:before="0" w:after="0" w:line="560" w:lineRule="exact"/>
        <w:ind w:left="0" w:firstLine="601" w:firstLineChars="200"/>
        <w:rPr>
          <w:rFonts w:eastAsia="方正仿宋简体"/>
          <w:sz w:val="30"/>
          <w:szCs w:val="30"/>
        </w:rPr>
      </w:pPr>
      <w:bookmarkStart w:id="174" w:name="_Toc467847530"/>
      <w:bookmarkEnd w:id="174"/>
      <w:bookmarkStart w:id="175" w:name="_Toc467847529"/>
      <w:bookmarkEnd w:id="175"/>
      <w:bookmarkStart w:id="176" w:name="_Toc467847330"/>
      <w:bookmarkEnd w:id="176"/>
      <w:bookmarkStart w:id="177" w:name="_Toc467847328"/>
      <w:bookmarkEnd w:id="177"/>
      <w:bookmarkStart w:id="178" w:name="_Toc467847527"/>
      <w:bookmarkEnd w:id="178"/>
      <w:bookmarkStart w:id="179" w:name="_Toc467847327"/>
      <w:bookmarkEnd w:id="179"/>
      <w:bookmarkStart w:id="180" w:name="_Toc467847528"/>
      <w:bookmarkEnd w:id="180"/>
      <w:bookmarkStart w:id="181" w:name="_Toc467847329"/>
      <w:bookmarkEnd w:id="181"/>
      <w:r>
        <w:rPr>
          <w:rFonts w:eastAsia="方正仿宋简体"/>
          <w:sz w:val="30"/>
          <w:szCs w:val="30"/>
        </w:rPr>
        <w:t>持仓</w:t>
      </w:r>
      <w:bookmarkStart w:id="182" w:name="_Toc467847540"/>
      <w:bookmarkEnd w:id="182"/>
      <w:bookmarkStart w:id="183" w:name="_Toc467847340"/>
      <w:bookmarkEnd w:id="183"/>
      <w:r>
        <w:rPr>
          <w:rFonts w:eastAsia="方正仿宋简体"/>
          <w:sz w:val="30"/>
          <w:szCs w:val="30"/>
        </w:rPr>
        <w:t>限额占用预警与调整</w:t>
      </w:r>
    </w:p>
    <w:p>
      <w:pPr>
        <w:numPr>
          <w:ilvl w:val="0"/>
          <w:numId w:val="36"/>
        </w:numPr>
        <w:spacing w:line="560" w:lineRule="exact"/>
        <w:ind w:left="0" w:firstLine="600" w:firstLineChars="200"/>
        <w:rPr>
          <w:rFonts w:eastAsia="方正仿宋简体"/>
          <w:kern w:val="0"/>
          <w:sz w:val="30"/>
          <w:szCs w:val="30"/>
        </w:rPr>
      </w:pPr>
      <w:r>
        <w:rPr>
          <w:rFonts w:eastAsia="方正仿宋简体"/>
          <w:kern w:val="0"/>
          <w:sz w:val="30"/>
          <w:szCs w:val="30"/>
        </w:rPr>
        <w:t>证券公司应对投资者的持仓限额、单日买入开仓限额进行前端控制（针对开仓申报，对平仓不限制）。对超过限额导致的申报失败应有提醒。</w:t>
      </w:r>
    </w:p>
    <w:p>
      <w:pPr>
        <w:numPr>
          <w:ilvl w:val="0"/>
          <w:numId w:val="36"/>
        </w:numPr>
        <w:spacing w:line="560" w:lineRule="exact"/>
        <w:ind w:left="0" w:firstLine="600" w:firstLineChars="200"/>
        <w:rPr>
          <w:rFonts w:eastAsia="方正仿宋简体"/>
          <w:kern w:val="0"/>
          <w:sz w:val="30"/>
          <w:szCs w:val="30"/>
        </w:rPr>
      </w:pPr>
      <w:r>
        <w:rPr>
          <w:rFonts w:eastAsia="方正仿宋简体"/>
          <w:kern w:val="0"/>
          <w:sz w:val="30"/>
          <w:szCs w:val="30"/>
        </w:rPr>
        <w:t>对因本所持仓限额调整或投资者申请的持仓限额到期导致投资者持仓超限，证券公司不需要求投资者自行平仓或对投资者的超额持仓进行强行平仓，但对开仓需按新的持仓限额进行限制。对投资者额度使用情况与申请不符的，证券公司应及时对该投资者限制开仓并要求其自行平仓，同时及时向交易所报告。</w:t>
      </w:r>
    </w:p>
    <w:p>
      <w:pPr>
        <w:numPr>
          <w:ilvl w:val="0"/>
          <w:numId w:val="36"/>
        </w:numPr>
        <w:spacing w:line="560" w:lineRule="exact"/>
        <w:ind w:left="0" w:firstLine="600" w:firstLineChars="200"/>
        <w:rPr>
          <w:rFonts w:eastAsia="方正仿宋简体"/>
          <w:kern w:val="0"/>
          <w:sz w:val="30"/>
          <w:szCs w:val="30"/>
        </w:rPr>
      </w:pPr>
      <w:r>
        <w:rPr>
          <w:rFonts w:eastAsia="方正仿宋简体"/>
          <w:kern w:val="0"/>
          <w:sz w:val="30"/>
          <w:szCs w:val="30"/>
        </w:rPr>
        <w:t>在本所持仓限额范围内，若客户存在频繁的强行平仓、交易违规等情况，证券公司可对客户的持仓限额进行下调，证券公司应当至少提前三个交易日将调整情况告知客户。如客户持仓超过新核定持仓额度，证券公司可采取限制新开仓、要求客户自行平仓等措施。若客户主动申请调低持仓限额，证券公司应当同意，并按其申请额度进行配置。</w:t>
      </w:r>
    </w:p>
    <w:p>
      <w:pPr>
        <w:numPr>
          <w:ilvl w:val="0"/>
          <w:numId w:val="36"/>
        </w:numPr>
        <w:spacing w:line="560" w:lineRule="exact"/>
        <w:ind w:left="0" w:firstLine="600" w:firstLineChars="200"/>
        <w:rPr>
          <w:rFonts w:eastAsia="方正仿宋简体"/>
          <w:kern w:val="0"/>
          <w:sz w:val="30"/>
          <w:szCs w:val="30"/>
        </w:rPr>
      </w:pPr>
      <w:r>
        <w:rPr>
          <w:rFonts w:eastAsia="方正仿宋简体"/>
          <w:kern w:val="0"/>
          <w:sz w:val="30"/>
          <w:szCs w:val="30"/>
        </w:rPr>
        <w:t>对违反本所规定的超额持仓或买入开仓，如因前端控制失效导致持仓超过本所规定水平，证券公司应及时对投资者的超额持仓进行强行平仓，否则本所将按相关规定对证券公司进行处理。</w:t>
      </w:r>
    </w:p>
    <w:p>
      <w:pPr>
        <w:numPr>
          <w:ilvl w:val="0"/>
          <w:numId w:val="36"/>
        </w:numPr>
        <w:spacing w:line="560" w:lineRule="exact"/>
        <w:ind w:left="0" w:firstLine="600" w:firstLineChars="200"/>
        <w:rPr>
          <w:rFonts w:eastAsia="方正仿宋简体"/>
          <w:kern w:val="0"/>
          <w:sz w:val="30"/>
          <w:szCs w:val="30"/>
        </w:rPr>
      </w:pPr>
      <w:r>
        <w:rPr>
          <w:rFonts w:eastAsia="方正仿宋简体"/>
          <w:kern w:val="0"/>
          <w:sz w:val="30"/>
          <w:szCs w:val="30"/>
        </w:rPr>
        <w:t>投资者因套保等需要可以通过证券公司向本所申请提高持仓限额。</w:t>
      </w:r>
    </w:p>
    <w:p>
      <w:pPr>
        <w:numPr>
          <w:ilvl w:val="0"/>
          <w:numId w:val="36"/>
        </w:numPr>
        <w:spacing w:line="560" w:lineRule="exact"/>
        <w:ind w:left="0" w:firstLine="600" w:firstLineChars="200"/>
        <w:rPr>
          <w:rFonts w:eastAsia="方正仿宋简体"/>
          <w:kern w:val="0"/>
          <w:sz w:val="30"/>
          <w:szCs w:val="30"/>
        </w:rPr>
      </w:pPr>
      <w:r>
        <w:rPr>
          <w:rFonts w:eastAsia="方正仿宋简体"/>
          <w:kern w:val="0"/>
          <w:sz w:val="30"/>
          <w:szCs w:val="30"/>
        </w:rPr>
        <w:t>投资者符合本所相关规定可以调高持仓限额的，证券公司应当及时、主动为投资者进行相应的持仓限额调整，无需投资者提交申请，并尽快将持仓限额调整的情况通知到客户。</w:t>
      </w:r>
    </w:p>
    <w:p>
      <w:pPr>
        <w:numPr>
          <w:ilvl w:val="0"/>
          <w:numId w:val="36"/>
        </w:numPr>
        <w:spacing w:line="560" w:lineRule="exact"/>
        <w:ind w:left="0" w:firstLine="600" w:firstLineChars="200"/>
        <w:rPr>
          <w:rFonts w:hint="eastAsia" w:eastAsia="方正仿宋简体"/>
          <w:kern w:val="0"/>
          <w:sz w:val="30"/>
          <w:szCs w:val="30"/>
        </w:rPr>
      </w:pPr>
      <w:r>
        <w:rPr>
          <w:rFonts w:hint="eastAsia" w:eastAsia="方正仿宋简体"/>
          <w:kern w:val="0"/>
          <w:sz w:val="30"/>
          <w:szCs w:val="30"/>
        </w:rPr>
        <w:t>证券公司可以根据投资者沪市期权持仓限额设置本所期权持仓限额，也可以根据投资者深市</w:t>
      </w:r>
      <w:r>
        <w:rPr>
          <w:rFonts w:hint="eastAsia" w:eastAsia="方正仿宋简体"/>
          <w:kern w:val="0"/>
          <w:sz w:val="30"/>
          <w:szCs w:val="30"/>
          <w:lang w:eastAsia="zh-CN"/>
        </w:rPr>
        <w:t>其他</w:t>
      </w:r>
      <w:r>
        <w:rPr>
          <w:rFonts w:hint="eastAsia" w:eastAsia="方正仿宋简体"/>
          <w:kern w:val="0"/>
          <w:sz w:val="30"/>
          <w:szCs w:val="30"/>
        </w:rPr>
        <w:t>期权品种持仓限额设置本所新增期权品种持仓限额。</w:t>
      </w:r>
    </w:p>
    <w:p>
      <w:pPr>
        <w:numPr>
          <w:ilvl w:val="0"/>
          <w:numId w:val="36"/>
        </w:numPr>
        <w:spacing w:line="560" w:lineRule="exact"/>
        <w:ind w:left="0" w:firstLine="600" w:firstLineChars="200"/>
        <w:rPr>
          <w:rFonts w:eastAsia="方正仿宋简体"/>
          <w:kern w:val="0"/>
          <w:sz w:val="30"/>
          <w:szCs w:val="30"/>
        </w:rPr>
      </w:pPr>
      <w:r>
        <w:rPr>
          <w:rFonts w:hint="eastAsia" w:eastAsia="方正仿宋简体"/>
          <w:kern w:val="0"/>
          <w:sz w:val="30"/>
          <w:szCs w:val="30"/>
        </w:rPr>
        <w:t>投资者持有多个合约账户的，在提供合约账户相关凭证或</w:t>
      </w:r>
      <w:r>
        <w:rPr>
          <w:rFonts w:hint="eastAsia" w:eastAsia="方正仿宋简体"/>
          <w:kern w:val="0"/>
          <w:sz w:val="30"/>
          <w:szCs w:val="30"/>
          <w:lang w:eastAsia="zh-CN"/>
        </w:rPr>
        <w:t>者</w:t>
      </w:r>
      <w:r>
        <w:rPr>
          <w:rFonts w:hint="eastAsia" w:eastAsia="方正仿宋简体"/>
          <w:kern w:val="0"/>
          <w:sz w:val="30"/>
          <w:szCs w:val="30"/>
        </w:rPr>
        <w:t>交易记录的情况下，证券公司可以将其持仓限额调整至所有合约账户中最高的持仓限额。</w:t>
      </w:r>
    </w:p>
    <w:p>
      <w:pPr>
        <w:pStyle w:val="5"/>
        <w:numPr>
          <w:ilvl w:val="0"/>
          <w:numId w:val="31"/>
        </w:numPr>
        <w:spacing w:before="0" w:after="0" w:line="560" w:lineRule="exact"/>
        <w:ind w:left="0" w:firstLine="601" w:firstLineChars="200"/>
        <w:rPr>
          <w:rFonts w:ascii="Times New Roman" w:hAnsi="Times New Roman" w:eastAsia="方正仿宋简体"/>
          <w:sz w:val="30"/>
          <w:szCs w:val="30"/>
        </w:rPr>
      </w:pPr>
      <w:bookmarkStart w:id="184" w:name="_Toc25049479"/>
      <w:r>
        <w:rPr>
          <w:rFonts w:ascii="Times New Roman" w:hAnsi="Times New Roman" w:eastAsia="方正仿宋简体"/>
          <w:sz w:val="30"/>
          <w:szCs w:val="30"/>
        </w:rPr>
        <w:t>客户买入额度管理（限购）</w:t>
      </w:r>
      <w:bookmarkEnd w:id="184"/>
    </w:p>
    <w:p>
      <w:pPr>
        <w:spacing w:line="560" w:lineRule="exact"/>
        <w:ind w:firstLine="600" w:firstLineChars="200"/>
        <w:rPr>
          <w:rFonts w:eastAsia="方正仿宋简体"/>
          <w:kern w:val="0"/>
          <w:sz w:val="30"/>
          <w:szCs w:val="30"/>
        </w:rPr>
      </w:pPr>
      <w:r>
        <w:rPr>
          <w:rFonts w:eastAsia="方正仿宋简体"/>
          <w:kern w:val="0"/>
          <w:sz w:val="30"/>
          <w:szCs w:val="30"/>
        </w:rPr>
        <w:t>本所</w:t>
      </w:r>
      <w:r>
        <w:rPr>
          <w:rFonts w:eastAsia="方正仿宋简体"/>
          <w:kern w:val="0"/>
          <w:sz w:val="30"/>
          <w:szCs w:val="30"/>
          <w:lang w:val="zh-CN"/>
        </w:rPr>
        <w:t>股票期权业务对个人投资者实行买入额度管理（限购制度），即规定个人投资者买入期权开仓的资金规模（持有深市期权权利仓对应的总成交金额）不得超过其在证券公司所有资产的一定比例，已申请并获本所批准的套保额度账户除外</w:t>
      </w:r>
      <w:r>
        <w:rPr>
          <w:rFonts w:eastAsia="方正仿宋简体"/>
          <w:kern w:val="0"/>
          <w:sz w:val="30"/>
          <w:szCs w:val="30"/>
        </w:rPr>
        <w:t>。</w:t>
      </w:r>
    </w:p>
    <w:p>
      <w:pPr>
        <w:pStyle w:val="7"/>
        <w:numPr>
          <w:ilvl w:val="0"/>
          <w:numId w:val="37"/>
        </w:numPr>
        <w:spacing w:before="0" w:after="0" w:line="560" w:lineRule="exact"/>
        <w:ind w:left="0" w:firstLine="601" w:firstLineChars="200"/>
        <w:rPr>
          <w:rFonts w:eastAsia="方正仿宋简体"/>
          <w:sz w:val="30"/>
          <w:szCs w:val="30"/>
        </w:rPr>
      </w:pPr>
      <w:r>
        <w:rPr>
          <w:rFonts w:eastAsia="方正仿宋简体"/>
          <w:sz w:val="30"/>
          <w:szCs w:val="30"/>
        </w:rPr>
        <w:t>额度设定</w:t>
      </w:r>
    </w:p>
    <w:p>
      <w:pPr>
        <w:spacing w:line="560" w:lineRule="exact"/>
        <w:ind w:firstLine="600" w:firstLineChars="200"/>
        <w:rPr>
          <w:rFonts w:eastAsia="方正仿宋简体"/>
          <w:kern w:val="0"/>
          <w:sz w:val="30"/>
          <w:szCs w:val="30"/>
        </w:rPr>
      </w:pPr>
      <w:r>
        <w:rPr>
          <w:rFonts w:eastAsia="方正仿宋简体"/>
          <w:kern w:val="0"/>
          <w:sz w:val="30"/>
          <w:szCs w:val="30"/>
        </w:rPr>
        <w:t>证券公司可根据自身情况，结合个人客户的资产状况、适当性综合评估结果等因素，规定客户的限购额度，该限额不得超过本所规定的限购额度。证券公司总部负责客户限购额度的审核。</w:t>
      </w:r>
    </w:p>
    <w:p>
      <w:pPr>
        <w:spacing w:line="560" w:lineRule="exact"/>
        <w:ind w:firstLine="600" w:firstLineChars="200"/>
        <w:rPr>
          <w:rFonts w:eastAsia="方正仿宋简体"/>
          <w:kern w:val="0"/>
          <w:sz w:val="30"/>
          <w:szCs w:val="30"/>
        </w:rPr>
      </w:pPr>
      <w:r>
        <w:rPr>
          <w:rFonts w:eastAsia="方正仿宋简体"/>
          <w:kern w:val="0"/>
          <w:sz w:val="30"/>
          <w:szCs w:val="30"/>
        </w:rPr>
        <w:t>投资者在多家证券公司开户交易的，证券公司根据各自托管的该投资者的市值和资金余额分别进行计算和前端控制。</w:t>
      </w:r>
    </w:p>
    <w:p>
      <w:pPr>
        <w:spacing w:line="560" w:lineRule="exact"/>
        <w:ind w:firstLine="600" w:firstLineChars="200"/>
        <w:rPr>
          <w:rFonts w:eastAsia="方正仿宋简体"/>
          <w:sz w:val="30"/>
          <w:szCs w:val="30"/>
        </w:rPr>
      </w:pPr>
      <w:r>
        <w:rPr>
          <w:rFonts w:eastAsia="方正仿宋简体"/>
          <w:sz w:val="30"/>
          <w:szCs w:val="30"/>
        </w:rPr>
        <w:t>本所规定个人客户用于期权买入开仓的资金规模，不得超过下述金额中较高者（已申请并获本所批准的套保额度账户除外）：</w:t>
      </w:r>
    </w:p>
    <w:p>
      <w:pPr>
        <w:numPr>
          <w:ilvl w:val="0"/>
          <w:numId w:val="38"/>
        </w:numPr>
        <w:spacing w:line="560" w:lineRule="exact"/>
        <w:ind w:left="0" w:firstLine="600" w:firstLineChars="200"/>
        <w:rPr>
          <w:rFonts w:eastAsia="方正仿宋简体"/>
          <w:kern w:val="0"/>
          <w:sz w:val="30"/>
          <w:szCs w:val="30"/>
          <w:lang w:bidi="ar"/>
        </w:rPr>
      </w:pPr>
      <w:r>
        <w:rPr>
          <w:rFonts w:eastAsia="方正仿宋简体"/>
          <w:sz w:val="30"/>
          <w:szCs w:val="30"/>
        </w:rPr>
        <w:t>客户由证券公司托管的</w:t>
      </w:r>
      <w:r>
        <w:rPr>
          <w:rFonts w:eastAsia="方正仿宋简体"/>
          <w:sz w:val="30"/>
          <w:szCs w:val="30"/>
          <w:lang w:bidi="ar"/>
        </w:rPr>
        <w:t>自有资产余额</w:t>
      </w:r>
      <w:r>
        <w:rPr>
          <w:rFonts w:eastAsia="方正仿宋简体"/>
          <w:sz w:val="30"/>
          <w:szCs w:val="30"/>
        </w:rPr>
        <w:t>10%。</w:t>
      </w:r>
      <w:r>
        <w:rPr>
          <w:rFonts w:eastAsia="方正仿宋简体"/>
          <w:kern w:val="0"/>
          <w:sz w:val="30"/>
          <w:szCs w:val="30"/>
          <w:lang w:bidi="ar"/>
        </w:rPr>
        <w:t>对于风险承受能力较强且具备三级交易权限的客户，证券公司可以将其买入金额限额提高至不超过该客户托管在该证券公司的自有资产余额的20%；对于权利仓持仓限额已达到2000张的客户，证券公司可以将其买入金额限额提高至不超过该客户托管在该证券公司的自有资产余额的30%。</w:t>
      </w:r>
    </w:p>
    <w:p>
      <w:pPr>
        <w:spacing w:line="560" w:lineRule="exact"/>
        <w:ind w:firstLine="600" w:firstLineChars="200"/>
        <w:rPr>
          <w:rFonts w:eastAsia="方正仿宋简体"/>
          <w:kern w:val="0"/>
          <w:sz w:val="30"/>
          <w:szCs w:val="30"/>
        </w:rPr>
      </w:pPr>
      <w:r>
        <w:rPr>
          <w:rFonts w:eastAsia="方正仿宋简体"/>
          <w:kern w:val="0"/>
          <w:sz w:val="30"/>
          <w:szCs w:val="30"/>
          <w:lang w:bidi="ar"/>
        </w:rPr>
        <w:t>证券公司可采用投资者最近一次风险承受能力评估结果，具体认定由证券公司结合客户的实际情况进行判断。</w:t>
      </w:r>
    </w:p>
    <w:p>
      <w:pPr>
        <w:spacing w:line="560" w:lineRule="exact"/>
        <w:ind w:firstLine="600" w:firstLineChars="200"/>
        <w:rPr>
          <w:rFonts w:eastAsia="方正仿宋简体"/>
          <w:sz w:val="30"/>
          <w:szCs w:val="30"/>
        </w:rPr>
      </w:pPr>
      <w:r>
        <w:rPr>
          <w:rFonts w:eastAsia="方正仿宋简体"/>
          <w:kern w:val="0"/>
          <w:sz w:val="30"/>
          <w:szCs w:val="30"/>
          <w:lang w:bidi="ar"/>
        </w:rPr>
        <w:t>自有资产余额指投资者托管在该证券公司的证券市值与资金账户可用余额（不含通过融资融券交易融入的证券和资金）。其中，证券市值包括期权合约市值，计算方法为：期权合约市值=∑期权合约实时成交价或最新结算价×合约单位×合约张数×（±1）。当投资者持有权利仓时，期权合约市值计为正值；当投资者持有义务仓时，期权合约市值计为负值。</w:t>
      </w:r>
    </w:p>
    <w:p>
      <w:pPr>
        <w:numPr>
          <w:ilvl w:val="0"/>
          <w:numId w:val="38"/>
        </w:numPr>
        <w:spacing w:line="560" w:lineRule="exact"/>
        <w:ind w:left="0" w:firstLine="600" w:firstLineChars="200"/>
        <w:rPr>
          <w:rFonts w:eastAsia="方正仿宋简体"/>
          <w:sz w:val="30"/>
          <w:szCs w:val="30"/>
        </w:rPr>
      </w:pPr>
      <w:r>
        <w:rPr>
          <w:rFonts w:eastAsia="方正仿宋简体"/>
          <w:sz w:val="30"/>
          <w:szCs w:val="30"/>
        </w:rPr>
        <w:t>前6个月日均持有深沪市市值的20%。</w:t>
      </w:r>
    </w:p>
    <w:p>
      <w:pPr>
        <w:spacing w:line="560" w:lineRule="exact"/>
        <w:ind w:firstLine="600" w:firstLineChars="200"/>
        <w:rPr>
          <w:rFonts w:eastAsia="方正仿宋简体"/>
          <w:sz w:val="30"/>
          <w:szCs w:val="30"/>
        </w:rPr>
      </w:pPr>
      <w:r>
        <w:rPr>
          <w:rFonts w:eastAsia="方正仿宋简体"/>
          <w:sz w:val="30"/>
          <w:szCs w:val="30"/>
        </w:rPr>
        <w:t>其中深沪证券市值包括深沪期权合约市值，计算方法为：期权合约市值=∑期权合约实时成交价或最新结算价×合约单位×合约张数×（±1）。当投资者持有权利仓时，期权合约市值计为正值；当投资者持有义务仓时，期权合约市值计为负值。</w:t>
      </w:r>
    </w:p>
    <w:p>
      <w:pPr>
        <w:spacing w:line="560" w:lineRule="exact"/>
        <w:ind w:firstLine="600" w:firstLineChars="200"/>
        <w:rPr>
          <w:rFonts w:eastAsia="方正仿宋简体"/>
          <w:kern w:val="0"/>
          <w:sz w:val="30"/>
          <w:szCs w:val="30"/>
        </w:rPr>
      </w:pPr>
      <w:r>
        <w:rPr>
          <w:rFonts w:eastAsia="方正仿宋简体"/>
          <w:sz w:val="30"/>
          <w:szCs w:val="30"/>
        </w:rPr>
        <w:t>买入额度按万取整数部分。例如，Max{全部账户自有净资产的10%，前6个月日均持有深沪市市值的20%}=Max{4.3万，9.5万}，应设为10万。买入额度不足1万的，设为1万。</w:t>
      </w:r>
    </w:p>
    <w:p>
      <w:pPr>
        <w:pStyle w:val="7"/>
        <w:numPr>
          <w:ilvl w:val="0"/>
          <w:numId w:val="37"/>
        </w:numPr>
        <w:spacing w:before="0" w:after="0" w:line="560" w:lineRule="exact"/>
        <w:ind w:left="0" w:firstLine="601" w:firstLineChars="200"/>
        <w:rPr>
          <w:rFonts w:eastAsia="方正仿宋简体"/>
          <w:sz w:val="30"/>
          <w:szCs w:val="30"/>
        </w:rPr>
      </w:pPr>
      <w:r>
        <w:rPr>
          <w:rFonts w:eastAsia="方正仿宋简体"/>
          <w:sz w:val="30"/>
          <w:szCs w:val="30"/>
        </w:rPr>
        <w:t>前端控制</w:t>
      </w:r>
    </w:p>
    <w:p>
      <w:pPr>
        <w:spacing w:line="560" w:lineRule="exact"/>
        <w:ind w:firstLine="600" w:firstLineChars="200"/>
        <w:rPr>
          <w:rFonts w:eastAsia="方正仿宋简体"/>
          <w:kern w:val="0"/>
          <w:sz w:val="30"/>
          <w:szCs w:val="30"/>
        </w:rPr>
      </w:pPr>
      <w:r>
        <w:rPr>
          <w:rFonts w:eastAsia="方正仿宋简体"/>
          <w:kern w:val="0"/>
          <w:sz w:val="30"/>
          <w:szCs w:val="30"/>
        </w:rPr>
        <w:t>证券公司应对投资者的限购额度进行前端控制，对超过额度导致的申报失败应在交易界面进行提醒及解释。</w:t>
      </w:r>
    </w:p>
    <w:p>
      <w:pPr>
        <w:spacing w:line="560" w:lineRule="exact"/>
        <w:ind w:firstLine="600" w:firstLineChars="200"/>
        <w:rPr>
          <w:rFonts w:eastAsia="方正仿宋简体"/>
          <w:kern w:val="0"/>
          <w:sz w:val="30"/>
          <w:szCs w:val="30"/>
        </w:rPr>
      </w:pPr>
      <w:r>
        <w:rPr>
          <w:rFonts w:eastAsia="方正仿宋简体"/>
          <w:kern w:val="0"/>
          <w:sz w:val="30"/>
          <w:szCs w:val="30"/>
        </w:rPr>
        <w:t>证券公司前端控制参考算法（对每笔买入开仓申报）：∑（该账户持有各合约权利仓持仓张数×持仓成本）+已申报买入开仓但未成交金额</w:t>
      </w:r>
      <w:r>
        <w:rPr>
          <w:rFonts w:eastAsia="方正仿宋简体"/>
          <w:sz w:val="30"/>
          <w:szCs w:val="30"/>
        </w:rPr>
        <w:t>（撤单需扣减）</w:t>
      </w:r>
      <w:r>
        <w:rPr>
          <w:rFonts w:eastAsia="方正仿宋简体"/>
          <w:kern w:val="0"/>
          <w:sz w:val="30"/>
          <w:szCs w:val="30"/>
        </w:rPr>
        <w:t>+该笔买入金额（市价订单合约申报价格按涨停价计算）&gt;买入额度（由证券公司核定并向本所报备的额度），则该笔申报无效。对买入平仓不计入限额的前端控制。</w:t>
      </w:r>
    </w:p>
    <w:p>
      <w:pPr>
        <w:pStyle w:val="7"/>
        <w:numPr>
          <w:ilvl w:val="0"/>
          <w:numId w:val="37"/>
        </w:numPr>
        <w:spacing w:before="0" w:after="0" w:line="560" w:lineRule="exact"/>
        <w:ind w:left="0" w:firstLine="601" w:firstLineChars="200"/>
        <w:rPr>
          <w:rFonts w:eastAsia="方正仿宋简体"/>
          <w:sz w:val="30"/>
          <w:szCs w:val="30"/>
        </w:rPr>
      </w:pPr>
      <w:r>
        <w:rPr>
          <w:rFonts w:eastAsia="方正仿宋简体"/>
          <w:sz w:val="30"/>
          <w:szCs w:val="30"/>
        </w:rPr>
        <w:t>额度管理</w:t>
      </w:r>
    </w:p>
    <w:p>
      <w:pPr>
        <w:pStyle w:val="58"/>
        <w:numPr>
          <w:ilvl w:val="0"/>
          <w:numId w:val="39"/>
        </w:numPr>
        <w:spacing w:line="560" w:lineRule="exact"/>
        <w:ind w:left="0" w:firstLine="600"/>
        <w:rPr>
          <w:rFonts w:eastAsia="方正仿宋简体"/>
          <w:kern w:val="0"/>
          <w:sz w:val="30"/>
          <w:szCs w:val="30"/>
        </w:rPr>
      </w:pPr>
      <w:r>
        <w:rPr>
          <w:rFonts w:eastAsia="方正仿宋简体"/>
          <w:kern w:val="0"/>
          <w:sz w:val="30"/>
          <w:szCs w:val="30"/>
        </w:rPr>
        <w:t>证券公司日常应接受客户提高或降低买入额度的申请，经审核（必须符合条件）通过后生效。</w:t>
      </w:r>
    </w:p>
    <w:p>
      <w:pPr>
        <w:pStyle w:val="58"/>
        <w:numPr>
          <w:ilvl w:val="0"/>
          <w:numId w:val="39"/>
        </w:numPr>
        <w:spacing w:line="560" w:lineRule="exact"/>
        <w:ind w:left="0" w:firstLine="600"/>
        <w:rPr>
          <w:rFonts w:eastAsia="方正仿宋简体"/>
          <w:kern w:val="0"/>
          <w:sz w:val="30"/>
          <w:szCs w:val="30"/>
        </w:rPr>
      </w:pPr>
      <w:r>
        <w:rPr>
          <w:rFonts w:eastAsia="方正仿宋简体"/>
          <w:kern w:val="0"/>
          <w:sz w:val="30"/>
          <w:szCs w:val="30"/>
        </w:rPr>
        <w:t>证券公司可自行设定针对客户买入额度的调整频率，但每年至少调整一次（可以对所有客户统一进行调整，也可以对单个客户进行分别调整）。额度调整下一交易日生效，证券公司应及时提醒客户额度变更情况。</w:t>
      </w:r>
    </w:p>
    <w:p>
      <w:pPr>
        <w:pStyle w:val="58"/>
        <w:numPr>
          <w:ilvl w:val="0"/>
          <w:numId w:val="39"/>
        </w:numPr>
        <w:spacing w:line="560" w:lineRule="exact"/>
        <w:ind w:left="0" w:firstLine="600"/>
        <w:rPr>
          <w:rFonts w:eastAsia="方正仿宋简体"/>
          <w:kern w:val="0"/>
          <w:sz w:val="30"/>
          <w:szCs w:val="30"/>
        </w:rPr>
      </w:pPr>
      <w:r>
        <w:rPr>
          <w:rFonts w:eastAsia="方正仿宋简体"/>
          <w:kern w:val="0"/>
          <w:sz w:val="30"/>
          <w:szCs w:val="30"/>
        </w:rPr>
        <w:t>证券公司对客户买入额度调整后，应按调整后的买入额度对客户进行前端控制，如存在客户买入持仓超过新核定买入额度或调整后的买入额度为零的，不需要求客户进行平仓（对因额度调整导致的持仓超限需要技术系统进行区分），该客户现有持仓可以持有到期，但不能新增权利仓持仓。</w:t>
      </w:r>
    </w:p>
    <w:p>
      <w:pPr>
        <w:pStyle w:val="58"/>
        <w:numPr>
          <w:ilvl w:val="0"/>
          <w:numId w:val="39"/>
        </w:numPr>
        <w:spacing w:line="560" w:lineRule="exact"/>
        <w:ind w:left="0" w:firstLine="600"/>
        <w:rPr>
          <w:rFonts w:eastAsia="方正仿宋简体"/>
          <w:kern w:val="0"/>
          <w:sz w:val="30"/>
          <w:szCs w:val="30"/>
        </w:rPr>
      </w:pPr>
      <w:r>
        <w:rPr>
          <w:rFonts w:eastAsia="方正仿宋简体"/>
          <w:kern w:val="0"/>
          <w:sz w:val="30"/>
          <w:szCs w:val="30"/>
        </w:rPr>
        <w:t>对于存在频繁强平记录和交易违规情况的客户，证券公司可调低限购额度，调整后证券公司应及时告知客户。</w:t>
      </w:r>
    </w:p>
    <w:p>
      <w:pPr>
        <w:pStyle w:val="58"/>
        <w:numPr>
          <w:ilvl w:val="0"/>
          <w:numId w:val="39"/>
        </w:numPr>
        <w:spacing w:line="560" w:lineRule="exact"/>
        <w:ind w:left="0" w:firstLine="600"/>
        <w:rPr>
          <w:rFonts w:eastAsia="方正仿宋简体"/>
          <w:kern w:val="0"/>
          <w:sz w:val="30"/>
          <w:szCs w:val="30"/>
        </w:rPr>
      </w:pPr>
      <w:r>
        <w:rPr>
          <w:rFonts w:eastAsia="方正仿宋简体"/>
          <w:kern w:val="0"/>
          <w:sz w:val="30"/>
          <w:szCs w:val="30"/>
        </w:rPr>
        <w:t>如本所进行限购额度调整，证券公司须根据本所最新标准，结合公司限购额度计算方法，对客户限购额度进行统一调整。调整后证券公司应及时向客户公布调整信息。</w:t>
      </w:r>
    </w:p>
    <w:p>
      <w:pPr>
        <w:pStyle w:val="5"/>
        <w:numPr>
          <w:ilvl w:val="0"/>
          <w:numId w:val="31"/>
        </w:numPr>
        <w:spacing w:before="0" w:after="0" w:line="560" w:lineRule="exact"/>
        <w:ind w:left="0" w:firstLine="601" w:firstLineChars="200"/>
        <w:rPr>
          <w:rFonts w:ascii="Times New Roman" w:hAnsi="Times New Roman" w:eastAsia="方正仿宋简体"/>
          <w:sz w:val="30"/>
          <w:szCs w:val="30"/>
        </w:rPr>
      </w:pPr>
      <w:bookmarkStart w:id="185" w:name="_Toc25049480"/>
      <w:r>
        <w:rPr>
          <w:rFonts w:ascii="Times New Roman" w:hAnsi="Times New Roman" w:eastAsia="方正仿宋简体"/>
          <w:sz w:val="30"/>
          <w:szCs w:val="30"/>
        </w:rPr>
        <w:t>投资者套期保值额度申请</w:t>
      </w:r>
      <w:bookmarkEnd w:id="185"/>
    </w:p>
    <w:p>
      <w:pPr>
        <w:pStyle w:val="7"/>
        <w:numPr>
          <w:ilvl w:val="0"/>
          <w:numId w:val="40"/>
        </w:numPr>
        <w:spacing w:before="0" w:after="0" w:line="560" w:lineRule="exact"/>
        <w:ind w:left="0" w:firstLine="601" w:firstLineChars="200"/>
        <w:rPr>
          <w:rFonts w:eastAsia="方正仿宋简体"/>
          <w:sz w:val="30"/>
          <w:szCs w:val="30"/>
        </w:rPr>
      </w:pPr>
      <w:r>
        <w:rPr>
          <w:rFonts w:eastAsia="方正仿宋简体"/>
          <w:sz w:val="30"/>
          <w:szCs w:val="30"/>
        </w:rPr>
        <w:t>申请对象</w:t>
      </w:r>
    </w:p>
    <w:p>
      <w:pPr>
        <w:widowControl/>
        <w:spacing w:line="560" w:lineRule="exact"/>
        <w:ind w:firstLine="600" w:firstLineChars="200"/>
        <w:rPr>
          <w:rFonts w:eastAsia="方正仿宋简体"/>
          <w:kern w:val="0"/>
          <w:sz w:val="30"/>
          <w:szCs w:val="30"/>
        </w:rPr>
      </w:pPr>
      <w:r>
        <w:rPr>
          <w:rFonts w:eastAsia="方正仿宋简体"/>
          <w:kern w:val="0"/>
          <w:sz w:val="30"/>
          <w:szCs w:val="30"/>
        </w:rPr>
        <w:t>投资者（包括个人投资者、普通机构投资者和专业机构投资者等）因进行套期保值交易，需要提高持仓限额且符合本所规定条件的，可以根据《深圳证券交易所股票期权试点持仓限额管理业务指引》的相关规定，对单个合约品种向本所申请提高权利仓持仓限额、总持仓限额以及单日买入开仓限额。</w:t>
      </w:r>
    </w:p>
    <w:p>
      <w:pPr>
        <w:pStyle w:val="7"/>
        <w:numPr>
          <w:ilvl w:val="0"/>
          <w:numId w:val="40"/>
        </w:numPr>
        <w:spacing w:before="0" w:after="0" w:line="560" w:lineRule="exact"/>
        <w:ind w:left="0" w:firstLine="601" w:firstLineChars="200"/>
        <w:rPr>
          <w:rFonts w:eastAsia="方正仿宋简体"/>
          <w:sz w:val="30"/>
          <w:szCs w:val="30"/>
        </w:rPr>
      </w:pPr>
      <w:r>
        <w:rPr>
          <w:rFonts w:eastAsia="方正仿宋简体"/>
          <w:sz w:val="30"/>
          <w:szCs w:val="30"/>
        </w:rPr>
        <w:t>账户管理</w:t>
      </w:r>
    </w:p>
    <w:p>
      <w:pPr>
        <w:spacing w:line="560" w:lineRule="exact"/>
        <w:ind w:firstLine="596" w:firstLineChars="200"/>
        <w:rPr>
          <w:rFonts w:eastAsia="方正仿宋简体"/>
          <w:kern w:val="0"/>
          <w:sz w:val="30"/>
          <w:szCs w:val="30"/>
        </w:rPr>
      </w:pPr>
      <w:r>
        <w:rPr>
          <w:rFonts w:eastAsia="方正仿宋简体"/>
          <w:spacing w:val="-1"/>
          <w:kern w:val="0"/>
          <w:sz w:val="30"/>
          <w:szCs w:val="30"/>
        </w:rPr>
        <w:t>对因套期保值交易申请提高</w:t>
      </w:r>
      <w:r>
        <w:rPr>
          <w:rFonts w:eastAsia="方正仿宋简体"/>
          <w:kern w:val="0"/>
          <w:sz w:val="30"/>
          <w:szCs w:val="30"/>
        </w:rPr>
        <w:t>权利仓持仓限额、总持仓限额以及单日买入开仓限额</w:t>
      </w:r>
      <w:r>
        <w:rPr>
          <w:rFonts w:eastAsia="方正仿宋简体"/>
          <w:spacing w:val="-1"/>
          <w:kern w:val="0"/>
          <w:sz w:val="30"/>
          <w:szCs w:val="30"/>
        </w:rPr>
        <w:t>且审核通过的，上报的</w:t>
      </w:r>
      <w:r>
        <w:rPr>
          <w:rFonts w:eastAsia="方正仿宋简体"/>
          <w:kern w:val="0"/>
          <w:sz w:val="30"/>
          <w:szCs w:val="30"/>
        </w:rPr>
        <w:t xml:space="preserve">衍生品合约账户将作为套期保值专用账户（以下简称套保账户），持仓限额调整结果对该套保账户对应的A股证券账户生效。 </w:t>
      </w:r>
    </w:p>
    <w:p>
      <w:pPr>
        <w:spacing w:line="560" w:lineRule="exact"/>
        <w:ind w:firstLine="600" w:firstLineChars="200"/>
        <w:rPr>
          <w:rFonts w:eastAsia="方正仿宋简体"/>
          <w:kern w:val="0"/>
          <w:sz w:val="30"/>
          <w:szCs w:val="30"/>
        </w:rPr>
      </w:pPr>
      <w:r>
        <w:rPr>
          <w:rFonts w:eastAsia="方正仿宋简体"/>
          <w:kern w:val="0"/>
          <w:sz w:val="30"/>
          <w:szCs w:val="30"/>
        </w:rPr>
        <w:t>套保账户仅用于申请人所报备的套期保值交易，投资者不得使用该账户进行所报备方案外的交易。</w:t>
      </w:r>
    </w:p>
    <w:p>
      <w:pPr>
        <w:spacing w:line="560" w:lineRule="exact"/>
        <w:ind w:firstLine="596" w:firstLineChars="200"/>
        <w:rPr>
          <w:rFonts w:eastAsia="方正仿宋简体"/>
          <w:spacing w:val="-1"/>
          <w:kern w:val="0"/>
          <w:sz w:val="30"/>
          <w:szCs w:val="30"/>
        </w:rPr>
      </w:pPr>
      <w:r>
        <w:rPr>
          <w:rFonts w:eastAsia="方正仿宋简体"/>
          <w:spacing w:val="-1"/>
          <w:kern w:val="0"/>
          <w:sz w:val="30"/>
          <w:szCs w:val="30"/>
        </w:rPr>
        <w:t>本所以</w:t>
      </w:r>
      <w:r>
        <w:rPr>
          <w:rFonts w:eastAsia="方正仿宋简体"/>
          <w:kern w:val="0"/>
          <w:sz w:val="30"/>
          <w:szCs w:val="30"/>
        </w:rPr>
        <w:t>套保账户</w:t>
      </w:r>
      <w:r>
        <w:rPr>
          <w:rFonts w:eastAsia="方正仿宋简体"/>
          <w:spacing w:val="-1"/>
          <w:kern w:val="0"/>
          <w:sz w:val="30"/>
          <w:szCs w:val="30"/>
        </w:rPr>
        <w:t>对应的深市A股证券账户进行前端控制和交易监管，证券公司仍以该</w:t>
      </w:r>
      <w:r>
        <w:rPr>
          <w:rFonts w:eastAsia="方正仿宋简体"/>
          <w:kern w:val="0"/>
          <w:sz w:val="30"/>
          <w:szCs w:val="30"/>
        </w:rPr>
        <w:t>套保账户</w:t>
      </w:r>
      <w:r>
        <w:rPr>
          <w:rFonts w:eastAsia="方正仿宋简体"/>
          <w:spacing w:val="-1"/>
          <w:kern w:val="0"/>
          <w:sz w:val="30"/>
          <w:szCs w:val="30"/>
        </w:rPr>
        <w:t>为单位对客户持有的单个期权品种持仓按新审批的额度实行前端控制。</w:t>
      </w:r>
    </w:p>
    <w:p>
      <w:pPr>
        <w:pStyle w:val="7"/>
        <w:numPr>
          <w:ilvl w:val="0"/>
          <w:numId w:val="40"/>
        </w:numPr>
        <w:spacing w:before="0" w:after="0" w:line="560" w:lineRule="exact"/>
        <w:ind w:left="0" w:firstLine="601" w:firstLineChars="200"/>
        <w:rPr>
          <w:rFonts w:eastAsia="方正仿宋简体"/>
          <w:sz w:val="30"/>
          <w:szCs w:val="30"/>
        </w:rPr>
      </w:pPr>
      <w:r>
        <w:rPr>
          <w:rFonts w:eastAsia="方正仿宋简体"/>
          <w:sz w:val="30"/>
          <w:szCs w:val="30"/>
        </w:rPr>
        <w:t>套期保值类型</w:t>
      </w:r>
    </w:p>
    <w:p>
      <w:pPr>
        <w:widowControl/>
        <w:spacing w:line="560" w:lineRule="exact"/>
        <w:ind w:firstLine="600" w:firstLineChars="200"/>
        <w:rPr>
          <w:rFonts w:eastAsia="方正仿宋简体"/>
          <w:kern w:val="0"/>
          <w:sz w:val="30"/>
          <w:szCs w:val="30"/>
        </w:rPr>
      </w:pPr>
      <w:r>
        <w:rPr>
          <w:rFonts w:eastAsia="方正仿宋简体"/>
          <w:kern w:val="0"/>
          <w:sz w:val="30"/>
          <w:szCs w:val="30"/>
        </w:rPr>
        <w:t>1.现货多头套期保值，指在持有合约标的情况下，买入对应数量的认沽期权。</w:t>
      </w:r>
    </w:p>
    <w:p>
      <w:pPr>
        <w:widowControl/>
        <w:spacing w:line="560" w:lineRule="exact"/>
        <w:ind w:firstLine="600" w:firstLineChars="200"/>
        <w:rPr>
          <w:rFonts w:eastAsia="方正仿宋简体"/>
          <w:kern w:val="0"/>
          <w:sz w:val="30"/>
          <w:szCs w:val="30"/>
        </w:rPr>
      </w:pPr>
      <w:r>
        <w:rPr>
          <w:rFonts w:eastAsia="方正仿宋简体"/>
          <w:kern w:val="0"/>
          <w:sz w:val="30"/>
          <w:szCs w:val="30"/>
        </w:rPr>
        <w:t>2.现货空头套期保值，指在融券卖出合约标的情况下，买入对应数量的认购期权。</w:t>
      </w:r>
    </w:p>
    <w:p>
      <w:pPr>
        <w:widowControl/>
        <w:spacing w:line="560" w:lineRule="exact"/>
        <w:ind w:firstLine="600" w:firstLineChars="200"/>
        <w:rPr>
          <w:rFonts w:eastAsia="方正仿宋简体"/>
          <w:kern w:val="0"/>
          <w:sz w:val="30"/>
          <w:szCs w:val="30"/>
        </w:rPr>
      </w:pPr>
      <w:r>
        <w:rPr>
          <w:rFonts w:eastAsia="方正仿宋简体"/>
          <w:kern w:val="0"/>
          <w:sz w:val="30"/>
          <w:szCs w:val="30"/>
        </w:rPr>
        <w:t>3.期权合约之间套期保值，指对同一合约品种进行数量匹配的买入、卖出交易或保持Delta值中性的交易策略组合。</w:t>
      </w:r>
    </w:p>
    <w:p>
      <w:pPr>
        <w:widowControl/>
        <w:spacing w:line="560" w:lineRule="exact"/>
        <w:ind w:firstLine="600" w:firstLineChars="200"/>
        <w:rPr>
          <w:rFonts w:eastAsia="方正仿宋简体"/>
          <w:kern w:val="0"/>
          <w:sz w:val="30"/>
          <w:szCs w:val="30"/>
        </w:rPr>
      </w:pPr>
      <w:r>
        <w:rPr>
          <w:rFonts w:eastAsia="方正仿宋简体"/>
          <w:kern w:val="0"/>
          <w:sz w:val="30"/>
          <w:szCs w:val="30"/>
        </w:rPr>
        <w:t>4.备兑开仓，指在持有合约标的情况下，卖出对应数量的认购期权。</w:t>
      </w:r>
    </w:p>
    <w:p>
      <w:pPr>
        <w:pStyle w:val="7"/>
        <w:numPr>
          <w:ilvl w:val="0"/>
          <w:numId w:val="40"/>
        </w:numPr>
        <w:spacing w:before="0" w:after="0" w:line="560" w:lineRule="exact"/>
        <w:ind w:left="0" w:firstLine="601" w:firstLineChars="200"/>
        <w:rPr>
          <w:rFonts w:eastAsia="方正仿宋简体"/>
          <w:sz w:val="30"/>
          <w:szCs w:val="30"/>
        </w:rPr>
      </w:pPr>
      <w:r>
        <w:rPr>
          <w:rFonts w:eastAsia="方正仿宋简体"/>
          <w:sz w:val="30"/>
          <w:szCs w:val="30"/>
        </w:rPr>
        <w:t>套期保值持仓限额申请材料</w:t>
      </w:r>
    </w:p>
    <w:p>
      <w:pPr>
        <w:spacing w:line="560" w:lineRule="exact"/>
        <w:ind w:firstLine="600" w:firstLineChars="200"/>
        <w:rPr>
          <w:rFonts w:eastAsia="方正仿宋简体"/>
          <w:kern w:val="0"/>
          <w:sz w:val="30"/>
          <w:szCs w:val="30"/>
        </w:rPr>
      </w:pPr>
      <w:r>
        <w:rPr>
          <w:rFonts w:eastAsia="方正仿宋简体"/>
          <w:kern w:val="0"/>
          <w:sz w:val="30"/>
          <w:szCs w:val="30"/>
        </w:rPr>
        <w:t>投资者进行套期保值交易需要申请提高持仓限额的，应当通过委托的证券公司向本所提交申请。接收委托的证券公司应当通过本所期权业务专区填报电子申请，同时提交下列书面申请材料：</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个人投资者提交经本人签字的套期保值专用账户报备表（附件3）及持仓限额调整申请表（附件4）；机构投资者提交加盖单位公章的申请书、套期保值专用账户报备表（附件3）及持仓限额调整申请表（附件4）；</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个人投资者需提供账户信息、有效身份证明复印件；机构投资者需提供账户信息、单位的授权委托书、授权委托人（代理人）身份证复印件和单位营业执照复印件等；</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证券公司出具的客户持仓限额调整意见书。客户持仓限额调整意见书需经证券公司股票期权经纪业务负责人签字，并加盖证券公司公章；</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套期保值方案；</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最近30个交易日与其套期保值方案相关的现货及期货市场交易、风险管理情况；</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最近30个交易日的自有资产证明（附件5）；</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最近30个交易日额度使用情况说明；</w:t>
      </w:r>
    </w:p>
    <w:p>
      <w:pPr>
        <w:numPr>
          <w:ilvl w:val="0"/>
          <w:numId w:val="41"/>
        </w:numPr>
        <w:spacing w:line="560" w:lineRule="exact"/>
        <w:ind w:left="0" w:firstLine="600" w:firstLineChars="200"/>
        <w:rPr>
          <w:rFonts w:eastAsia="方正仿宋简体"/>
          <w:sz w:val="30"/>
          <w:szCs w:val="30"/>
        </w:rPr>
      </w:pPr>
      <w:r>
        <w:rPr>
          <w:rFonts w:eastAsia="方正仿宋简体"/>
          <w:sz w:val="30"/>
          <w:szCs w:val="30"/>
        </w:rPr>
        <w:t>本所要求的其他材料。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书面申请材料均为PDF文件（不大于20MB），其中《套期保值专用账户报备表》《持仓限额调整申请表》（附件4）和《持仓限额调整相关资产报备表》在专区页面填报完成后，点击下载签字盖章后，扫描为PDF文件。以上材料均需通过期权业务专区上传。</w:t>
      </w:r>
    </w:p>
    <w:p>
      <w:pPr>
        <w:widowControl/>
        <w:spacing w:line="560" w:lineRule="exact"/>
        <w:ind w:firstLine="600" w:firstLineChars="200"/>
        <w:rPr>
          <w:rFonts w:eastAsia="方正仿宋简体"/>
          <w:kern w:val="0"/>
          <w:sz w:val="30"/>
          <w:szCs w:val="30"/>
        </w:rPr>
      </w:pPr>
      <w:r>
        <w:rPr>
          <w:rFonts w:eastAsia="方正仿宋简体"/>
          <w:kern w:val="0"/>
          <w:sz w:val="30"/>
          <w:szCs w:val="30"/>
        </w:rPr>
        <w:t>投资者提供的申请材料应当真实、准确、完整，证券公司应当对客户的申请材料进行核查，保证其真实、准确、完整，并持续对套期保值额度的使用情况进行跟踪评估。</w:t>
      </w:r>
    </w:p>
    <w:p>
      <w:pPr>
        <w:pStyle w:val="7"/>
        <w:numPr>
          <w:ilvl w:val="0"/>
          <w:numId w:val="40"/>
        </w:numPr>
        <w:spacing w:before="0" w:after="0" w:line="560" w:lineRule="exact"/>
        <w:ind w:left="0" w:firstLine="601" w:firstLineChars="200"/>
        <w:rPr>
          <w:rFonts w:eastAsia="方正仿宋简体"/>
          <w:sz w:val="30"/>
          <w:szCs w:val="30"/>
        </w:rPr>
      </w:pPr>
      <w:r>
        <w:rPr>
          <w:rFonts w:eastAsia="方正仿宋简体"/>
          <w:sz w:val="30"/>
          <w:szCs w:val="30"/>
        </w:rPr>
        <w:t>监管要求</w:t>
      </w:r>
    </w:p>
    <w:p>
      <w:pPr>
        <w:widowControl/>
        <w:spacing w:line="560" w:lineRule="exact"/>
        <w:ind w:firstLine="600" w:firstLineChars="200"/>
        <w:rPr>
          <w:rFonts w:eastAsia="方正仿宋简体"/>
          <w:kern w:val="0"/>
          <w:sz w:val="30"/>
          <w:szCs w:val="30"/>
        </w:rPr>
      </w:pPr>
      <w:r>
        <w:rPr>
          <w:rFonts w:eastAsia="方正仿宋简体"/>
          <w:kern w:val="0"/>
          <w:sz w:val="30"/>
          <w:szCs w:val="30"/>
        </w:rPr>
        <w:t>本所依据中国结算提供的开户数据，对证券公司开立的合约账户进行检查。对套保账户的交易行为按照本所相关股票期权业务规则进行监管。</w:t>
      </w:r>
    </w:p>
    <w:p>
      <w:pPr>
        <w:pStyle w:val="7"/>
        <w:numPr>
          <w:ilvl w:val="0"/>
          <w:numId w:val="40"/>
        </w:numPr>
        <w:spacing w:before="0" w:after="0" w:line="560" w:lineRule="exact"/>
        <w:ind w:left="0" w:firstLine="601" w:firstLineChars="200"/>
        <w:rPr>
          <w:rFonts w:eastAsia="方正仿宋简体"/>
          <w:sz w:val="30"/>
          <w:szCs w:val="30"/>
        </w:rPr>
      </w:pPr>
      <w:r>
        <w:rPr>
          <w:rFonts w:eastAsia="方正仿宋简体"/>
          <w:sz w:val="30"/>
          <w:szCs w:val="30"/>
        </w:rPr>
        <w:t>注意事项</w:t>
      </w:r>
    </w:p>
    <w:p>
      <w:pPr>
        <w:widowControl/>
        <w:numPr>
          <w:ilvl w:val="0"/>
          <w:numId w:val="42"/>
        </w:numPr>
        <w:spacing w:line="560" w:lineRule="exact"/>
        <w:ind w:left="0" w:firstLine="600" w:firstLineChars="200"/>
        <w:rPr>
          <w:rFonts w:eastAsia="方正仿宋简体"/>
          <w:kern w:val="0"/>
          <w:sz w:val="30"/>
          <w:szCs w:val="30"/>
        </w:rPr>
      </w:pPr>
      <w:r>
        <w:rPr>
          <w:rFonts w:eastAsia="方正仿宋简体"/>
          <w:kern w:val="0"/>
          <w:sz w:val="30"/>
          <w:szCs w:val="30"/>
        </w:rPr>
        <w:t>机构投资者需提供账户信息、单位的授权委托书、授权委托人（代理人）身份证复印件和单位营业执照复印件等需要加盖公章。</w:t>
      </w:r>
    </w:p>
    <w:p>
      <w:pPr>
        <w:widowControl/>
        <w:numPr>
          <w:ilvl w:val="0"/>
          <w:numId w:val="42"/>
        </w:numPr>
        <w:spacing w:line="560" w:lineRule="exact"/>
        <w:ind w:left="0" w:firstLine="600" w:firstLineChars="200"/>
        <w:rPr>
          <w:rFonts w:eastAsia="方正仿宋简体"/>
          <w:kern w:val="0"/>
          <w:sz w:val="30"/>
          <w:szCs w:val="30"/>
        </w:rPr>
      </w:pPr>
      <w:r>
        <w:rPr>
          <w:rFonts w:eastAsia="方正仿宋简体"/>
          <w:kern w:val="0"/>
          <w:sz w:val="30"/>
          <w:szCs w:val="30"/>
        </w:rPr>
        <w:t>套期保值方案包括但不限于：套期保值原理、套保策略、现货规模（须与上报资产明细一致）与套保额度需求测算、套期保值实施计划和目标、期现资产关联度分析、风险控制和内部控制制度等。</w:t>
      </w:r>
    </w:p>
    <w:p>
      <w:pPr>
        <w:widowControl/>
        <w:numPr>
          <w:ilvl w:val="0"/>
          <w:numId w:val="42"/>
        </w:numPr>
        <w:spacing w:line="560" w:lineRule="exact"/>
        <w:ind w:left="0" w:firstLine="600" w:firstLineChars="200"/>
        <w:rPr>
          <w:rFonts w:eastAsia="方正仿宋简体"/>
          <w:kern w:val="0"/>
          <w:sz w:val="30"/>
          <w:szCs w:val="30"/>
        </w:rPr>
      </w:pPr>
      <w:r>
        <w:rPr>
          <w:rFonts w:eastAsia="方正仿宋简体"/>
          <w:kern w:val="0"/>
          <w:sz w:val="30"/>
          <w:szCs w:val="30"/>
        </w:rPr>
        <w:t>投资者申请材料要加盖证券公司业务章。</w:t>
      </w:r>
    </w:p>
    <w:p>
      <w:pPr>
        <w:pStyle w:val="5"/>
        <w:numPr>
          <w:ilvl w:val="0"/>
          <w:numId w:val="31"/>
        </w:numPr>
        <w:spacing w:before="0" w:after="0" w:line="560" w:lineRule="exact"/>
        <w:ind w:left="0" w:firstLine="601" w:firstLineChars="200"/>
        <w:rPr>
          <w:rFonts w:ascii="Times New Roman" w:hAnsi="Times New Roman" w:eastAsia="方正仿宋简体"/>
          <w:sz w:val="30"/>
          <w:szCs w:val="30"/>
        </w:rPr>
      </w:pPr>
      <w:bookmarkStart w:id="186" w:name="_Toc25049481"/>
      <w:r>
        <w:rPr>
          <w:rFonts w:ascii="Times New Roman" w:hAnsi="Times New Roman" w:eastAsia="方正仿宋简体"/>
          <w:sz w:val="30"/>
          <w:szCs w:val="30"/>
        </w:rPr>
        <w:t>经纪业务总持仓限额申请</w:t>
      </w:r>
      <w:bookmarkEnd w:id="186"/>
    </w:p>
    <w:p>
      <w:pPr>
        <w:pStyle w:val="7"/>
        <w:numPr>
          <w:ilvl w:val="0"/>
          <w:numId w:val="43"/>
        </w:numPr>
        <w:spacing w:before="0" w:after="0" w:line="560" w:lineRule="exact"/>
        <w:ind w:left="0" w:firstLine="601" w:firstLineChars="200"/>
        <w:rPr>
          <w:rFonts w:eastAsia="方正仿宋简体"/>
          <w:sz w:val="30"/>
          <w:szCs w:val="30"/>
        </w:rPr>
      </w:pPr>
      <w:r>
        <w:rPr>
          <w:rFonts w:eastAsia="方正仿宋简体"/>
          <w:sz w:val="30"/>
          <w:szCs w:val="30"/>
        </w:rPr>
        <w:t>申请对象</w:t>
      </w:r>
    </w:p>
    <w:p>
      <w:pPr>
        <w:widowControl/>
        <w:spacing w:line="560" w:lineRule="exact"/>
        <w:ind w:firstLine="600" w:firstLineChars="200"/>
        <w:rPr>
          <w:rFonts w:eastAsia="方正仿宋简体"/>
          <w:kern w:val="0"/>
          <w:sz w:val="30"/>
          <w:szCs w:val="30"/>
        </w:rPr>
      </w:pPr>
      <w:r>
        <w:rPr>
          <w:rFonts w:eastAsia="方正仿宋简体"/>
          <w:kern w:val="0"/>
          <w:sz w:val="30"/>
          <w:szCs w:val="30"/>
        </w:rPr>
        <w:t>证券公司因经纪业务需要提高持仓限额且符合本所规定条件的，可以根据《深圳证券交易所股票期权试点持仓限额管理业务指引》的相关规定，对单个合约品种向本所申请提高总持仓限额。</w:t>
      </w:r>
    </w:p>
    <w:p>
      <w:pPr>
        <w:pStyle w:val="7"/>
        <w:numPr>
          <w:ilvl w:val="0"/>
          <w:numId w:val="43"/>
        </w:numPr>
        <w:spacing w:before="0" w:after="0" w:line="560" w:lineRule="exact"/>
        <w:ind w:left="0" w:firstLine="601" w:firstLineChars="200"/>
        <w:rPr>
          <w:rFonts w:eastAsia="方正仿宋简体"/>
          <w:sz w:val="30"/>
          <w:szCs w:val="30"/>
        </w:rPr>
      </w:pPr>
      <w:r>
        <w:rPr>
          <w:rFonts w:eastAsia="方正仿宋简体"/>
          <w:sz w:val="30"/>
          <w:szCs w:val="30"/>
        </w:rPr>
        <w:t>持仓限额申请材料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证券公司因经纪业务需要提高持仓限额的，应当向本所提交下列书面申请材料：</w:t>
      </w:r>
    </w:p>
    <w:p>
      <w:pPr>
        <w:numPr>
          <w:ilvl w:val="0"/>
          <w:numId w:val="44"/>
        </w:numPr>
        <w:spacing w:line="560" w:lineRule="exact"/>
        <w:ind w:firstLine="600" w:firstLineChars="200"/>
        <w:rPr>
          <w:rFonts w:eastAsia="方正仿宋简体"/>
          <w:sz w:val="30"/>
          <w:szCs w:val="30"/>
        </w:rPr>
      </w:pPr>
      <w:r>
        <w:rPr>
          <w:rFonts w:eastAsia="方正仿宋简体"/>
          <w:sz w:val="30"/>
          <w:szCs w:val="30"/>
        </w:rPr>
        <w:t>加盖证券公司公章的申请书；</w:t>
      </w:r>
    </w:p>
    <w:p>
      <w:pPr>
        <w:numPr>
          <w:ilvl w:val="0"/>
          <w:numId w:val="44"/>
        </w:numPr>
        <w:spacing w:line="560" w:lineRule="exact"/>
        <w:ind w:firstLine="600" w:firstLineChars="200"/>
        <w:rPr>
          <w:rFonts w:eastAsia="方正仿宋简体"/>
          <w:sz w:val="30"/>
          <w:szCs w:val="30"/>
        </w:rPr>
      </w:pPr>
      <w:r>
        <w:rPr>
          <w:rFonts w:eastAsia="方正仿宋简体"/>
          <w:sz w:val="30"/>
          <w:szCs w:val="30"/>
        </w:rPr>
        <w:t>持仓限额调整申请表（附件8）。持仓限额调整申请表需经证券公司分管期权经纪业务的公司高级管理人员及首席风控官（或合规总监）签字，并加盖证券公司公章；</w:t>
      </w:r>
    </w:p>
    <w:p>
      <w:pPr>
        <w:numPr>
          <w:ilvl w:val="0"/>
          <w:numId w:val="44"/>
        </w:numPr>
        <w:spacing w:line="560" w:lineRule="exact"/>
        <w:ind w:firstLine="600" w:firstLineChars="200"/>
        <w:rPr>
          <w:rFonts w:eastAsia="方正仿宋简体"/>
          <w:sz w:val="30"/>
          <w:szCs w:val="30"/>
        </w:rPr>
      </w:pPr>
      <w:r>
        <w:rPr>
          <w:rFonts w:eastAsia="方正仿宋简体"/>
          <w:sz w:val="30"/>
          <w:szCs w:val="30"/>
        </w:rPr>
        <w:t>最近30个交易日全体客户数量、额度使用情况等说明；</w:t>
      </w:r>
    </w:p>
    <w:p>
      <w:pPr>
        <w:numPr>
          <w:ilvl w:val="0"/>
          <w:numId w:val="44"/>
        </w:numPr>
        <w:spacing w:line="560" w:lineRule="exact"/>
        <w:ind w:firstLine="600" w:firstLineChars="200"/>
        <w:rPr>
          <w:rFonts w:eastAsia="方正仿宋简体"/>
          <w:sz w:val="30"/>
          <w:szCs w:val="30"/>
        </w:rPr>
      </w:pPr>
      <w:r>
        <w:rPr>
          <w:rFonts w:eastAsia="方正仿宋简体"/>
          <w:sz w:val="30"/>
          <w:szCs w:val="30"/>
        </w:rPr>
        <w:t>本所要求的其他材料。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书面申请材料均为PDF文件（不大于20MB），其中《持仓限额调整申请表》（附件8）在专区页面填报完成后，点击下载签字盖章后，扫描为PDF文件。以上材料均需通过期权业务专区上传。</w:t>
      </w:r>
    </w:p>
    <w:p>
      <w:pPr>
        <w:pStyle w:val="5"/>
        <w:numPr>
          <w:ilvl w:val="0"/>
          <w:numId w:val="31"/>
        </w:numPr>
        <w:spacing w:before="0" w:after="0" w:line="560" w:lineRule="exact"/>
        <w:ind w:left="0" w:firstLine="601" w:firstLineChars="200"/>
        <w:rPr>
          <w:rFonts w:ascii="Times New Roman" w:hAnsi="Times New Roman" w:eastAsia="方正仿宋简体"/>
          <w:sz w:val="30"/>
          <w:szCs w:val="30"/>
        </w:rPr>
      </w:pPr>
      <w:bookmarkStart w:id="187" w:name="_Toc25049482"/>
      <w:r>
        <w:rPr>
          <w:rFonts w:ascii="Times New Roman" w:hAnsi="Times New Roman" w:eastAsia="方正仿宋简体"/>
          <w:sz w:val="30"/>
          <w:szCs w:val="30"/>
        </w:rPr>
        <w:t>特定产品持仓限额申请</w:t>
      </w:r>
      <w:bookmarkEnd w:id="187"/>
    </w:p>
    <w:p>
      <w:pPr>
        <w:pStyle w:val="7"/>
        <w:numPr>
          <w:ilvl w:val="0"/>
          <w:numId w:val="45"/>
        </w:numPr>
        <w:spacing w:before="0" w:after="0" w:line="560" w:lineRule="exact"/>
        <w:ind w:left="0" w:firstLine="601" w:firstLineChars="200"/>
        <w:rPr>
          <w:rFonts w:eastAsia="方正仿宋简体"/>
          <w:sz w:val="30"/>
          <w:szCs w:val="30"/>
        </w:rPr>
      </w:pPr>
      <w:r>
        <w:rPr>
          <w:rFonts w:eastAsia="方正仿宋简体"/>
          <w:sz w:val="30"/>
          <w:szCs w:val="30"/>
        </w:rPr>
        <w:t>申请对象</w:t>
      </w:r>
    </w:p>
    <w:p>
      <w:pPr>
        <w:widowControl/>
        <w:spacing w:line="560" w:lineRule="exact"/>
        <w:ind w:firstLine="600" w:firstLineChars="200"/>
        <w:rPr>
          <w:rFonts w:eastAsia="方正仿宋简体"/>
          <w:kern w:val="0"/>
          <w:sz w:val="30"/>
          <w:szCs w:val="30"/>
        </w:rPr>
      </w:pPr>
      <w:r>
        <w:rPr>
          <w:rFonts w:eastAsia="方正仿宋简体"/>
          <w:kern w:val="0"/>
          <w:sz w:val="30"/>
          <w:szCs w:val="30"/>
        </w:rPr>
        <w:t>特定产品根据产品需要，可以根据《深圳证券交易所股票期权试点持仓限额管理业务指引》的相关规定，通过证券公司向本所申请持仓限额，本所根据产品方案、资产规模、投资策略等确定其持仓限额。</w:t>
      </w:r>
    </w:p>
    <w:p>
      <w:pPr>
        <w:pStyle w:val="7"/>
        <w:numPr>
          <w:ilvl w:val="0"/>
          <w:numId w:val="45"/>
        </w:numPr>
        <w:spacing w:before="0" w:after="0" w:line="560" w:lineRule="exact"/>
        <w:ind w:left="0" w:firstLine="601" w:firstLineChars="200"/>
        <w:rPr>
          <w:rFonts w:eastAsia="方正仿宋简体"/>
          <w:sz w:val="30"/>
          <w:szCs w:val="30"/>
        </w:rPr>
      </w:pPr>
      <w:r>
        <w:rPr>
          <w:rFonts w:eastAsia="方正仿宋简体"/>
          <w:sz w:val="30"/>
          <w:szCs w:val="30"/>
        </w:rPr>
        <w:t>账户管理</w:t>
      </w:r>
    </w:p>
    <w:p>
      <w:pPr>
        <w:spacing w:line="560" w:lineRule="exact"/>
        <w:ind w:firstLine="596" w:firstLineChars="200"/>
        <w:rPr>
          <w:rFonts w:eastAsia="方正仿宋简体"/>
          <w:spacing w:val="-1"/>
          <w:kern w:val="0"/>
          <w:sz w:val="30"/>
          <w:szCs w:val="30"/>
        </w:rPr>
      </w:pPr>
      <w:r>
        <w:rPr>
          <w:rFonts w:eastAsia="方正仿宋简体"/>
          <w:spacing w:val="-1"/>
          <w:kern w:val="0"/>
          <w:sz w:val="30"/>
          <w:szCs w:val="30"/>
        </w:rPr>
        <w:t>对特定产品因产品需要申请调整持仓限额且审核通过的，上报的衍生品合约账户将作为产品专用账户，持仓限额调整结果对该产品账户对应的A股证券账户生效。</w:t>
      </w:r>
    </w:p>
    <w:p>
      <w:pPr>
        <w:spacing w:line="560" w:lineRule="exact"/>
        <w:ind w:firstLine="600" w:firstLineChars="200"/>
        <w:rPr>
          <w:rFonts w:eastAsia="方正仿宋简体"/>
          <w:kern w:val="0"/>
          <w:sz w:val="30"/>
          <w:szCs w:val="30"/>
        </w:rPr>
      </w:pPr>
      <w:r>
        <w:rPr>
          <w:rFonts w:eastAsia="方正仿宋简体"/>
          <w:kern w:val="0"/>
          <w:sz w:val="30"/>
          <w:szCs w:val="30"/>
        </w:rPr>
        <w:t xml:space="preserve">产品账户仅用于申请人所报备的特定产品交易，不得使用该账户进行所报备方案外的交易。 </w:t>
      </w:r>
    </w:p>
    <w:p>
      <w:pPr>
        <w:spacing w:line="560" w:lineRule="exact"/>
        <w:ind w:firstLine="596" w:firstLineChars="200"/>
        <w:rPr>
          <w:rFonts w:eastAsia="方正仿宋简体"/>
          <w:spacing w:val="-1"/>
          <w:kern w:val="0"/>
          <w:sz w:val="30"/>
          <w:szCs w:val="30"/>
        </w:rPr>
      </w:pPr>
      <w:r>
        <w:rPr>
          <w:rFonts w:eastAsia="方正仿宋简体"/>
          <w:spacing w:val="-1"/>
          <w:kern w:val="0"/>
          <w:sz w:val="30"/>
          <w:szCs w:val="30"/>
        </w:rPr>
        <w:t>本所以</w:t>
      </w:r>
      <w:r>
        <w:rPr>
          <w:rFonts w:eastAsia="方正仿宋简体"/>
          <w:kern w:val="0"/>
          <w:sz w:val="30"/>
          <w:szCs w:val="30"/>
        </w:rPr>
        <w:t>产品账户</w:t>
      </w:r>
      <w:r>
        <w:rPr>
          <w:rFonts w:eastAsia="方正仿宋简体"/>
          <w:spacing w:val="-1"/>
          <w:kern w:val="0"/>
          <w:sz w:val="30"/>
          <w:szCs w:val="30"/>
        </w:rPr>
        <w:t>对应的深市A股证券账户进行前端控制和交易监管，证券公司仍以该</w:t>
      </w:r>
      <w:r>
        <w:rPr>
          <w:rFonts w:eastAsia="方正仿宋简体"/>
          <w:kern w:val="0"/>
          <w:sz w:val="30"/>
          <w:szCs w:val="30"/>
        </w:rPr>
        <w:t>产品账户</w:t>
      </w:r>
      <w:r>
        <w:rPr>
          <w:rFonts w:eastAsia="方正仿宋简体"/>
          <w:spacing w:val="-1"/>
          <w:kern w:val="0"/>
          <w:sz w:val="30"/>
          <w:szCs w:val="30"/>
        </w:rPr>
        <w:t xml:space="preserve">为单位对其持有的单个期权品种持仓按新审批的额度实行前端控制。 </w:t>
      </w:r>
    </w:p>
    <w:p>
      <w:pPr>
        <w:pStyle w:val="7"/>
        <w:numPr>
          <w:ilvl w:val="0"/>
          <w:numId w:val="45"/>
        </w:numPr>
        <w:spacing w:before="0" w:after="0" w:line="560" w:lineRule="exact"/>
        <w:ind w:left="0" w:firstLine="601" w:firstLineChars="200"/>
        <w:rPr>
          <w:rFonts w:eastAsia="方正仿宋简体"/>
          <w:sz w:val="30"/>
          <w:szCs w:val="30"/>
        </w:rPr>
      </w:pPr>
      <w:r>
        <w:rPr>
          <w:rFonts w:eastAsia="方正仿宋简体"/>
          <w:sz w:val="30"/>
          <w:szCs w:val="30"/>
        </w:rPr>
        <w:t>持仓限额申请材料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特定产品因产品需要申请调整持仓限额的，应当向本所提交下列申请材料：</w:t>
      </w:r>
    </w:p>
    <w:p>
      <w:pPr>
        <w:pStyle w:val="58"/>
        <w:widowControl/>
        <w:numPr>
          <w:ilvl w:val="0"/>
          <w:numId w:val="46"/>
        </w:numPr>
        <w:spacing w:line="560" w:lineRule="exact"/>
        <w:ind w:left="0" w:firstLine="600"/>
        <w:rPr>
          <w:rFonts w:eastAsia="方正仿宋简体"/>
          <w:kern w:val="0"/>
          <w:sz w:val="30"/>
          <w:szCs w:val="30"/>
        </w:rPr>
      </w:pPr>
      <w:r>
        <w:rPr>
          <w:rFonts w:eastAsia="方正仿宋简体"/>
          <w:kern w:val="0"/>
          <w:sz w:val="30"/>
          <w:szCs w:val="30"/>
        </w:rPr>
        <w:t>产品发行人提交加盖单位公章的申请书、产品专用账户报备表（附件6）及持仓限额调整申请表（附件7）；</w:t>
      </w:r>
    </w:p>
    <w:p>
      <w:pPr>
        <w:pStyle w:val="58"/>
        <w:widowControl/>
        <w:numPr>
          <w:ilvl w:val="0"/>
          <w:numId w:val="46"/>
        </w:numPr>
        <w:spacing w:line="560" w:lineRule="exact"/>
        <w:ind w:left="0" w:firstLine="600"/>
        <w:rPr>
          <w:rFonts w:eastAsia="方正仿宋简体"/>
          <w:kern w:val="0"/>
          <w:sz w:val="30"/>
          <w:szCs w:val="30"/>
        </w:rPr>
      </w:pPr>
      <w:r>
        <w:rPr>
          <w:rFonts w:eastAsia="方正仿宋简体"/>
          <w:kern w:val="0"/>
          <w:sz w:val="30"/>
          <w:szCs w:val="30"/>
        </w:rPr>
        <w:t xml:space="preserve">产品发行人需提供产品账户信息、发行人的授权委托书、授权委托人（代理人）身份证复印件和发行人营业执照复印件和产品备案文件等； </w:t>
      </w:r>
    </w:p>
    <w:p>
      <w:pPr>
        <w:pStyle w:val="58"/>
        <w:widowControl/>
        <w:numPr>
          <w:ilvl w:val="0"/>
          <w:numId w:val="46"/>
        </w:numPr>
        <w:spacing w:line="560" w:lineRule="exact"/>
        <w:ind w:left="0" w:firstLine="600"/>
        <w:rPr>
          <w:rFonts w:eastAsia="方正仿宋简体"/>
          <w:kern w:val="0"/>
          <w:sz w:val="30"/>
          <w:szCs w:val="30"/>
        </w:rPr>
      </w:pPr>
      <w:r>
        <w:rPr>
          <w:rFonts w:eastAsia="方正仿宋简体"/>
          <w:kern w:val="0"/>
          <w:sz w:val="30"/>
          <w:szCs w:val="30"/>
        </w:rPr>
        <w:t>证券公司出具的特定产品持仓限额调整意见书，意见书需经证券公司股票期权经纪业务负责人签字，并加盖证券公司或其授权部门公章；</w:t>
      </w:r>
    </w:p>
    <w:p>
      <w:pPr>
        <w:pStyle w:val="58"/>
        <w:widowControl/>
        <w:numPr>
          <w:ilvl w:val="0"/>
          <w:numId w:val="46"/>
        </w:numPr>
        <w:spacing w:line="560" w:lineRule="exact"/>
        <w:ind w:left="0" w:firstLine="600"/>
        <w:rPr>
          <w:rFonts w:eastAsia="方正仿宋简体"/>
          <w:kern w:val="0"/>
          <w:sz w:val="30"/>
          <w:szCs w:val="30"/>
        </w:rPr>
      </w:pPr>
      <w:r>
        <w:rPr>
          <w:rFonts w:eastAsia="方正仿宋简体"/>
          <w:kern w:val="0"/>
          <w:sz w:val="30"/>
          <w:szCs w:val="30"/>
        </w:rPr>
        <w:t>产品方案、资产规模、投资策略情况；</w:t>
      </w:r>
    </w:p>
    <w:p>
      <w:pPr>
        <w:pStyle w:val="58"/>
        <w:widowControl/>
        <w:numPr>
          <w:ilvl w:val="0"/>
          <w:numId w:val="46"/>
        </w:numPr>
        <w:spacing w:line="560" w:lineRule="exact"/>
        <w:ind w:left="0" w:firstLine="600"/>
        <w:rPr>
          <w:rFonts w:eastAsia="方正仿宋简体"/>
          <w:kern w:val="0"/>
          <w:sz w:val="30"/>
          <w:szCs w:val="30"/>
        </w:rPr>
      </w:pPr>
      <w:r>
        <w:rPr>
          <w:rFonts w:eastAsia="方正仿宋简体"/>
          <w:kern w:val="0"/>
          <w:sz w:val="30"/>
          <w:szCs w:val="30"/>
        </w:rPr>
        <w:t>本所要求的其他材料。</w:t>
      </w:r>
    </w:p>
    <w:p>
      <w:pPr>
        <w:widowControl/>
        <w:spacing w:line="560" w:lineRule="exact"/>
        <w:ind w:firstLine="600" w:firstLineChars="200"/>
        <w:rPr>
          <w:rFonts w:eastAsia="方正仿宋简体"/>
          <w:kern w:val="0"/>
          <w:sz w:val="30"/>
          <w:szCs w:val="30"/>
        </w:rPr>
      </w:pPr>
      <w:r>
        <w:rPr>
          <w:rFonts w:eastAsia="方正仿宋简体"/>
          <w:kern w:val="0"/>
          <w:sz w:val="30"/>
          <w:szCs w:val="30"/>
        </w:rPr>
        <w:t>书面申请材料均为PDF文件（不大于20MB），其中《产品专用账户报备表》《持仓限额调整申请表》（附件7）在专区页面填报完成后，点击下载签字盖章后，扫描为PDF文件。以上材料均需通过期权业务专区上传。</w:t>
      </w:r>
    </w:p>
    <w:p>
      <w:pPr>
        <w:widowControl/>
        <w:spacing w:line="560" w:lineRule="exact"/>
        <w:ind w:firstLine="600" w:firstLineChars="200"/>
        <w:rPr>
          <w:rFonts w:eastAsia="方正仿宋简体"/>
          <w:kern w:val="0"/>
          <w:sz w:val="30"/>
          <w:szCs w:val="30"/>
        </w:rPr>
      </w:pPr>
      <w:r>
        <w:rPr>
          <w:rFonts w:eastAsia="方正仿宋简体"/>
          <w:kern w:val="0"/>
          <w:sz w:val="30"/>
          <w:szCs w:val="30"/>
        </w:rPr>
        <w:t>特定产品发行人提供的申请材料应当真实、准确、完整，证券公司应当对客户的申请材料进行核查，保证其真实、准确、完整，并持续对其额度的使用情况进行跟踪评估。</w:t>
      </w:r>
    </w:p>
    <w:p>
      <w:pPr>
        <w:spacing w:line="560" w:lineRule="exact"/>
        <w:ind w:firstLine="596" w:firstLineChars="200"/>
        <w:rPr>
          <w:rFonts w:eastAsia="方正仿宋简体"/>
          <w:spacing w:val="-1"/>
          <w:kern w:val="0"/>
          <w:sz w:val="30"/>
          <w:szCs w:val="30"/>
        </w:rPr>
      </w:pPr>
    </w:p>
    <w:p>
      <w:pPr>
        <w:widowControl/>
        <w:spacing w:line="560" w:lineRule="exact"/>
        <w:ind w:firstLine="600" w:firstLineChars="200"/>
        <w:rPr>
          <w:rFonts w:eastAsia="方正仿宋简体"/>
          <w:kern w:val="0"/>
          <w:sz w:val="30"/>
          <w:szCs w:val="30"/>
        </w:rPr>
      </w:pPr>
      <w:r>
        <w:rPr>
          <w:rFonts w:eastAsia="方正仿宋简体"/>
          <w:kern w:val="0"/>
          <w:sz w:val="30"/>
          <w:szCs w:val="30"/>
        </w:rPr>
        <w:br w:type="page"/>
      </w: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188" w:name="_Toc533017884"/>
      <w:bookmarkEnd w:id="188"/>
      <w:bookmarkStart w:id="189" w:name="_Toc533019152"/>
      <w:bookmarkEnd w:id="189"/>
      <w:bookmarkStart w:id="190" w:name="_Toc533058102"/>
      <w:bookmarkEnd w:id="190"/>
      <w:bookmarkStart w:id="191" w:name="_Toc25049483"/>
      <w:bookmarkStart w:id="192" w:name="_Toc422331056"/>
      <w:r>
        <w:rPr>
          <w:rFonts w:ascii="黑体" w:hAnsi="黑体" w:eastAsia="黑体"/>
          <w:bCs/>
          <w:sz w:val="30"/>
          <w:szCs w:val="30"/>
        </w:rPr>
        <w:t>保证金管理</w:t>
      </w:r>
      <w:bookmarkEnd w:id="191"/>
      <w:bookmarkEnd w:id="192"/>
    </w:p>
    <w:p>
      <w:pPr>
        <w:pStyle w:val="5"/>
        <w:numPr>
          <w:ilvl w:val="0"/>
          <w:numId w:val="47"/>
        </w:numPr>
        <w:spacing w:before="0" w:after="0" w:line="560" w:lineRule="exact"/>
        <w:ind w:left="0" w:firstLine="601" w:firstLineChars="200"/>
        <w:rPr>
          <w:rFonts w:ascii="Times New Roman" w:hAnsi="Times New Roman" w:eastAsia="方正仿宋简体"/>
          <w:sz w:val="30"/>
          <w:szCs w:val="30"/>
        </w:rPr>
      </w:pPr>
      <w:bookmarkStart w:id="193" w:name="_Toc25049484"/>
      <w:bookmarkStart w:id="194" w:name="_Toc422331057"/>
      <w:r>
        <w:rPr>
          <w:rFonts w:ascii="Times New Roman" w:hAnsi="Times New Roman" w:eastAsia="方正仿宋简体"/>
          <w:sz w:val="30"/>
          <w:szCs w:val="30"/>
        </w:rPr>
        <w:t>客户保证金管理</w:t>
      </w:r>
      <w:bookmarkEnd w:id="193"/>
      <w:bookmarkEnd w:id="194"/>
    </w:p>
    <w:p>
      <w:pPr>
        <w:pStyle w:val="7"/>
        <w:numPr>
          <w:ilvl w:val="0"/>
          <w:numId w:val="48"/>
        </w:numPr>
        <w:spacing w:before="0" w:after="0" w:line="560" w:lineRule="exact"/>
        <w:ind w:left="0" w:firstLine="601" w:firstLineChars="200"/>
        <w:rPr>
          <w:rFonts w:eastAsia="方正仿宋简体"/>
          <w:sz w:val="30"/>
          <w:szCs w:val="30"/>
        </w:rPr>
      </w:pPr>
      <w:r>
        <w:rPr>
          <w:rFonts w:eastAsia="方正仿宋简体"/>
          <w:sz w:val="30"/>
          <w:szCs w:val="30"/>
        </w:rPr>
        <w:t>保证金水平</w:t>
      </w:r>
    </w:p>
    <w:p>
      <w:pPr>
        <w:pStyle w:val="58"/>
        <w:spacing w:line="560" w:lineRule="exact"/>
        <w:ind w:firstLine="600"/>
        <w:rPr>
          <w:rFonts w:eastAsia="方正仿宋简体"/>
          <w:sz w:val="30"/>
          <w:szCs w:val="30"/>
        </w:rPr>
      </w:pPr>
      <w:r>
        <w:rPr>
          <w:rFonts w:eastAsia="方正仿宋简体"/>
          <w:sz w:val="30"/>
          <w:szCs w:val="30"/>
        </w:rPr>
        <w:t>客户保证金由证券公司向进行保证金开仓（使用保证金作为履约担保，卖出认购或者认沽期权）的客户收取，收取比例由证券公司规定，但要符合本所及中国结算的相关规定。客户存放在证券公司的保证金属于客户所有，用于</w:t>
      </w:r>
      <w:r>
        <w:rPr>
          <w:rFonts w:eastAsia="方正仿宋简体"/>
          <w:kern w:val="0"/>
          <w:sz w:val="30"/>
          <w:szCs w:val="30"/>
          <w:lang w:val="zh-CN"/>
        </w:rPr>
        <w:t>客户</w:t>
      </w:r>
      <w:r>
        <w:rPr>
          <w:rFonts w:eastAsia="方正仿宋简体"/>
          <w:sz w:val="30"/>
          <w:szCs w:val="30"/>
        </w:rPr>
        <w:t>缴存保证金并进行交易结算，严禁挪作他用。</w:t>
      </w:r>
    </w:p>
    <w:p>
      <w:pPr>
        <w:pStyle w:val="8"/>
        <w:keepNext w:val="0"/>
        <w:keepLines w:val="0"/>
        <w:numPr>
          <w:ilvl w:val="0"/>
          <w:numId w:val="49"/>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保证金计算方式</w:t>
      </w:r>
    </w:p>
    <w:p>
      <w:pPr>
        <w:pStyle w:val="58"/>
        <w:spacing w:line="560" w:lineRule="exact"/>
        <w:ind w:firstLine="600"/>
        <w:rPr>
          <w:rFonts w:eastAsia="方正仿宋简体"/>
          <w:sz w:val="30"/>
          <w:szCs w:val="30"/>
        </w:rPr>
      </w:pPr>
      <w:r>
        <w:rPr>
          <w:rFonts w:eastAsia="方正仿宋简体"/>
          <w:sz w:val="30"/>
          <w:szCs w:val="30"/>
        </w:rPr>
        <w:t>证券公司可按线性、非线性或其他可有效控制保证金水平的方式向单个客户收取保证金，可针对不同客户设定不同的保证金水平，但不低于本所和中国结算要求的水平（《风控办法》要求的所司保证金标准）。证券公司对于客户认沽期权卖出开仓时所收取的保证金最高不应超过行权价与合约单位的乘积。</w:t>
      </w:r>
    </w:p>
    <w:p>
      <w:pPr>
        <w:pStyle w:val="58"/>
        <w:spacing w:line="560" w:lineRule="exact"/>
        <w:ind w:firstLine="600"/>
        <w:rPr>
          <w:rFonts w:eastAsia="方正仿宋简体"/>
          <w:sz w:val="30"/>
          <w:szCs w:val="30"/>
        </w:rPr>
      </w:pPr>
      <w:r>
        <w:rPr>
          <w:rFonts w:eastAsia="方正仿宋简体"/>
          <w:sz w:val="30"/>
          <w:szCs w:val="30"/>
        </w:rPr>
        <w:t>证券公司应在投资者</w:t>
      </w:r>
      <w:r>
        <w:rPr>
          <w:rFonts w:eastAsia="方正仿宋简体"/>
          <w:kern w:val="0"/>
          <w:sz w:val="30"/>
          <w:szCs w:val="30"/>
          <w:lang w:val="zh-CN"/>
        </w:rPr>
        <w:t>签署</w:t>
      </w:r>
      <w:r>
        <w:rPr>
          <w:rFonts w:eastAsia="方正仿宋简体"/>
          <w:sz w:val="30"/>
          <w:szCs w:val="30"/>
        </w:rPr>
        <w:t>开户协议时，向客户明确可能导致保证金参数水平调整的情形。若证券公司调整保证金水平参数设置，应当通过邮件、短信、交易客户端等渠道做好通知提醒工作。</w:t>
      </w:r>
    </w:p>
    <w:p>
      <w:pPr>
        <w:pStyle w:val="58"/>
        <w:numPr>
          <w:ilvl w:val="0"/>
          <w:numId w:val="50"/>
        </w:numPr>
        <w:spacing w:line="560" w:lineRule="exact"/>
        <w:ind w:left="0" w:firstLine="600"/>
        <w:rPr>
          <w:rFonts w:eastAsia="方正仿宋简体"/>
          <w:sz w:val="30"/>
          <w:szCs w:val="30"/>
        </w:rPr>
      </w:pPr>
      <w:r>
        <w:rPr>
          <w:rFonts w:eastAsia="方正仿宋简体"/>
          <w:sz w:val="30"/>
          <w:szCs w:val="30"/>
        </w:rPr>
        <w:t>保证金线性收取方式</w:t>
      </w:r>
    </w:p>
    <w:p>
      <w:pPr>
        <w:spacing w:line="560" w:lineRule="exact"/>
        <w:ind w:firstLine="600" w:firstLineChars="200"/>
        <w:rPr>
          <w:rFonts w:eastAsia="方正仿宋简体"/>
          <w:sz w:val="30"/>
          <w:szCs w:val="30"/>
        </w:rPr>
      </w:pPr>
      <w:r>
        <w:rPr>
          <w:rFonts w:eastAsia="方正仿宋简体"/>
          <w:sz w:val="30"/>
          <w:szCs w:val="30"/>
        </w:rPr>
        <w:t>在所司保证金标准的基础上整体设置收取比例。假如证券公司设置了20%的上浮比例，那么每张ETF认购期权维持保证金={结算价+Max（12%×合约标的收盘价-认购期权虚值，7%×标的收盘价）}×合约单位×1.2。</w:t>
      </w:r>
    </w:p>
    <w:p>
      <w:pPr>
        <w:pStyle w:val="58"/>
        <w:numPr>
          <w:ilvl w:val="0"/>
          <w:numId w:val="50"/>
        </w:numPr>
        <w:spacing w:line="560" w:lineRule="exact"/>
        <w:ind w:left="0" w:firstLine="600"/>
        <w:rPr>
          <w:rFonts w:eastAsia="方正仿宋简体"/>
          <w:sz w:val="30"/>
          <w:szCs w:val="30"/>
        </w:rPr>
      </w:pPr>
      <w:r>
        <w:rPr>
          <w:rFonts w:eastAsia="方正仿宋简体"/>
          <w:sz w:val="30"/>
          <w:szCs w:val="30"/>
        </w:rPr>
        <w:t>保证金非线性收取方式</w:t>
      </w:r>
    </w:p>
    <w:p>
      <w:pPr>
        <w:spacing w:line="560" w:lineRule="exact"/>
        <w:ind w:firstLine="600" w:firstLineChars="200"/>
        <w:rPr>
          <w:rFonts w:eastAsia="方正仿宋简体"/>
          <w:sz w:val="30"/>
          <w:szCs w:val="30"/>
        </w:rPr>
      </w:pPr>
      <w:r>
        <w:rPr>
          <w:rFonts w:eastAsia="方正仿宋简体"/>
          <w:sz w:val="30"/>
          <w:szCs w:val="30"/>
        </w:rPr>
        <w:t>调整《风控办法》保证金收取公式里的个别或所有参数。假如证券公司将按合约标的收盘价的12%调整为15%，那么每张ETF认购期权维持保证金={结算价+Max（15%×合约标的收盘价-认购期权虚值，7%×标的收盘价）}×合约单位。</w:t>
      </w:r>
    </w:p>
    <w:p>
      <w:pPr>
        <w:pStyle w:val="8"/>
        <w:keepNext w:val="0"/>
        <w:keepLines w:val="0"/>
        <w:numPr>
          <w:ilvl w:val="0"/>
          <w:numId w:val="49"/>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保证金参数调整</w:t>
      </w:r>
    </w:p>
    <w:p>
      <w:pPr>
        <w:spacing w:line="560" w:lineRule="exact"/>
        <w:ind w:firstLine="600" w:firstLineChars="200"/>
        <w:rPr>
          <w:rFonts w:eastAsia="方正仿宋简体"/>
          <w:sz w:val="30"/>
          <w:szCs w:val="30"/>
        </w:rPr>
      </w:pPr>
      <w:r>
        <w:rPr>
          <w:rFonts w:eastAsia="方正仿宋简体"/>
          <w:sz w:val="30"/>
          <w:szCs w:val="30"/>
        </w:rPr>
        <w:t>证券公司按线性、非线性或其他可有效控制确定的保证金水平时，在参数设置或调整时需要重点考虑以下几点因素：</w:t>
      </w:r>
    </w:p>
    <w:p>
      <w:pPr>
        <w:pStyle w:val="58"/>
        <w:numPr>
          <w:ilvl w:val="0"/>
          <w:numId w:val="51"/>
        </w:numPr>
        <w:spacing w:line="560" w:lineRule="exact"/>
        <w:ind w:left="0" w:firstLine="600"/>
        <w:rPr>
          <w:rFonts w:eastAsia="方正仿宋简体"/>
          <w:sz w:val="30"/>
          <w:szCs w:val="30"/>
        </w:rPr>
      </w:pPr>
      <w:r>
        <w:rPr>
          <w:rFonts w:eastAsia="方正仿宋简体"/>
          <w:sz w:val="30"/>
          <w:szCs w:val="30"/>
        </w:rPr>
        <w:t>可结合义务仓合约虚值或实值程度设置不同参数，使得深度虚值、轻度虚值、轻度实值和深度实值等不同状态的合约所收保证金的参数配置不一致；</w:t>
      </w:r>
    </w:p>
    <w:p>
      <w:pPr>
        <w:pStyle w:val="58"/>
        <w:numPr>
          <w:ilvl w:val="0"/>
          <w:numId w:val="51"/>
        </w:numPr>
        <w:spacing w:line="560" w:lineRule="exact"/>
        <w:ind w:left="0" w:firstLine="600"/>
        <w:rPr>
          <w:rFonts w:eastAsia="方正仿宋简体"/>
          <w:sz w:val="30"/>
          <w:szCs w:val="30"/>
        </w:rPr>
      </w:pPr>
      <w:r>
        <w:rPr>
          <w:rFonts w:eastAsia="方正仿宋简体"/>
          <w:sz w:val="30"/>
          <w:szCs w:val="30"/>
        </w:rPr>
        <w:t>临近行权日的参数调整；</w:t>
      </w:r>
    </w:p>
    <w:p>
      <w:pPr>
        <w:pStyle w:val="58"/>
        <w:numPr>
          <w:ilvl w:val="0"/>
          <w:numId w:val="51"/>
        </w:numPr>
        <w:spacing w:line="560" w:lineRule="exact"/>
        <w:ind w:left="0" w:firstLine="600"/>
        <w:rPr>
          <w:rFonts w:eastAsia="方正仿宋简体"/>
          <w:sz w:val="30"/>
          <w:szCs w:val="30"/>
        </w:rPr>
      </w:pPr>
      <w:r>
        <w:rPr>
          <w:rFonts w:eastAsia="方正仿宋简体"/>
          <w:sz w:val="30"/>
          <w:szCs w:val="30"/>
        </w:rPr>
        <w:t>临近较长节假日的参数调整；</w:t>
      </w:r>
    </w:p>
    <w:p>
      <w:pPr>
        <w:pStyle w:val="58"/>
        <w:numPr>
          <w:ilvl w:val="0"/>
          <w:numId w:val="51"/>
        </w:numPr>
        <w:spacing w:line="560" w:lineRule="exact"/>
        <w:ind w:left="0" w:firstLine="600"/>
        <w:rPr>
          <w:rFonts w:eastAsia="方正仿宋简体"/>
          <w:sz w:val="30"/>
          <w:szCs w:val="30"/>
        </w:rPr>
      </w:pPr>
      <w:r>
        <w:rPr>
          <w:rFonts w:eastAsia="方正仿宋简体"/>
          <w:sz w:val="30"/>
          <w:szCs w:val="30"/>
        </w:rPr>
        <w:t>市场出现异常情况时的参数调整;</w:t>
      </w:r>
    </w:p>
    <w:p>
      <w:pPr>
        <w:pStyle w:val="58"/>
        <w:numPr>
          <w:ilvl w:val="0"/>
          <w:numId w:val="51"/>
        </w:numPr>
        <w:spacing w:line="560" w:lineRule="exact"/>
        <w:ind w:left="0" w:firstLine="600"/>
        <w:rPr>
          <w:rFonts w:eastAsia="方正仿宋简体"/>
          <w:sz w:val="30"/>
          <w:szCs w:val="30"/>
        </w:rPr>
      </w:pPr>
      <w:r>
        <w:rPr>
          <w:rFonts w:eastAsia="方正仿宋简体"/>
          <w:sz w:val="30"/>
          <w:szCs w:val="30"/>
        </w:rPr>
        <w:t>针对不同客户设定差异化参数；</w:t>
      </w:r>
    </w:p>
    <w:p>
      <w:pPr>
        <w:pStyle w:val="58"/>
        <w:numPr>
          <w:ilvl w:val="0"/>
          <w:numId w:val="51"/>
        </w:numPr>
        <w:spacing w:line="560" w:lineRule="exact"/>
        <w:ind w:left="0" w:firstLine="600"/>
        <w:rPr>
          <w:rFonts w:eastAsia="方正仿宋简体"/>
          <w:sz w:val="30"/>
          <w:szCs w:val="30"/>
        </w:rPr>
      </w:pPr>
      <w:r>
        <w:rPr>
          <w:rFonts w:eastAsia="方正仿宋简体"/>
          <w:sz w:val="30"/>
          <w:szCs w:val="30"/>
        </w:rPr>
        <w:t>根据风险压力测试或相关风险评估结果及时进行调整等。</w:t>
      </w:r>
    </w:p>
    <w:p>
      <w:pPr>
        <w:pStyle w:val="8"/>
        <w:keepNext w:val="0"/>
        <w:keepLines w:val="0"/>
        <w:numPr>
          <w:ilvl w:val="0"/>
          <w:numId w:val="49"/>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期权虚实值程度</w:t>
      </w:r>
    </w:p>
    <w:p>
      <w:pPr>
        <w:spacing w:line="560" w:lineRule="exact"/>
        <w:ind w:firstLine="600" w:firstLineChars="200"/>
        <w:rPr>
          <w:rFonts w:eastAsia="方正仿宋简体"/>
          <w:sz w:val="30"/>
          <w:szCs w:val="30"/>
        </w:rPr>
      </w:pPr>
      <w:r>
        <w:rPr>
          <w:rFonts w:eastAsia="方正仿宋简体"/>
          <w:sz w:val="30"/>
          <w:szCs w:val="30"/>
        </w:rPr>
        <w:t>以下列出两种量度期权虚实值程度的方法供证券公司参考：</w:t>
      </w:r>
    </w:p>
    <w:p>
      <w:pPr>
        <w:pStyle w:val="58"/>
        <w:numPr>
          <w:ilvl w:val="0"/>
          <w:numId w:val="52"/>
        </w:numPr>
        <w:spacing w:line="560" w:lineRule="exact"/>
        <w:ind w:left="0" w:firstLine="600"/>
        <w:rPr>
          <w:rFonts w:eastAsia="方正仿宋简体"/>
          <w:sz w:val="30"/>
          <w:szCs w:val="30"/>
        </w:rPr>
      </w:pPr>
      <w:r>
        <w:rPr>
          <w:rFonts w:eastAsia="方正仿宋简体"/>
          <w:sz w:val="30"/>
          <w:szCs w:val="30"/>
        </w:rPr>
        <w:t>虚值程度</w:t>
      </w:r>
    </w:p>
    <w:p>
      <w:pPr>
        <w:spacing w:line="560" w:lineRule="exact"/>
        <w:ind w:firstLine="600" w:firstLineChars="200"/>
        <w:rPr>
          <w:rFonts w:eastAsia="方正仿宋简体"/>
          <w:sz w:val="30"/>
          <w:szCs w:val="30"/>
        </w:rPr>
      </w:pPr>
      <w:r>
        <w:rPr>
          <w:rFonts w:eastAsia="方正仿宋简体"/>
          <w:sz w:val="30"/>
          <w:szCs w:val="30"/>
        </w:rPr>
        <w:t>认购期权虚值程度=（认购期权合约行权价-标的证券收盘价）/标的证券收盘价</w:t>
      </w:r>
    </w:p>
    <w:p>
      <w:pPr>
        <w:spacing w:line="560" w:lineRule="exact"/>
        <w:ind w:firstLine="600" w:firstLineChars="200"/>
        <w:rPr>
          <w:rFonts w:eastAsia="方正仿宋简体"/>
          <w:sz w:val="30"/>
          <w:szCs w:val="30"/>
        </w:rPr>
      </w:pPr>
      <w:r>
        <w:rPr>
          <w:rFonts w:eastAsia="方正仿宋简体"/>
          <w:sz w:val="30"/>
          <w:szCs w:val="30"/>
        </w:rPr>
        <w:t>认沽期权虚值程度=（标的证券收盘价-认沽期权合约行权价）/标的证券收盘价</w:t>
      </w:r>
    </w:p>
    <w:p>
      <w:pPr>
        <w:spacing w:line="560" w:lineRule="exact"/>
        <w:ind w:firstLine="600" w:firstLineChars="200"/>
        <w:rPr>
          <w:rFonts w:eastAsia="方正仿宋简体"/>
          <w:sz w:val="30"/>
          <w:szCs w:val="30"/>
        </w:rPr>
      </w:pPr>
      <w:r>
        <w:rPr>
          <w:rFonts w:eastAsia="方正仿宋简体"/>
          <w:sz w:val="30"/>
          <w:szCs w:val="30"/>
        </w:rPr>
        <w:t>盘中监控取标的证券前收盘价，盘后监控取标的证券当日收盘价。上述计算结果为负值时，该期权为实值期权，实值程度为该计算结果的绝对值。</w:t>
      </w:r>
    </w:p>
    <w:p>
      <w:pPr>
        <w:spacing w:line="560" w:lineRule="exact"/>
        <w:ind w:firstLine="600" w:firstLineChars="200"/>
        <w:rPr>
          <w:rFonts w:eastAsia="方正仿宋简体"/>
          <w:sz w:val="30"/>
          <w:szCs w:val="30"/>
        </w:rPr>
      </w:pPr>
      <w:r>
        <w:rPr>
          <w:rFonts w:eastAsia="方正仿宋简体"/>
          <w:sz w:val="30"/>
          <w:szCs w:val="30"/>
        </w:rPr>
        <w:t>虚值程度和实值程度的参数配置可以由证券公司自行定义。如对ETF期权，轻度虚值可设置为：认购或认沽期权虚值程度4%-8%，深度虚值可设置为：认购或认沽期权虚值程度&gt;=8%。</w:t>
      </w:r>
    </w:p>
    <w:p>
      <w:pPr>
        <w:pStyle w:val="58"/>
        <w:numPr>
          <w:ilvl w:val="0"/>
          <w:numId w:val="52"/>
        </w:numPr>
        <w:spacing w:line="560" w:lineRule="exact"/>
        <w:ind w:left="0" w:firstLine="600"/>
        <w:rPr>
          <w:rFonts w:eastAsia="方正仿宋简体"/>
          <w:sz w:val="30"/>
          <w:szCs w:val="30"/>
        </w:rPr>
      </w:pPr>
      <w:r>
        <w:rPr>
          <w:rFonts w:eastAsia="方正仿宋简体"/>
          <w:sz w:val="30"/>
          <w:szCs w:val="30"/>
        </w:rPr>
        <w:t>Delta值</w:t>
      </w:r>
    </w:p>
    <w:p>
      <w:pPr>
        <w:spacing w:line="560" w:lineRule="exact"/>
        <w:ind w:firstLine="600" w:firstLineChars="200"/>
        <w:rPr>
          <w:rFonts w:eastAsia="方正仿宋简体"/>
          <w:sz w:val="30"/>
          <w:szCs w:val="30"/>
        </w:rPr>
      </w:pPr>
      <w:r>
        <w:rPr>
          <w:rFonts w:eastAsia="方正仿宋简体"/>
          <w:sz w:val="30"/>
          <w:szCs w:val="30"/>
        </w:rPr>
        <w:t>证券公司可自行计算期权合约的Delta值，并设置期权合约虚实值程度的界限。</w:t>
      </w:r>
    </w:p>
    <w:p>
      <w:pPr>
        <w:ind w:firstLine="560" w:firstLineChars="200"/>
        <w:jc w:val="center"/>
        <w:rPr>
          <w:rFonts w:eastAsia="方正仿宋简体"/>
          <w:sz w:val="28"/>
          <w:szCs w:val="28"/>
        </w:rPr>
      </w:pPr>
      <w:r>
        <w:rPr>
          <w:rFonts w:eastAsia="方正仿宋简体"/>
          <w:sz w:val="28"/>
          <w:szCs w:val="28"/>
        </w:rPr>
        <w:t>表3 期权虚实值程度参考表</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3"/>
        <w:gridCol w:w="3265"/>
        <w:gridCol w:w="35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p>
        </w:tc>
        <w:tc>
          <w:tcPr>
            <w:tcW w:w="1848" w:type="pct"/>
          </w:tcPr>
          <w:p>
            <w:pPr>
              <w:jc w:val="center"/>
              <w:rPr>
                <w:rFonts w:eastAsia="方正仿宋简体"/>
                <w:sz w:val="28"/>
                <w:szCs w:val="28"/>
              </w:rPr>
            </w:pPr>
            <w:r>
              <w:rPr>
                <w:rFonts w:eastAsia="方正仿宋简体"/>
                <w:sz w:val="28"/>
                <w:szCs w:val="28"/>
              </w:rPr>
              <w:t>认购期权Delta</w:t>
            </w:r>
          </w:p>
        </w:tc>
        <w:tc>
          <w:tcPr>
            <w:tcW w:w="2007" w:type="pct"/>
          </w:tcPr>
          <w:p>
            <w:pPr>
              <w:jc w:val="center"/>
              <w:rPr>
                <w:rFonts w:eastAsia="方正仿宋简体"/>
                <w:sz w:val="28"/>
                <w:szCs w:val="28"/>
              </w:rPr>
            </w:pPr>
            <w:r>
              <w:rPr>
                <w:rFonts w:eastAsia="方正仿宋简体"/>
                <w:sz w:val="28"/>
                <w:szCs w:val="28"/>
              </w:rPr>
              <w:t>认沽期权Delta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深度虚值</w:t>
            </w:r>
          </w:p>
        </w:tc>
        <w:tc>
          <w:tcPr>
            <w:tcW w:w="1848" w:type="pct"/>
          </w:tcPr>
          <w:p>
            <w:pPr>
              <w:jc w:val="center"/>
              <w:rPr>
                <w:rFonts w:eastAsia="方正仿宋简体"/>
                <w:sz w:val="28"/>
                <w:szCs w:val="28"/>
              </w:rPr>
            </w:pPr>
            <w:r>
              <w:rPr>
                <w:rFonts w:eastAsia="方正仿宋简体"/>
                <w:sz w:val="28"/>
                <w:szCs w:val="28"/>
              </w:rPr>
              <w:t>0&lt;Delta&lt;=0.2</w:t>
            </w:r>
          </w:p>
        </w:tc>
        <w:tc>
          <w:tcPr>
            <w:tcW w:w="2007" w:type="pct"/>
          </w:tcPr>
          <w:p>
            <w:pPr>
              <w:jc w:val="center"/>
              <w:rPr>
                <w:rFonts w:eastAsia="方正仿宋简体"/>
                <w:sz w:val="28"/>
                <w:szCs w:val="28"/>
              </w:rPr>
            </w:pPr>
            <w:r>
              <w:rPr>
                <w:rFonts w:eastAsia="方正仿宋简体"/>
                <w:sz w:val="28"/>
                <w:szCs w:val="28"/>
              </w:rPr>
              <w:t>-0.2&lt;=Delta&lt;0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轻度虚值</w:t>
            </w:r>
          </w:p>
        </w:tc>
        <w:tc>
          <w:tcPr>
            <w:tcW w:w="1848" w:type="pct"/>
          </w:tcPr>
          <w:p>
            <w:pPr>
              <w:jc w:val="center"/>
              <w:rPr>
                <w:rFonts w:eastAsia="方正仿宋简体"/>
                <w:sz w:val="28"/>
                <w:szCs w:val="28"/>
              </w:rPr>
            </w:pPr>
            <w:r>
              <w:rPr>
                <w:rFonts w:eastAsia="方正仿宋简体"/>
                <w:sz w:val="28"/>
                <w:szCs w:val="28"/>
              </w:rPr>
              <w:t>0.4&lt;=Delta&lt;=0.5</w:t>
            </w:r>
          </w:p>
        </w:tc>
        <w:tc>
          <w:tcPr>
            <w:tcW w:w="2007" w:type="pct"/>
          </w:tcPr>
          <w:p>
            <w:pPr>
              <w:jc w:val="center"/>
              <w:rPr>
                <w:rFonts w:eastAsia="方正仿宋简体"/>
                <w:sz w:val="28"/>
                <w:szCs w:val="28"/>
              </w:rPr>
            </w:pPr>
            <w:r>
              <w:rPr>
                <w:rFonts w:eastAsia="方正仿宋简体"/>
                <w:sz w:val="28"/>
                <w:szCs w:val="28"/>
              </w:rPr>
              <w:t>-0.5&lt;=Delta&lt;=-0.4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轻度实值</w:t>
            </w:r>
          </w:p>
        </w:tc>
        <w:tc>
          <w:tcPr>
            <w:tcW w:w="1848" w:type="pct"/>
          </w:tcPr>
          <w:p>
            <w:pPr>
              <w:jc w:val="center"/>
              <w:rPr>
                <w:rFonts w:eastAsia="方正仿宋简体"/>
                <w:sz w:val="28"/>
                <w:szCs w:val="28"/>
              </w:rPr>
            </w:pPr>
            <w:r>
              <w:rPr>
                <w:rFonts w:eastAsia="方正仿宋简体"/>
                <w:sz w:val="28"/>
                <w:szCs w:val="28"/>
              </w:rPr>
              <w:t>0.5&lt;Delta&lt;0.6</w:t>
            </w:r>
          </w:p>
        </w:tc>
        <w:tc>
          <w:tcPr>
            <w:tcW w:w="2007" w:type="pct"/>
          </w:tcPr>
          <w:p>
            <w:pPr>
              <w:jc w:val="center"/>
              <w:rPr>
                <w:rFonts w:eastAsia="方正仿宋简体"/>
                <w:sz w:val="28"/>
                <w:szCs w:val="28"/>
              </w:rPr>
            </w:pPr>
            <w:r>
              <w:rPr>
                <w:rFonts w:eastAsia="方正仿宋简体"/>
                <w:sz w:val="28"/>
                <w:szCs w:val="28"/>
              </w:rPr>
              <w:t>-0.6&lt;Delta&lt;-0.5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5" w:type="pct"/>
          </w:tcPr>
          <w:p>
            <w:pPr>
              <w:rPr>
                <w:rFonts w:eastAsia="方正仿宋简体"/>
                <w:sz w:val="28"/>
                <w:szCs w:val="28"/>
              </w:rPr>
            </w:pPr>
            <w:r>
              <w:rPr>
                <w:rFonts w:eastAsia="方正仿宋简体"/>
                <w:sz w:val="28"/>
                <w:szCs w:val="28"/>
              </w:rPr>
              <w:t>深度实值</w:t>
            </w:r>
          </w:p>
        </w:tc>
        <w:tc>
          <w:tcPr>
            <w:tcW w:w="1848" w:type="pct"/>
          </w:tcPr>
          <w:p>
            <w:pPr>
              <w:jc w:val="center"/>
              <w:rPr>
                <w:rFonts w:eastAsia="方正仿宋简体"/>
                <w:sz w:val="28"/>
                <w:szCs w:val="28"/>
              </w:rPr>
            </w:pPr>
            <w:r>
              <w:rPr>
                <w:rFonts w:eastAsia="方正仿宋简体"/>
                <w:sz w:val="28"/>
                <w:szCs w:val="28"/>
              </w:rPr>
              <w:t>Delta&gt;=0.8</w:t>
            </w:r>
          </w:p>
        </w:tc>
        <w:tc>
          <w:tcPr>
            <w:tcW w:w="2007" w:type="pct"/>
          </w:tcPr>
          <w:p>
            <w:pPr>
              <w:jc w:val="center"/>
              <w:rPr>
                <w:rFonts w:eastAsia="方正仿宋简体"/>
                <w:sz w:val="28"/>
                <w:szCs w:val="28"/>
              </w:rPr>
            </w:pPr>
            <w:r>
              <w:rPr>
                <w:rFonts w:eastAsia="方正仿宋简体"/>
                <w:sz w:val="28"/>
                <w:szCs w:val="28"/>
              </w:rPr>
              <w:t>Delta&lt;=-0.8</w:t>
            </w:r>
          </w:p>
        </w:tc>
      </w:tr>
    </w:tbl>
    <w:p>
      <w:pPr>
        <w:spacing w:line="560" w:lineRule="exact"/>
        <w:ind w:firstLine="600" w:firstLineChars="200"/>
        <w:rPr>
          <w:rFonts w:eastAsia="方正仿宋简体"/>
          <w:sz w:val="30"/>
          <w:szCs w:val="30"/>
        </w:rPr>
      </w:pPr>
      <w:r>
        <w:rPr>
          <w:rFonts w:eastAsia="方正仿宋简体"/>
          <w:sz w:val="30"/>
          <w:szCs w:val="30"/>
        </w:rPr>
        <w:t>虚值程度和实值程度的参数配置可以由证券公司自行定义。如对于认购期权，深度实值可设置为：Delta&gt;=0.8，深度虚值可设置为：Delta&lt;=0.2。</w:t>
      </w:r>
    </w:p>
    <w:p>
      <w:pPr>
        <w:pStyle w:val="7"/>
        <w:numPr>
          <w:ilvl w:val="0"/>
          <w:numId w:val="48"/>
        </w:numPr>
        <w:spacing w:before="0" w:after="0" w:line="560" w:lineRule="exact"/>
        <w:ind w:left="0" w:firstLine="601" w:firstLineChars="200"/>
        <w:rPr>
          <w:rFonts w:eastAsia="方正仿宋简体"/>
          <w:sz w:val="30"/>
          <w:szCs w:val="30"/>
        </w:rPr>
      </w:pPr>
      <w:r>
        <w:rPr>
          <w:rFonts w:eastAsia="方正仿宋简体"/>
          <w:sz w:val="30"/>
          <w:szCs w:val="30"/>
        </w:rPr>
        <w:t>保证金收取</w:t>
      </w:r>
    </w:p>
    <w:p>
      <w:pPr>
        <w:pStyle w:val="8"/>
        <w:keepNext w:val="0"/>
        <w:keepLines w:val="0"/>
        <w:numPr>
          <w:ilvl w:val="0"/>
          <w:numId w:val="5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盘中开仓保证金计算</w:t>
      </w:r>
    </w:p>
    <w:p>
      <w:pPr>
        <w:spacing w:line="560" w:lineRule="exact"/>
        <w:ind w:firstLine="600" w:firstLineChars="200"/>
        <w:rPr>
          <w:rFonts w:eastAsia="方正仿宋简体"/>
          <w:sz w:val="30"/>
          <w:szCs w:val="30"/>
        </w:rPr>
      </w:pPr>
      <w:r>
        <w:rPr>
          <w:rFonts w:eastAsia="方正仿宋简体"/>
          <w:sz w:val="30"/>
          <w:szCs w:val="30"/>
        </w:rPr>
        <w:t>对同一期权合约，投资者可在交易时段（9:15-15:00）双向持仓（可同时持有权利仓与义务仓），本所对卖出认购或者认沽期权时按开仓保证金水平计减结算参与人保证金可用余额，证券公司对客户卖出认购或者认沽期权时按公司开仓保证金水平扣减客户保证金可用余额，不能因日终时可与权利仓对冲而免收或少收。</w:t>
      </w:r>
    </w:p>
    <w:p>
      <w:pPr>
        <w:pStyle w:val="8"/>
        <w:keepNext w:val="0"/>
        <w:keepLines w:val="0"/>
        <w:numPr>
          <w:ilvl w:val="0"/>
          <w:numId w:val="5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盘后维持保证金收取</w:t>
      </w:r>
    </w:p>
    <w:p>
      <w:pPr>
        <w:spacing w:line="560" w:lineRule="exact"/>
        <w:ind w:firstLine="600" w:firstLineChars="200"/>
        <w:rPr>
          <w:rFonts w:eastAsia="方正仿宋简体"/>
          <w:sz w:val="30"/>
          <w:szCs w:val="30"/>
        </w:rPr>
      </w:pPr>
      <w:r>
        <w:rPr>
          <w:rFonts w:eastAsia="方正仿宋简体"/>
          <w:sz w:val="30"/>
          <w:szCs w:val="30"/>
        </w:rPr>
        <w:t>日终时由本所和中国结算对同一账户同一合约双向持仓</w:t>
      </w:r>
      <w:r>
        <w:rPr>
          <w:rFonts w:eastAsia="方正仿宋简体"/>
          <w:kern w:val="0"/>
          <w:sz w:val="30"/>
          <w:szCs w:val="30"/>
        </w:rPr>
        <w:t>数量</w:t>
      </w:r>
      <w:r>
        <w:rPr>
          <w:rFonts w:eastAsia="方正仿宋简体"/>
          <w:sz w:val="30"/>
          <w:szCs w:val="30"/>
        </w:rPr>
        <w:t>自动进行对冲（取净头寸，优先对冲非备兑义务仓），调整为单向持仓。中国结算按对冲后的单向持仓进行结算参与人维持保证金计收，证券公司按对冲后的单向持仓进行客户维持保证金计收。</w:t>
      </w:r>
    </w:p>
    <w:p>
      <w:pPr>
        <w:pStyle w:val="8"/>
        <w:keepNext w:val="0"/>
        <w:keepLines w:val="0"/>
        <w:numPr>
          <w:ilvl w:val="0"/>
          <w:numId w:val="5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到期被指派合约保证金收取</w:t>
      </w:r>
    </w:p>
    <w:p>
      <w:pPr>
        <w:spacing w:line="560" w:lineRule="exact"/>
        <w:ind w:firstLine="600" w:firstLineChars="200"/>
        <w:rPr>
          <w:rFonts w:eastAsia="方正仿宋简体"/>
          <w:sz w:val="30"/>
          <w:szCs w:val="30"/>
        </w:rPr>
      </w:pPr>
      <w:r>
        <w:rPr>
          <w:rFonts w:eastAsia="方正仿宋简体"/>
          <w:sz w:val="30"/>
          <w:szCs w:val="30"/>
        </w:rPr>
        <w:t>结算参与人层面，行权日日终，中国结算对于期权合约被指派的义务方按当日结算价格重新计收维持保证金，未被指派的到期合约不再收取维持保证金。</w:t>
      </w:r>
    </w:p>
    <w:p>
      <w:pPr>
        <w:spacing w:line="560" w:lineRule="exact"/>
        <w:ind w:firstLine="600" w:firstLineChars="200"/>
        <w:rPr>
          <w:rFonts w:eastAsia="方正仿宋简体"/>
          <w:sz w:val="30"/>
          <w:szCs w:val="30"/>
        </w:rPr>
      </w:pPr>
      <w:r>
        <w:rPr>
          <w:rFonts w:eastAsia="方正仿宋简体"/>
          <w:sz w:val="30"/>
          <w:szCs w:val="30"/>
        </w:rPr>
        <w:t>证券公司客户层面，行权日日终，对单个客户，如客户是净应收券或应收资金，证券公司不冻结资金；如客户是净应付券，证券公司可以根据与客户在期权经纪合同中的约定，冻结相应合约标的，不足部分可以采取冻结股票期权保证金账户部分资金方式（如合约标的收盘价×10%或能覆盖假设客户违约时现金结算的资金）；如客户是应付资金，证券公司可以根据与客户在期权经纪合同中的约定，冻结相应资金。</w:t>
      </w:r>
    </w:p>
    <w:p>
      <w:pPr>
        <w:pStyle w:val="8"/>
        <w:keepNext w:val="0"/>
        <w:keepLines w:val="0"/>
        <w:numPr>
          <w:ilvl w:val="0"/>
          <w:numId w:val="5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除权除息日保证金收取</w:t>
      </w:r>
    </w:p>
    <w:p>
      <w:pPr>
        <w:spacing w:line="560" w:lineRule="exact"/>
        <w:ind w:firstLine="600" w:firstLineChars="200"/>
        <w:rPr>
          <w:rFonts w:eastAsia="方正仿宋简体"/>
          <w:sz w:val="30"/>
          <w:szCs w:val="30"/>
        </w:rPr>
      </w:pPr>
      <w:r>
        <w:rPr>
          <w:rFonts w:eastAsia="方正仿宋简体"/>
          <w:sz w:val="30"/>
          <w:szCs w:val="30"/>
        </w:rPr>
        <w:t>除权除息日，本所依据经合约调整后的上一交易日结算价与合约单位计增或计减证券公司的可用保证金额度。而上一交易日日终，中国结算向结算会员按合约调整前结算价、合约单位收取维持保证金。因此，对原有义务仓持仓平仓，释放的保证金金额会与上一交易日日终计算的维持保证金不一致，存在一些误差（由合约单位取整引起，但单张合约金额误差不大）。</w:t>
      </w:r>
    </w:p>
    <w:p>
      <w:pPr>
        <w:spacing w:line="560" w:lineRule="exact"/>
        <w:ind w:firstLine="600" w:firstLineChars="200"/>
        <w:rPr>
          <w:rFonts w:eastAsia="方正仿宋简体"/>
          <w:sz w:val="30"/>
          <w:szCs w:val="30"/>
        </w:rPr>
      </w:pPr>
      <w:r>
        <w:rPr>
          <w:rFonts w:eastAsia="方正仿宋简体"/>
          <w:sz w:val="30"/>
          <w:szCs w:val="30"/>
        </w:rPr>
        <w:t>除权除息日，如果出现上述不一致，证券公司应加强对保证金的管理。同时，如果证券公司对客户保证金方式亦存在此问题，当日应及时向客户提醒或解释，并加强对客户保证金管理（可用资金或出金会有误差）。</w:t>
      </w:r>
    </w:p>
    <w:p>
      <w:pPr>
        <w:pStyle w:val="7"/>
        <w:numPr>
          <w:ilvl w:val="0"/>
          <w:numId w:val="48"/>
        </w:numPr>
        <w:spacing w:before="0" w:after="0" w:line="560" w:lineRule="exact"/>
        <w:ind w:left="0" w:firstLine="601" w:firstLineChars="200"/>
        <w:rPr>
          <w:rFonts w:eastAsia="方正仿宋简体"/>
          <w:sz w:val="30"/>
          <w:szCs w:val="30"/>
        </w:rPr>
      </w:pPr>
      <w:r>
        <w:rPr>
          <w:rFonts w:eastAsia="方正仿宋简体"/>
          <w:sz w:val="30"/>
          <w:szCs w:val="30"/>
        </w:rPr>
        <w:t>盘中监控</w:t>
      </w:r>
      <w:r>
        <w:rPr>
          <w:rFonts w:hint="eastAsia" w:eastAsia="方正仿宋简体"/>
          <w:sz w:val="30"/>
          <w:szCs w:val="30"/>
        </w:rPr>
        <w:t xml:space="preserve">                         </w:t>
      </w:r>
    </w:p>
    <w:p>
      <w:pPr>
        <w:spacing w:line="560" w:lineRule="exact"/>
        <w:ind w:firstLine="600" w:firstLineChars="200"/>
        <w:rPr>
          <w:rFonts w:eastAsia="方正仿宋简体"/>
          <w:sz w:val="30"/>
          <w:szCs w:val="30"/>
        </w:rPr>
      </w:pPr>
      <w:r>
        <w:rPr>
          <w:rFonts w:eastAsia="方正仿宋简体"/>
          <w:sz w:val="30"/>
          <w:szCs w:val="30"/>
        </w:rPr>
        <w:t>证券公司在监控客户保证金使用情况时，应以投资者股票期权保证金账户为单位对投资者持有的所有股票期权品种的保证金合并计算并进行监控。</w:t>
      </w:r>
    </w:p>
    <w:p>
      <w:pPr>
        <w:spacing w:line="560" w:lineRule="exact"/>
        <w:ind w:firstLine="600" w:firstLineChars="200"/>
        <w:rPr>
          <w:rFonts w:eastAsia="方正仿宋简体"/>
          <w:sz w:val="30"/>
          <w:szCs w:val="30"/>
        </w:rPr>
      </w:pPr>
      <w:r>
        <w:rPr>
          <w:rFonts w:eastAsia="方正仿宋简体"/>
          <w:sz w:val="30"/>
          <w:szCs w:val="30"/>
        </w:rPr>
        <w:t>区别于上述开仓保证金和维持保证金，证券公司在客户保证金监控时，需增加对合约标的证券或期权合约交易价格变动带来的保证金变化的监控。</w:t>
      </w:r>
      <w:r>
        <w:rPr>
          <w:rFonts w:hint="eastAsia" w:eastAsia="方正仿宋简体"/>
          <w:sz w:val="30"/>
          <w:szCs w:val="30"/>
        </w:rPr>
        <w:t xml:space="preserve">          </w:t>
      </w:r>
    </w:p>
    <w:p>
      <w:pPr>
        <w:spacing w:line="560" w:lineRule="exact"/>
        <w:ind w:firstLine="600" w:firstLineChars="200"/>
        <w:rPr>
          <w:rFonts w:eastAsia="方正仿宋简体"/>
          <w:sz w:val="30"/>
          <w:szCs w:val="30"/>
        </w:rPr>
      </w:pPr>
      <w:r>
        <w:rPr>
          <w:rFonts w:eastAsia="方正仿宋简体"/>
          <w:sz w:val="30"/>
          <w:szCs w:val="30"/>
        </w:rPr>
        <w:t>根据最新价格实时计算的客户持有某期权合约的实时价格保证金是指，客户持有该同一期权合约义务仓和权利仓对冲后剩余义务仓，按合约标的证券最新成交价格和期权合约最新成交价格（如当日无成交，则取前结算价），根据证券公司设置的保证金水平计算的保证金。</w:t>
      </w:r>
    </w:p>
    <w:p>
      <w:pPr>
        <w:spacing w:line="560" w:lineRule="exact"/>
        <w:ind w:firstLine="600" w:firstLineChars="200"/>
        <w:rPr>
          <w:rFonts w:eastAsia="方正仿宋简体"/>
          <w:sz w:val="30"/>
          <w:szCs w:val="30"/>
        </w:rPr>
      </w:pPr>
      <w:r>
        <w:rPr>
          <w:rFonts w:eastAsia="方正仿宋简体"/>
          <w:sz w:val="30"/>
          <w:szCs w:val="30"/>
        </w:rPr>
        <w:t>证券公司应按最新价格计算各客户持有各合约所需保证金金额，监控其是否足额及变化情况。</w:t>
      </w:r>
    </w:p>
    <w:p>
      <w:pPr>
        <w:pStyle w:val="8"/>
        <w:keepNext w:val="0"/>
        <w:keepLines w:val="0"/>
        <w:numPr>
          <w:ilvl w:val="0"/>
          <w:numId w:val="54"/>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客户实时风险值</w:t>
      </w:r>
    </w:p>
    <w:p>
      <w:pPr>
        <w:spacing w:line="560" w:lineRule="exact"/>
        <w:ind w:firstLine="600" w:firstLineChars="200"/>
        <w:rPr>
          <w:rFonts w:eastAsia="方正仿宋简体"/>
          <w:sz w:val="30"/>
          <w:szCs w:val="30"/>
        </w:rPr>
      </w:pPr>
      <w:r>
        <w:rPr>
          <w:rFonts w:eastAsia="方正仿宋简体"/>
          <w:sz w:val="30"/>
          <w:szCs w:val="30"/>
        </w:rPr>
        <w:t>证券公司应监控客户实时价格保证金占其保证金总额的情况，建议设立监控指标：</w:t>
      </w:r>
    </w:p>
    <w:p>
      <w:pPr>
        <w:spacing w:line="560" w:lineRule="exact"/>
        <w:ind w:firstLine="600" w:firstLineChars="200"/>
        <w:rPr>
          <w:rFonts w:eastAsia="方正仿宋简体"/>
          <w:sz w:val="30"/>
          <w:szCs w:val="30"/>
        </w:rPr>
      </w:pPr>
      <w:r>
        <w:rPr>
          <w:rFonts w:eastAsia="方正仿宋简体"/>
          <w:sz w:val="30"/>
          <w:szCs w:val="30"/>
        </w:rPr>
        <w:t>客户实时风险值1=按照证券公司保证金水平计算的客户实时价格保证金/该客户保证金总额（扣除行权待交收等冻结的资金后）</w:t>
      </w:r>
    </w:p>
    <w:p>
      <w:pPr>
        <w:spacing w:line="560" w:lineRule="exact"/>
        <w:ind w:firstLine="600" w:firstLineChars="200"/>
        <w:rPr>
          <w:rFonts w:eastAsia="方正仿宋简体"/>
          <w:sz w:val="30"/>
          <w:szCs w:val="30"/>
        </w:rPr>
      </w:pPr>
      <w:r>
        <w:rPr>
          <w:rFonts w:eastAsia="方正仿宋简体"/>
          <w:sz w:val="30"/>
          <w:szCs w:val="30"/>
        </w:rPr>
        <w:t>客户实时风险值2=按照所司保证金水平计算的客户实时价格保证金/该客户保证金总额（扣除行权待交收等冻结的资金后）</w:t>
      </w:r>
    </w:p>
    <w:p>
      <w:pPr>
        <w:spacing w:line="560" w:lineRule="exact"/>
        <w:ind w:firstLine="600" w:firstLineChars="200"/>
        <w:rPr>
          <w:rFonts w:eastAsia="方正仿宋简体"/>
          <w:sz w:val="30"/>
          <w:szCs w:val="30"/>
        </w:rPr>
      </w:pPr>
      <w:r>
        <w:rPr>
          <w:rFonts w:eastAsia="方正仿宋简体"/>
          <w:sz w:val="30"/>
          <w:szCs w:val="30"/>
        </w:rPr>
        <w:t>客户保证金总额为客户股票期权保证金账户用于衍生品交易的资金总额，包括了申报未成交冻结的资金，根据出入金、成交进行实时增减。行权待交收冻结的资金为行权日或交收日，客户因行权或被指派应付券或应付款而被冻结的资金。</w:t>
      </w:r>
    </w:p>
    <w:p>
      <w:pPr>
        <w:spacing w:line="560" w:lineRule="exact"/>
        <w:ind w:firstLine="600" w:firstLineChars="200"/>
        <w:rPr>
          <w:rFonts w:eastAsia="方正仿宋简体"/>
          <w:sz w:val="30"/>
          <w:szCs w:val="30"/>
        </w:rPr>
      </w:pPr>
      <w:r>
        <w:rPr>
          <w:rFonts w:eastAsia="方正仿宋简体"/>
          <w:sz w:val="30"/>
          <w:szCs w:val="30"/>
        </w:rPr>
        <w:t>若客户实时风险值1和客户实时风险值2的分母出现负数，指标均为100%（证券公司可以自行设置其他数值）；如分母为0，当客户实时价格保证金&gt;0时，指标为100%，当客户实时价格保证金=0时，指标为0。</w:t>
      </w:r>
    </w:p>
    <w:p>
      <w:pPr>
        <w:spacing w:line="560" w:lineRule="exact"/>
        <w:ind w:firstLine="600" w:firstLineChars="200"/>
        <w:rPr>
          <w:rFonts w:eastAsia="方正仿宋简体"/>
          <w:sz w:val="30"/>
          <w:szCs w:val="30"/>
        </w:rPr>
      </w:pPr>
      <w:r>
        <w:rPr>
          <w:rFonts w:eastAsia="方正仿宋简体"/>
          <w:sz w:val="30"/>
          <w:szCs w:val="30"/>
        </w:rPr>
        <w:t>证券公司亦可增设监控指标，例如增设客户实时风险值3=按照公司保证金水平计算的客户实时价格保证金/[该客户保证金总额（扣除行权待交收冻结的资金后）-申报未成交冻结的资金]。当客户实时风险值3达到证券公司设置的阀值时，证券公司可以及时提醒客户撤单或追加保证金。</w:t>
      </w:r>
    </w:p>
    <w:p>
      <w:pPr>
        <w:spacing w:line="560" w:lineRule="exact"/>
        <w:ind w:firstLine="600" w:firstLineChars="200"/>
        <w:rPr>
          <w:rFonts w:eastAsia="方正仿宋简体"/>
          <w:sz w:val="30"/>
          <w:szCs w:val="30"/>
        </w:rPr>
      </w:pPr>
      <w:r>
        <w:rPr>
          <w:rFonts w:eastAsia="方正仿宋简体"/>
          <w:sz w:val="30"/>
          <w:szCs w:val="30"/>
        </w:rPr>
        <w:t>证券公司亦可按（客户实时价格保证金+行权待交收冻结的资金）/该客户保证金总额设计客户实时风险值，监控阀值自行定义。</w:t>
      </w:r>
    </w:p>
    <w:p>
      <w:pPr>
        <w:pStyle w:val="8"/>
        <w:keepNext w:val="0"/>
        <w:keepLines w:val="0"/>
        <w:numPr>
          <w:ilvl w:val="0"/>
          <w:numId w:val="54"/>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三条监控线</w:t>
      </w:r>
    </w:p>
    <w:p>
      <w:pPr>
        <w:spacing w:line="560" w:lineRule="exact"/>
        <w:ind w:firstLine="600" w:firstLineChars="200"/>
        <w:rPr>
          <w:rFonts w:eastAsia="方正仿宋简体"/>
          <w:sz w:val="30"/>
          <w:szCs w:val="30"/>
        </w:rPr>
      </w:pPr>
      <w:r>
        <w:rPr>
          <w:rFonts w:eastAsia="方正仿宋简体"/>
          <w:sz w:val="30"/>
          <w:szCs w:val="30"/>
        </w:rPr>
        <w:t>建议证券公司与客户在期权经纪合同中约定，对客户实时风险值设置公司盘中追保线、公司盘中平仓线、即时处置线。</w:t>
      </w:r>
    </w:p>
    <w:p>
      <w:pPr>
        <w:pStyle w:val="58"/>
        <w:numPr>
          <w:ilvl w:val="0"/>
          <w:numId w:val="55"/>
        </w:numPr>
        <w:spacing w:line="560" w:lineRule="exact"/>
        <w:ind w:left="0" w:firstLine="600"/>
        <w:rPr>
          <w:rFonts w:eastAsia="方正仿宋简体"/>
          <w:sz w:val="30"/>
          <w:szCs w:val="30"/>
        </w:rPr>
      </w:pPr>
      <w:r>
        <w:rPr>
          <w:rFonts w:eastAsia="方正仿宋简体"/>
          <w:sz w:val="30"/>
          <w:szCs w:val="30"/>
        </w:rPr>
        <w:t>公司盘中追保线</w:t>
      </w:r>
    </w:p>
    <w:p>
      <w:pPr>
        <w:spacing w:line="560" w:lineRule="exact"/>
        <w:ind w:firstLine="600" w:firstLineChars="200"/>
        <w:rPr>
          <w:rFonts w:eastAsia="方正仿宋简体"/>
          <w:sz w:val="30"/>
          <w:szCs w:val="30"/>
        </w:rPr>
      </w:pPr>
      <w:r>
        <w:rPr>
          <w:rFonts w:eastAsia="方正仿宋简体"/>
          <w:sz w:val="30"/>
          <w:szCs w:val="30"/>
        </w:rPr>
        <w:t>监控客户实时风险值1，盘中追保线低于公司盘中平仓线（具体值证券公司自定）。比如盘中追保线为90%，当盘中客户实时风险值1高于盘中追保线时，证券公司可以向客户发追保通知，并同时可以限制该客户新开仓。</w:t>
      </w:r>
    </w:p>
    <w:p>
      <w:pPr>
        <w:pStyle w:val="58"/>
        <w:numPr>
          <w:ilvl w:val="0"/>
          <w:numId w:val="55"/>
        </w:numPr>
        <w:spacing w:line="560" w:lineRule="exact"/>
        <w:ind w:left="0" w:firstLine="600"/>
        <w:rPr>
          <w:rFonts w:eastAsia="方正仿宋简体"/>
          <w:sz w:val="30"/>
          <w:szCs w:val="30"/>
        </w:rPr>
      </w:pPr>
      <w:r>
        <w:rPr>
          <w:rFonts w:eastAsia="方正仿宋简体"/>
          <w:sz w:val="30"/>
          <w:szCs w:val="30"/>
        </w:rPr>
        <w:t>公司盘中平仓线</w:t>
      </w:r>
    </w:p>
    <w:p>
      <w:pPr>
        <w:spacing w:line="560" w:lineRule="exact"/>
        <w:ind w:firstLine="600" w:firstLineChars="200"/>
        <w:rPr>
          <w:rFonts w:eastAsia="方正仿宋简体"/>
          <w:sz w:val="30"/>
          <w:szCs w:val="30"/>
        </w:rPr>
      </w:pPr>
      <w:r>
        <w:rPr>
          <w:rFonts w:eastAsia="方正仿宋简体"/>
          <w:sz w:val="30"/>
          <w:szCs w:val="30"/>
        </w:rPr>
        <w:t>客户实时风险值1达到100%时，触发公司盘中平仓线。当盘中客户实时风险值1高于公司盘中平仓线时，证券公司应及时向客户发强平通知（如上一交易日日终维持保证金已不足，并已发出</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，可不再通知），证券公司可在当日或者下一交易日规定时间对客户进行强行平仓。</w:t>
      </w:r>
    </w:p>
    <w:p>
      <w:pPr>
        <w:pStyle w:val="58"/>
        <w:numPr>
          <w:ilvl w:val="0"/>
          <w:numId w:val="55"/>
        </w:numPr>
        <w:spacing w:line="560" w:lineRule="exact"/>
        <w:ind w:left="0" w:firstLine="600"/>
        <w:rPr>
          <w:rFonts w:eastAsia="方正仿宋简体"/>
          <w:sz w:val="30"/>
          <w:szCs w:val="30"/>
        </w:rPr>
      </w:pPr>
      <w:r>
        <w:rPr>
          <w:rFonts w:eastAsia="方正仿宋简体"/>
          <w:sz w:val="30"/>
          <w:szCs w:val="30"/>
        </w:rPr>
        <w:t>即时处置线</w:t>
      </w:r>
    </w:p>
    <w:p>
      <w:pPr>
        <w:spacing w:line="560" w:lineRule="exact"/>
        <w:ind w:firstLine="600" w:firstLineChars="200"/>
        <w:rPr>
          <w:rFonts w:eastAsia="方正仿宋简体"/>
          <w:sz w:val="30"/>
          <w:szCs w:val="30"/>
        </w:rPr>
      </w:pPr>
      <w:r>
        <w:rPr>
          <w:rFonts w:eastAsia="方正仿宋简体"/>
          <w:sz w:val="30"/>
          <w:szCs w:val="30"/>
        </w:rPr>
        <w:t>客户实时风险值2达到100%时，触发即时处置线。当盘中客户实时风险值2高于即时处置线时，证券公司可以根据自身风险管理的需求立即采取措施。</w:t>
      </w:r>
    </w:p>
    <w:p>
      <w:pPr>
        <w:pStyle w:val="8"/>
        <w:keepNext w:val="0"/>
        <w:keepLines w:val="0"/>
        <w:numPr>
          <w:ilvl w:val="0"/>
          <w:numId w:val="54"/>
        </w:numPr>
        <w:spacing w:before="0" w:after="0" w:line="560" w:lineRule="exact"/>
        <w:ind w:left="0" w:firstLine="601" w:firstLineChars="200"/>
        <w:rPr>
          <w:rFonts w:ascii="Times New Roman" w:hAnsi="Times New Roman" w:eastAsia="方正仿宋简体"/>
          <w:bCs w:val="0"/>
          <w:sz w:val="30"/>
          <w:szCs w:val="30"/>
        </w:rPr>
      </w:pPr>
      <w:r>
        <w:rPr>
          <w:rFonts w:ascii="Times New Roman" w:hAnsi="Times New Roman" w:eastAsia="方正仿宋简体"/>
          <w:bCs w:val="0"/>
          <w:sz w:val="30"/>
          <w:szCs w:val="30"/>
        </w:rPr>
        <w:t>风险管理措施</w:t>
      </w:r>
    </w:p>
    <w:p>
      <w:pPr>
        <w:spacing w:line="560" w:lineRule="exact"/>
        <w:ind w:firstLine="600" w:firstLineChars="200"/>
        <w:rPr>
          <w:rFonts w:eastAsia="方正仿宋简体"/>
          <w:sz w:val="30"/>
          <w:szCs w:val="30"/>
        </w:rPr>
      </w:pPr>
      <w:r>
        <w:rPr>
          <w:rFonts w:eastAsia="方正仿宋简体"/>
          <w:sz w:val="30"/>
          <w:szCs w:val="30"/>
        </w:rPr>
        <w:t>下面列举了几种从严格到宽松的风险管理措施：</w:t>
      </w:r>
    </w:p>
    <w:p>
      <w:pPr>
        <w:pStyle w:val="58"/>
        <w:numPr>
          <w:ilvl w:val="0"/>
          <w:numId w:val="56"/>
        </w:numPr>
        <w:spacing w:line="560" w:lineRule="exact"/>
        <w:ind w:left="0" w:firstLine="600"/>
        <w:rPr>
          <w:rFonts w:eastAsia="方正仿宋简体"/>
          <w:sz w:val="30"/>
          <w:szCs w:val="30"/>
        </w:rPr>
      </w:pPr>
      <w:r>
        <w:rPr>
          <w:rFonts w:eastAsia="方正仿宋简体"/>
          <w:sz w:val="30"/>
          <w:szCs w:val="30"/>
        </w:rPr>
        <w:t>客户实时风险值2触发即时处置线，立即发起强行平仓。当执行强行平仓时，因行情变化引起的客户实时风险值2低于即时处置线不影响平仓流程，仍对客户进行强行平仓，直至客户实时风险值1处于追保线以下。如果客户入金使风险度降低，则可以考虑停止强行平仓流程；</w:t>
      </w:r>
    </w:p>
    <w:p>
      <w:pPr>
        <w:pStyle w:val="58"/>
        <w:numPr>
          <w:ilvl w:val="0"/>
          <w:numId w:val="56"/>
        </w:numPr>
        <w:spacing w:line="560" w:lineRule="exact"/>
        <w:ind w:left="0" w:firstLine="600"/>
        <w:rPr>
          <w:rFonts w:eastAsia="方正仿宋简体"/>
          <w:sz w:val="30"/>
          <w:szCs w:val="30"/>
        </w:rPr>
      </w:pPr>
      <w:r>
        <w:rPr>
          <w:rFonts w:eastAsia="方正仿宋简体"/>
          <w:sz w:val="30"/>
          <w:szCs w:val="30"/>
        </w:rPr>
        <w:t>客户实时风险值2触发即时处置线，立即发起强行平仓。当执行强行平仓时因行情波动使客户实时风险值1已降到公司盘中平仓线以下，则中止强行平仓。当执行强行平仓时因行情波动使客户实时风险值2已位于即时处置线以下但是客户实时风险值1高于公司盘中平仓线，应对客户进行强行平仓，直至客户实时风险值1处于盘中追保线以下。如果客户入金使客户实时风险值降低，则可以考虑停止强行平仓流程；</w:t>
      </w:r>
    </w:p>
    <w:p>
      <w:pPr>
        <w:pStyle w:val="58"/>
        <w:numPr>
          <w:ilvl w:val="0"/>
          <w:numId w:val="56"/>
        </w:numPr>
        <w:spacing w:line="560" w:lineRule="exact"/>
        <w:ind w:left="0" w:firstLine="600"/>
        <w:rPr>
          <w:rFonts w:eastAsia="方正仿宋简体"/>
          <w:sz w:val="30"/>
          <w:szCs w:val="30"/>
        </w:rPr>
      </w:pPr>
      <w:r>
        <w:rPr>
          <w:rFonts w:eastAsia="方正仿宋简体"/>
          <w:sz w:val="30"/>
          <w:szCs w:val="30"/>
        </w:rPr>
        <w:t>客户实时风险值2触发即时处置线，不立即发起强行平仓，通知客户追加保证金或自行平仓，并约定收盘前比如下午14:30未达到公司要求的进行强行平仓；</w:t>
      </w:r>
    </w:p>
    <w:p>
      <w:pPr>
        <w:pStyle w:val="58"/>
        <w:numPr>
          <w:ilvl w:val="0"/>
          <w:numId w:val="56"/>
        </w:numPr>
        <w:spacing w:line="560" w:lineRule="exact"/>
        <w:ind w:left="0" w:firstLine="600"/>
        <w:rPr>
          <w:rFonts w:eastAsia="方正仿宋简体"/>
          <w:sz w:val="30"/>
          <w:szCs w:val="30"/>
        </w:rPr>
      </w:pPr>
      <w:r>
        <w:rPr>
          <w:rFonts w:eastAsia="方正仿宋简体"/>
          <w:sz w:val="30"/>
          <w:szCs w:val="30"/>
        </w:rPr>
        <w:t>客户实时风险值2触发即时处置线，盘中不发起强行平仓，通知客户追加保证金或自行平仓，并把该账户列为重点关注对象，同时应做好相应的资金管理安排，提前准备好日终可能需要为客户垫付的资金（根据当日无负债结算的要求，日终客户维持保证金不得低于按所司规定的保证金水平，如低于，需要证券公司用自有资金补足，不得挪用其他客户保证金）。</w:t>
      </w:r>
    </w:p>
    <w:p>
      <w:pPr>
        <w:pStyle w:val="8"/>
        <w:keepNext w:val="0"/>
        <w:keepLines w:val="0"/>
        <w:numPr>
          <w:ilvl w:val="0"/>
          <w:numId w:val="54"/>
        </w:numPr>
        <w:spacing w:before="0" w:after="0" w:line="560" w:lineRule="exact"/>
        <w:ind w:left="0" w:firstLine="601" w:firstLineChars="200"/>
        <w:rPr>
          <w:rFonts w:ascii="Times New Roman" w:hAnsi="Times New Roman" w:eastAsia="方正仿宋简体"/>
          <w:bCs w:val="0"/>
          <w:sz w:val="30"/>
          <w:szCs w:val="30"/>
        </w:rPr>
      </w:pPr>
      <w:r>
        <w:rPr>
          <w:rFonts w:ascii="Times New Roman" w:hAnsi="Times New Roman" w:eastAsia="方正仿宋简体"/>
          <w:bCs w:val="0"/>
          <w:sz w:val="30"/>
          <w:szCs w:val="30"/>
        </w:rPr>
        <w:t>客户提取现金管理</w:t>
      </w:r>
    </w:p>
    <w:p>
      <w:pPr>
        <w:spacing w:line="560" w:lineRule="exact"/>
        <w:ind w:firstLine="600" w:firstLineChars="200"/>
        <w:rPr>
          <w:rFonts w:eastAsia="方正仿宋简体"/>
          <w:sz w:val="30"/>
          <w:szCs w:val="30"/>
        </w:rPr>
      </w:pPr>
      <w:r>
        <w:rPr>
          <w:rFonts w:eastAsia="方正仿宋简体"/>
          <w:sz w:val="30"/>
          <w:szCs w:val="30"/>
        </w:rPr>
        <w:t>证券公司应根据自身风险管理与资金管理情况，在期权经纪合同中与客户约定客户取现的计算方法，计算方法及结果需要明确告知客户。客户可取现金可参考以下原则：当日权利金净收入不可提取、当日平仓释放资金保证金可提取等（具体以与客户约定为准）。</w:t>
      </w:r>
    </w:p>
    <w:p>
      <w:pPr>
        <w:pStyle w:val="58"/>
        <w:numPr>
          <w:ilvl w:val="0"/>
          <w:numId w:val="57"/>
        </w:numPr>
        <w:spacing w:line="560" w:lineRule="exact"/>
        <w:ind w:left="0" w:firstLine="600"/>
        <w:rPr>
          <w:rFonts w:eastAsia="方正仿宋简体"/>
          <w:sz w:val="30"/>
          <w:szCs w:val="30"/>
        </w:rPr>
      </w:pPr>
      <w:r>
        <w:rPr>
          <w:rFonts w:eastAsia="方正仿宋简体"/>
          <w:sz w:val="30"/>
          <w:szCs w:val="30"/>
        </w:rPr>
        <w:t>客户占用未对冲保证金</w:t>
      </w:r>
    </w:p>
    <w:p>
      <w:pPr>
        <w:spacing w:line="560" w:lineRule="exact"/>
        <w:ind w:firstLine="600" w:firstLineChars="200"/>
        <w:rPr>
          <w:rFonts w:eastAsia="方正仿宋简体"/>
          <w:sz w:val="30"/>
          <w:szCs w:val="30"/>
        </w:rPr>
      </w:pPr>
      <w:r>
        <w:rPr>
          <w:rFonts w:eastAsia="方正仿宋简体"/>
          <w:sz w:val="30"/>
          <w:szCs w:val="30"/>
        </w:rPr>
        <w:t>客户占用未对冲开仓保证金：按照开仓保证金公式并按公司设立的收取水平计算的，以合约标的前收盘价和合约前结算价计算且为客户已成交和已申报开仓未成交的期权义务仓合约（对双向持仓不进行对冲）所占用的保证金。</w:t>
      </w:r>
    </w:p>
    <w:p>
      <w:pPr>
        <w:spacing w:line="560" w:lineRule="exact"/>
        <w:ind w:firstLine="600" w:firstLineChars="200"/>
        <w:rPr>
          <w:rFonts w:eastAsia="方正仿宋简体"/>
          <w:sz w:val="30"/>
          <w:szCs w:val="30"/>
        </w:rPr>
      </w:pPr>
      <w:r>
        <w:rPr>
          <w:rFonts w:eastAsia="方正仿宋简体"/>
          <w:sz w:val="30"/>
          <w:szCs w:val="30"/>
        </w:rPr>
        <w:t>客户占用未对冲实时价格保证金：按照开仓保证金公式并按公司设立的收取水平计算的，以合约标的最新价和合约最新价计算且为客户已成交和已申报开仓未成交的期权义务仓合约（对双向持仓不进行对冲）所占用的保证金。</w:t>
      </w:r>
    </w:p>
    <w:p>
      <w:pPr>
        <w:spacing w:line="560" w:lineRule="exact"/>
        <w:ind w:firstLine="600" w:firstLineChars="200"/>
        <w:rPr>
          <w:rFonts w:eastAsia="方正仿宋简体"/>
          <w:sz w:val="30"/>
          <w:szCs w:val="30"/>
        </w:rPr>
      </w:pPr>
      <w:r>
        <w:rPr>
          <w:rFonts w:eastAsia="方正仿宋简体"/>
          <w:sz w:val="30"/>
          <w:szCs w:val="30"/>
        </w:rPr>
        <w:t>未对冲保证金是指未进行盘后轧差的保证金。</w:t>
      </w:r>
    </w:p>
    <w:p>
      <w:pPr>
        <w:pStyle w:val="58"/>
        <w:numPr>
          <w:ilvl w:val="0"/>
          <w:numId w:val="57"/>
        </w:numPr>
        <w:spacing w:line="560" w:lineRule="exact"/>
        <w:ind w:left="0" w:firstLine="600"/>
        <w:rPr>
          <w:rFonts w:eastAsia="方正仿宋简体"/>
          <w:sz w:val="30"/>
          <w:szCs w:val="30"/>
        </w:rPr>
      </w:pPr>
      <w:r>
        <w:rPr>
          <w:rFonts w:eastAsia="方正仿宋简体"/>
          <w:sz w:val="30"/>
          <w:szCs w:val="30"/>
        </w:rPr>
        <w:t>客户可取现值</w:t>
      </w:r>
    </w:p>
    <w:p>
      <w:pPr>
        <w:spacing w:line="560" w:lineRule="exact"/>
        <w:ind w:firstLine="600" w:firstLineChars="200"/>
        <w:rPr>
          <w:rFonts w:eastAsia="方正仿宋简体"/>
          <w:sz w:val="30"/>
          <w:szCs w:val="30"/>
        </w:rPr>
      </w:pPr>
      <w:r>
        <w:rPr>
          <w:rFonts w:eastAsia="方正仿宋简体"/>
          <w:sz w:val="30"/>
          <w:szCs w:val="30"/>
        </w:rPr>
        <w:t>客户可取现值计算方法举例如下：</w:t>
      </w:r>
    </w:p>
    <w:p>
      <w:pPr>
        <w:spacing w:line="560" w:lineRule="exact"/>
        <w:ind w:firstLine="600" w:firstLineChars="200"/>
        <w:rPr>
          <w:rFonts w:eastAsia="方正仿宋简体"/>
          <w:sz w:val="30"/>
          <w:szCs w:val="30"/>
        </w:rPr>
      </w:pPr>
      <w:r>
        <w:rPr>
          <w:rFonts w:eastAsia="方正仿宋简体"/>
          <w:sz w:val="30"/>
          <w:szCs w:val="30"/>
        </w:rPr>
        <w:t>可取资金=上一日日终结算后资金保证金总额（或当日期初资金保证金总额）+当日入金-当日出金-手续费+当日权利金收入-当日权利金支出-[Max（客户占用未对冲实时价格保证金，客户占用未对冲开仓保证金）/提取线]-Max（当日权利金收入-当日权利金支出，0）-行权待交收冻结资金-其他相关冻结资金</w:t>
      </w:r>
    </w:p>
    <w:p>
      <w:pPr>
        <w:pStyle w:val="58"/>
        <w:numPr>
          <w:ilvl w:val="0"/>
          <w:numId w:val="57"/>
        </w:numPr>
        <w:spacing w:line="560" w:lineRule="exact"/>
        <w:ind w:left="0" w:firstLine="600"/>
        <w:rPr>
          <w:rFonts w:eastAsia="方正仿宋简体"/>
          <w:sz w:val="30"/>
          <w:szCs w:val="30"/>
        </w:rPr>
      </w:pPr>
      <w:r>
        <w:rPr>
          <w:rFonts w:eastAsia="方正仿宋简体"/>
          <w:sz w:val="30"/>
          <w:szCs w:val="30"/>
        </w:rPr>
        <w:t>提取线</w:t>
      </w:r>
    </w:p>
    <w:p>
      <w:pPr>
        <w:spacing w:line="560" w:lineRule="exact"/>
        <w:ind w:firstLine="600" w:firstLineChars="200"/>
        <w:rPr>
          <w:rFonts w:eastAsia="方正仿宋简体"/>
          <w:sz w:val="30"/>
          <w:szCs w:val="30"/>
        </w:rPr>
      </w:pPr>
      <w:r>
        <w:rPr>
          <w:rFonts w:eastAsia="方正仿宋简体"/>
          <w:sz w:val="30"/>
          <w:szCs w:val="30"/>
        </w:rPr>
        <w:t>证券公司设定一个比例（即提取线，不高于盘中追保线，由证券公司自行设定），客户未对冲实时价格保证金加行权待交收冻结资金及其他相关冻结资金占其保证金总额高于或等于该比例时，不可提取现金；低于该比例时且符合其他约定条件时，可提取现金。现金提取后，客户未对冲实时价格保证金加行权待交收冻结资金及其他相关冻结资金占其保证金总额不得高于该比例。</w:t>
      </w:r>
    </w:p>
    <w:p>
      <w:pPr>
        <w:spacing w:line="560" w:lineRule="exact"/>
        <w:ind w:firstLine="600" w:firstLineChars="200"/>
        <w:rPr>
          <w:rFonts w:eastAsia="方正仿宋简体"/>
          <w:sz w:val="30"/>
          <w:szCs w:val="30"/>
        </w:rPr>
      </w:pPr>
      <w:r>
        <w:rPr>
          <w:rFonts w:eastAsia="方正仿宋简体"/>
          <w:sz w:val="30"/>
          <w:szCs w:val="30"/>
        </w:rPr>
        <w:t>证券公司也可以不设置提取线，客户可取现值可以按扣除最大占用保证金及相关冻结资金后的可用余额计算，但应考虑避免日终出现维持保证金不足的情况。</w:t>
      </w:r>
    </w:p>
    <w:p>
      <w:pPr>
        <w:pStyle w:val="7"/>
        <w:numPr>
          <w:ilvl w:val="0"/>
          <w:numId w:val="48"/>
        </w:numPr>
        <w:spacing w:before="0" w:after="0" w:line="560" w:lineRule="exact"/>
        <w:ind w:left="0" w:firstLine="601" w:firstLineChars="200"/>
        <w:rPr>
          <w:rFonts w:eastAsia="方正仿宋简体"/>
          <w:sz w:val="30"/>
          <w:szCs w:val="30"/>
        </w:rPr>
      </w:pPr>
      <w:r>
        <w:rPr>
          <w:rFonts w:eastAsia="方正仿宋简体"/>
          <w:sz w:val="30"/>
          <w:szCs w:val="30"/>
        </w:rPr>
        <w:t>逐日盯市</w:t>
      </w:r>
    </w:p>
    <w:p>
      <w:pPr>
        <w:pStyle w:val="8"/>
        <w:keepNext w:val="0"/>
        <w:keepLines w:val="0"/>
        <w:numPr>
          <w:ilvl w:val="0"/>
          <w:numId w:val="58"/>
        </w:numPr>
        <w:spacing w:before="0" w:after="0" w:line="560" w:lineRule="exact"/>
        <w:ind w:left="0" w:firstLine="601" w:firstLineChars="200"/>
        <w:rPr>
          <w:rFonts w:ascii="Times New Roman" w:hAnsi="Times New Roman" w:eastAsia="方正仿宋简体"/>
          <w:bCs w:val="0"/>
          <w:sz w:val="30"/>
          <w:szCs w:val="30"/>
        </w:rPr>
      </w:pPr>
      <w:r>
        <w:rPr>
          <w:rFonts w:ascii="Times New Roman" w:hAnsi="Times New Roman" w:eastAsia="方正仿宋简体"/>
          <w:bCs w:val="0"/>
          <w:sz w:val="30"/>
          <w:szCs w:val="30"/>
        </w:rPr>
        <w:t>客户维持保证金比例</w:t>
      </w:r>
    </w:p>
    <w:p>
      <w:pPr>
        <w:spacing w:line="560" w:lineRule="exact"/>
        <w:ind w:firstLine="600" w:firstLineChars="200"/>
        <w:rPr>
          <w:rFonts w:eastAsia="方正仿宋简体"/>
          <w:sz w:val="30"/>
          <w:szCs w:val="30"/>
        </w:rPr>
      </w:pPr>
      <w:r>
        <w:rPr>
          <w:rFonts w:eastAsia="方正仿宋简体"/>
          <w:sz w:val="30"/>
          <w:szCs w:val="30"/>
        </w:rPr>
        <w:t>证券公司应在日终对客户保证金进行逐日盯市，建议设立监控指标：</w:t>
      </w:r>
    </w:p>
    <w:p>
      <w:pPr>
        <w:spacing w:line="560" w:lineRule="exact"/>
        <w:ind w:firstLine="600" w:firstLineChars="200"/>
        <w:rPr>
          <w:rFonts w:eastAsia="方正仿宋简体"/>
          <w:sz w:val="30"/>
          <w:szCs w:val="30"/>
        </w:rPr>
      </w:pPr>
      <w:r>
        <w:rPr>
          <w:rFonts w:eastAsia="方正仿宋简体"/>
          <w:sz w:val="30"/>
          <w:szCs w:val="30"/>
        </w:rPr>
        <w:t>客户维持保证金比例1=按照公司保证金水平计算的维持保证金（持仓日终自动对冲后收取的保证金）/该客户保证金总额（扣除行权待交收冻结的资金后）</w:t>
      </w:r>
    </w:p>
    <w:p>
      <w:pPr>
        <w:spacing w:line="560" w:lineRule="exact"/>
        <w:ind w:firstLine="600" w:firstLineChars="200"/>
        <w:rPr>
          <w:rFonts w:eastAsia="方正仿宋简体"/>
          <w:sz w:val="30"/>
          <w:szCs w:val="30"/>
        </w:rPr>
      </w:pPr>
      <w:r>
        <w:rPr>
          <w:rFonts w:eastAsia="方正仿宋简体"/>
          <w:sz w:val="30"/>
          <w:szCs w:val="30"/>
        </w:rPr>
        <w:t>客户维持保证金比例2=按照所司保证金标准计算的维持保证金（持仓日终自动对冲后收取的保证金）/该客户保证金总额（扣除行权待交收冻结的资金后）</w:t>
      </w:r>
    </w:p>
    <w:p>
      <w:pPr>
        <w:pStyle w:val="8"/>
        <w:keepNext w:val="0"/>
        <w:keepLines w:val="0"/>
        <w:numPr>
          <w:ilvl w:val="0"/>
          <w:numId w:val="5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三条监控线</w:t>
      </w:r>
    </w:p>
    <w:p>
      <w:pPr>
        <w:spacing w:line="560" w:lineRule="exact"/>
        <w:ind w:firstLine="600" w:firstLineChars="200"/>
        <w:rPr>
          <w:rFonts w:eastAsia="方正仿宋简体"/>
          <w:sz w:val="30"/>
          <w:szCs w:val="30"/>
        </w:rPr>
      </w:pPr>
      <w:r>
        <w:rPr>
          <w:rFonts w:eastAsia="方正仿宋简体"/>
          <w:sz w:val="30"/>
          <w:szCs w:val="30"/>
        </w:rPr>
        <w:t>建议证券公司与客户在期权经纪合同中约定，针对客户维持保证金比例1和客户维持保证金比例2设置公司盘后追保线、公司盘后平仓线和交易所平仓线。</w:t>
      </w:r>
    </w:p>
    <w:p>
      <w:pPr>
        <w:pStyle w:val="58"/>
        <w:numPr>
          <w:ilvl w:val="0"/>
          <w:numId w:val="59"/>
        </w:numPr>
        <w:spacing w:line="560" w:lineRule="exact"/>
        <w:ind w:left="0" w:firstLine="600"/>
        <w:rPr>
          <w:rFonts w:eastAsia="方正仿宋简体"/>
          <w:sz w:val="30"/>
          <w:szCs w:val="30"/>
        </w:rPr>
      </w:pPr>
      <w:r>
        <w:rPr>
          <w:rFonts w:eastAsia="方正仿宋简体"/>
          <w:sz w:val="30"/>
          <w:szCs w:val="30"/>
        </w:rPr>
        <w:t>公司盘后追保线</w:t>
      </w:r>
    </w:p>
    <w:p>
      <w:pPr>
        <w:spacing w:line="560" w:lineRule="exact"/>
        <w:ind w:firstLine="600" w:firstLineChars="200"/>
        <w:rPr>
          <w:rFonts w:eastAsia="方正仿宋简体"/>
          <w:sz w:val="30"/>
          <w:szCs w:val="30"/>
        </w:rPr>
      </w:pPr>
      <w:r>
        <w:rPr>
          <w:rFonts w:eastAsia="方正仿宋简体"/>
          <w:sz w:val="30"/>
          <w:szCs w:val="30"/>
        </w:rPr>
        <w:t>按监控客户维持保证金比例1计算，盘后追保线低于公司盘后平仓线（具体值证券公司自行设定）。比如盘后追保线为90%，当客户维持保证金比例1高于盘后追保线时，证券公司应及时向客户发追保通知，并同时可以限制该客户新开仓。</w:t>
      </w:r>
    </w:p>
    <w:p>
      <w:pPr>
        <w:pStyle w:val="58"/>
        <w:numPr>
          <w:ilvl w:val="0"/>
          <w:numId w:val="59"/>
        </w:numPr>
        <w:spacing w:line="560" w:lineRule="exact"/>
        <w:ind w:left="0" w:firstLine="600"/>
        <w:rPr>
          <w:rFonts w:eastAsia="方正仿宋简体"/>
          <w:sz w:val="30"/>
          <w:szCs w:val="30"/>
        </w:rPr>
      </w:pPr>
      <w:r>
        <w:rPr>
          <w:rFonts w:eastAsia="方正仿宋简体"/>
          <w:sz w:val="30"/>
          <w:szCs w:val="30"/>
        </w:rPr>
        <w:t>公司盘后平仓线</w:t>
      </w:r>
    </w:p>
    <w:p>
      <w:pPr>
        <w:spacing w:line="560" w:lineRule="exact"/>
        <w:ind w:firstLine="600" w:firstLineChars="200"/>
        <w:rPr>
          <w:rFonts w:eastAsia="方正仿宋简体"/>
          <w:sz w:val="30"/>
          <w:szCs w:val="30"/>
        </w:rPr>
      </w:pPr>
      <w:r>
        <w:rPr>
          <w:rFonts w:eastAsia="方正仿宋简体"/>
          <w:sz w:val="30"/>
          <w:szCs w:val="30"/>
        </w:rPr>
        <w:t>公司盘后平仓线为客户维持保证金比例1=100%时。当盘后客户维持保证金比例1高于公司盘后平仓线时，公司应及时向客户发送强行平仓通知，并通知客户在下一交易日规定时间（比如14:30）以前补足保证金或自行平仓；若客户未在规定时间内补足保证金或自行平仓，证券公司应在下一交易日规定时间（比如14:30）开始对客户实施强行平仓，并告知，如下一交易日盘中进一步达到即时处置线时，证券公司可以选择实时对客户进行强行平仓。</w:t>
      </w:r>
    </w:p>
    <w:p>
      <w:pPr>
        <w:pStyle w:val="58"/>
        <w:numPr>
          <w:ilvl w:val="0"/>
          <w:numId w:val="59"/>
        </w:numPr>
        <w:spacing w:line="560" w:lineRule="exact"/>
        <w:ind w:left="0" w:firstLine="600"/>
        <w:rPr>
          <w:rFonts w:eastAsia="方正仿宋简体"/>
          <w:sz w:val="30"/>
          <w:szCs w:val="30"/>
        </w:rPr>
      </w:pPr>
      <w:r>
        <w:rPr>
          <w:rFonts w:eastAsia="方正仿宋简体"/>
          <w:sz w:val="30"/>
          <w:szCs w:val="30"/>
        </w:rPr>
        <w:t>交易所平仓线</w:t>
      </w:r>
    </w:p>
    <w:p>
      <w:pPr>
        <w:spacing w:line="560" w:lineRule="exact"/>
        <w:ind w:firstLine="600" w:firstLineChars="200"/>
        <w:rPr>
          <w:rFonts w:eastAsia="方正仿宋简体"/>
          <w:sz w:val="30"/>
          <w:szCs w:val="30"/>
        </w:rPr>
      </w:pPr>
      <w:r>
        <w:rPr>
          <w:rFonts w:eastAsia="方正仿宋简体"/>
          <w:sz w:val="30"/>
          <w:szCs w:val="30"/>
        </w:rPr>
        <w:t>交易所平仓线为客户维持保证金比例2=100%时。当盘后客户维持保证金比例2高于交易所平仓线时，公司应及时向客户发送强行平仓通知，并在下一交易日开盘后尽快对客户实施强行平仓。当日日终，需要证券公司用自有资金补足，确保日终客户维持保证金不低于按《风控办法》规定的保证金水平，不得挪用其他客户保证金。</w:t>
      </w:r>
    </w:p>
    <w:p>
      <w:pPr>
        <w:pStyle w:val="8"/>
        <w:keepNext w:val="0"/>
        <w:keepLines w:val="0"/>
        <w:numPr>
          <w:ilvl w:val="0"/>
          <w:numId w:val="5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保证金通知邮箱</w:t>
      </w:r>
    </w:p>
    <w:p>
      <w:pPr>
        <w:spacing w:line="560" w:lineRule="exact"/>
        <w:ind w:firstLine="600" w:firstLineChars="200"/>
        <w:rPr>
          <w:rFonts w:eastAsia="方正仿宋简体"/>
          <w:sz w:val="30"/>
          <w:szCs w:val="30"/>
        </w:rPr>
      </w:pPr>
      <w:r>
        <w:rPr>
          <w:rFonts w:eastAsia="方正仿宋简体"/>
          <w:sz w:val="30"/>
          <w:szCs w:val="30"/>
        </w:rPr>
        <w:t>证券公司可向与客户约定的客户专门邮箱或其融资融券业务邮箱，发送追保、强平等各类通知，并存档留痕。证券公司可在期权经纪合同中列明并告知客户。</w:t>
      </w:r>
    </w:p>
    <w:p>
      <w:pPr>
        <w:pStyle w:val="8"/>
        <w:keepNext w:val="0"/>
        <w:keepLines w:val="0"/>
        <w:numPr>
          <w:ilvl w:val="0"/>
          <w:numId w:val="58"/>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压力测试</w:t>
      </w:r>
    </w:p>
    <w:p>
      <w:pPr>
        <w:spacing w:line="560" w:lineRule="exact"/>
        <w:ind w:firstLine="600" w:firstLineChars="200"/>
        <w:rPr>
          <w:rFonts w:eastAsia="方正仿宋简体"/>
          <w:sz w:val="30"/>
          <w:szCs w:val="30"/>
        </w:rPr>
      </w:pPr>
      <w:r>
        <w:rPr>
          <w:rFonts w:eastAsia="方正仿宋简体"/>
          <w:sz w:val="30"/>
          <w:szCs w:val="30"/>
        </w:rPr>
        <w:t>证券公司应对客户保证金进行压力测试，包括对客户保证金进行特定品种、特定价格、特定情景的压力测试等。</w:t>
      </w:r>
    </w:p>
    <w:p>
      <w:pPr>
        <w:spacing w:line="560" w:lineRule="exact"/>
        <w:ind w:firstLine="600" w:firstLineChars="200"/>
        <w:rPr>
          <w:rFonts w:eastAsia="方正仿宋简体"/>
          <w:sz w:val="30"/>
          <w:szCs w:val="30"/>
        </w:rPr>
      </w:pPr>
      <w:r>
        <w:rPr>
          <w:rFonts w:eastAsia="方正仿宋简体"/>
          <w:sz w:val="30"/>
          <w:szCs w:val="30"/>
        </w:rPr>
        <w:t>证券公司盘中应重视对一定程度虚值期权合约的实时监控。当标的证券价格发生较大变化、所持合约虚值程度发生较大变化或从虚值转为平值时，证券公司应对该情况下客户保证金变化进行压力测试或进行评估，以应对客户保证金大量不足的情形。</w:t>
      </w:r>
    </w:p>
    <w:p>
      <w:pPr>
        <w:pStyle w:val="7"/>
        <w:numPr>
          <w:ilvl w:val="0"/>
          <w:numId w:val="48"/>
        </w:numPr>
        <w:spacing w:before="0" w:after="0" w:line="560" w:lineRule="exact"/>
        <w:ind w:left="0" w:firstLine="601" w:firstLineChars="200"/>
        <w:rPr>
          <w:rFonts w:eastAsia="方正仿宋简体"/>
          <w:sz w:val="30"/>
          <w:szCs w:val="30"/>
        </w:rPr>
      </w:pPr>
      <w:r>
        <w:rPr>
          <w:rFonts w:eastAsia="方正仿宋简体"/>
          <w:bCs w:val="0"/>
          <w:sz w:val="30"/>
          <w:szCs w:val="30"/>
        </w:rPr>
        <w:t>其他</w:t>
      </w:r>
    </w:p>
    <w:p>
      <w:pPr>
        <w:spacing w:line="560" w:lineRule="exact"/>
        <w:ind w:firstLine="600" w:firstLineChars="200"/>
        <w:rPr>
          <w:rFonts w:eastAsia="方正仿宋简体"/>
          <w:sz w:val="30"/>
          <w:szCs w:val="30"/>
        </w:rPr>
      </w:pPr>
      <w:r>
        <w:rPr>
          <w:rFonts w:eastAsia="方正仿宋简体"/>
          <w:sz w:val="30"/>
          <w:szCs w:val="30"/>
        </w:rPr>
        <w:t>证券公司可建立保证金分级管理与收取办法。一方面，证券公司可根据投资者信用情况、业务权限和交易级别等收取不同程度保证金；另一方面，证券公司对于自身风险管理能力较强、信誉良好的客户，在充分了解客户，并由客户签署调整保证金申请表和承诺书的情况下，可执行特殊保证金标准，但不低于《风控办法》规定的保证金收取标准。</w:t>
      </w:r>
    </w:p>
    <w:p>
      <w:pPr>
        <w:spacing w:line="560" w:lineRule="exact"/>
        <w:ind w:firstLine="600" w:firstLineChars="200"/>
        <w:rPr>
          <w:rFonts w:eastAsia="方正仿宋简体"/>
          <w:sz w:val="30"/>
          <w:szCs w:val="30"/>
        </w:rPr>
      </w:pPr>
      <w:r>
        <w:rPr>
          <w:rFonts w:eastAsia="方正仿宋简体"/>
          <w:sz w:val="30"/>
          <w:szCs w:val="30"/>
        </w:rPr>
        <w:t>临近行权日（包括行权日），为了防范客户在交收日出现交收违约风险，证券公司可以提高客户当月合约开仓保证金和维持保证金的收取比例。</w:t>
      </w:r>
    </w:p>
    <w:p>
      <w:pPr>
        <w:pStyle w:val="5"/>
        <w:numPr>
          <w:ilvl w:val="0"/>
          <w:numId w:val="47"/>
        </w:numPr>
        <w:spacing w:before="0" w:after="0" w:line="560" w:lineRule="exact"/>
        <w:ind w:left="0" w:firstLine="601" w:firstLineChars="200"/>
        <w:rPr>
          <w:rFonts w:ascii="Times New Roman" w:hAnsi="Times New Roman" w:eastAsia="方正仿宋简体"/>
          <w:b w:val="0"/>
          <w:sz w:val="30"/>
          <w:szCs w:val="30"/>
        </w:rPr>
      </w:pPr>
      <w:bookmarkStart w:id="195" w:name="_Toc422331058"/>
      <w:bookmarkStart w:id="196" w:name="_Toc25049485"/>
      <w:r>
        <w:rPr>
          <w:rFonts w:ascii="Times New Roman" w:hAnsi="Times New Roman" w:eastAsia="方正仿宋简体"/>
          <w:sz w:val="30"/>
          <w:szCs w:val="30"/>
        </w:rPr>
        <w:t>备兑开仓客户保证金管理</w:t>
      </w:r>
      <w:bookmarkEnd w:id="195"/>
      <w:bookmarkEnd w:id="196"/>
    </w:p>
    <w:p>
      <w:pPr>
        <w:spacing w:line="560" w:lineRule="exact"/>
        <w:ind w:firstLine="600" w:firstLineChars="200"/>
        <w:rPr>
          <w:rFonts w:eastAsia="方正仿宋简体"/>
          <w:sz w:val="30"/>
          <w:szCs w:val="30"/>
        </w:rPr>
      </w:pPr>
      <w:r>
        <w:rPr>
          <w:rFonts w:eastAsia="方正仿宋简体"/>
          <w:sz w:val="30"/>
          <w:szCs w:val="30"/>
        </w:rPr>
        <w:t>中国结算在日终结算时对备兑证券不足的备兑仓转为普通仓。如果投资者未及时补足备兑证券，也未持有足够的转为普通仓所需要的保证金，同时也未自行平仓，证券公司会存在为客户保证金垫资的风险。证券公司应做好备兑不足的监控和提醒工作。</w:t>
      </w:r>
    </w:p>
    <w:p>
      <w:pPr>
        <w:pStyle w:val="7"/>
        <w:numPr>
          <w:ilvl w:val="0"/>
          <w:numId w:val="60"/>
        </w:numPr>
        <w:spacing w:before="0" w:after="0" w:line="560" w:lineRule="exact"/>
        <w:ind w:left="0" w:firstLine="601" w:firstLineChars="200"/>
        <w:rPr>
          <w:rFonts w:eastAsia="方正仿宋简体"/>
          <w:sz w:val="30"/>
          <w:szCs w:val="30"/>
        </w:rPr>
      </w:pPr>
      <w:r>
        <w:rPr>
          <w:rFonts w:eastAsia="方正仿宋简体"/>
          <w:bCs w:val="0"/>
          <w:sz w:val="30"/>
          <w:szCs w:val="30"/>
        </w:rPr>
        <w:t>对因除权除息引起客户备兑证券不足的监控</w:t>
      </w:r>
    </w:p>
    <w:p>
      <w:pPr>
        <w:pStyle w:val="8"/>
        <w:keepNext w:val="0"/>
        <w:keepLines w:val="0"/>
        <w:numPr>
          <w:ilvl w:val="0"/>
          <w:numId w:val="61"/>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事前通知</w:t>
      </w:r>
    </w:p>
    <w:p>
      <w:pPr>
        <w:spacing w:line="560" w:lineRule="exact"/>
        <w:ind w:firstLine="600" w:firstLineChars="200"/>
        <w:rPr>
          <w:rFonts w:eastAsia="方正仿宋简体"/>
          <w:sz w:val="30"/>
          <w:szCs w:val="30"/>
        </w:rPr>
      </w:pPr>
      <w:r>
        <w:rPr>
          <w:rFonts w:eastAsia="方正仿宋简体"/>
          <w:sz w:val="30"/>
          <w:szCs w:val="30"/>
        </w:rPr>
        <w:t>除权除息日前一日，证券公司应提醒客户合约标的将进行除权除息，将按调整后合约单位重新锁定备兑证券。日终结算后，针对持有备兑仓的投资者，证券公司应及时通知客户备兑不足的证券缺口并提醒客户及时补足证券。对于没有涉及分红的权益变更，证券公司可以提早对客户进行通知提醒，包括合约单位和行权价格变更信息等。</w:t>
      </w:r>
    </w:p>
    <w:p>
      <w:pPr>
        <w:pStyle w:val="8"/>
        <w:keepNext w:val="0"/>
        <w:keepLines w:val="0"/>
        <w:numPr>
          <w:ilvl w:val="0"/>
          <w:numId w:val="61"/>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盘中监控</w:t>
      </w:r>
    </w:p>
    <w:p>
      <w:pPr>
        <w:spacing w:line="560" w:lineRule="exact"/>
        <w:ind w:firstLine="600" w:firstLineChars="200"/>
        <w:rPr>
          <w:rFonts w:eastAsia="方正仿宋简体"/>
          <w:sz w:val="30"/>
          <w:szCs w:val="30"/>
        </w:rPr>
      </w:pPr>
      <w:r>
        <w:rPr>
          <w:rFonts w:eastAsia="方正仿宋简体"/>
          <w:sz w:val="30"/>
          <w:szCs w:val="30"/>
        </w:rPr>
        <w:t>除权除息日，证券公司应在规定时间（比如上午一次、下午一次等）对备兑开仓客户的备兑证券数量进行监控，监控指标为盘中客户备兑证券不足数量。证券公司可以与客户在期权经纪合同中约定，当客户盘中备兑证券不足时，证券公司可以冻结该客户证券账户中未锁定的合约标的证券；如客户证券账户中无合约标的证券或合约标的证券不足，证券公司应及时通知客户补足合约标的或自行平仓。</w:t>
      </w:r>
    </w:p>
    <w:p>
      <w:pPr>
        <w:spacing w:line="560" w:lineRule="exact"/>
        <w:ind w:firstLine="600" w:firstLineChars="200"/>
        <w:rPr>
          <w:rFonts w:eastAsia="方正仿宋简体"/>
          <w:sz w:val="30"/>
          <w:szCs w:val="30"/>
        </w:rPr>
      </w:pPr>
      <w:r>
        <w:rPr>
          <w:rFonts w:eastAsia="方正仿宋简体"/>
          <w:sz w:val="30"/>
          <w:szCs w:val="30"/>
        </w:rPr>
        <w:t>当盘中客户标的证券数量小于备兑开仓所需合约标的数量时，对于该证券对应的期权合约不得进行备兑新开仓。</w:t>
      </w:r>
    </w:p>
    <w:p>
      <w:pPr>
        <w:pStyle w:val="8"/>
        <w:keepNext w:val="0"/>
        <w:keepLines w:val="0"/>
        <w:numPr>
          <w:ilvl w:val="0"/>
          <w:numId w:val="61"/>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盘后监控</w:t>
      </w:r>
    </w:p>
    <w:p>
      <w:pPr>
        <w:spacing w:line="560" w:lineRule="exact"/>
        <w:ind w:firstLine="600" w:firstLineChars="200"/>
        <w:rPr>
          <w:rFonts w:eastAsia="方正仿宋简体"/>
          <w:sz w:val="30"/>
          <w:szCs w:val="30"/>
        </w:rPr>
      </w:pPr>
      <w:r>
        <w:rPr>
          <w:rFonts w:eastAsia="方正仿宋简体"/>
          <w:sz w:val="30"/>
          <w:szCs w:val="30"/>
        </w:rPr>
        <w:t>除权除息日，证券公司应对备兑开仓客户的标的证券进行逐日盯市。收盘后，对于仍存在备兑证券缺口的客户，对备兑证券不足部分对应的备兑合约转为普通仓，按照普通义务仓合约的监控流程处理。</w:t>
      </w:r>
    </w:p>
    <w:p>
      <w:pPr>
        <w:pStyle w:val="7"/>
        <w:numPr>
          <w:ilvl w:val="0"/>
          <w:numId w:val="60"/>
        </w:numPr>
        <w:spacing w:before="0" w:after="0" w:line="560" w:lineRule="exact"/>
        <w:ind w:left="0" w:firstLine="601" w:firstLineChars="200"/>
        <w:rPr>
          <w:rFonts w:eastAsia="方正仿宋简体"/>
          <w:sz w:val="30"/>
          <w:szCs w:val="30"/>
        </w:rPr>
      </w:pPr>
      <w:r>
        <w:rPr>
          <w:rFonts w:eastAsia="方正仿宋简体"/>
          <w:bCs w:val="0"/>
          <w:sz w:val="30"/>
          <w:szCs w:val="30"/>
        </w:rPr>
        <w:t>其他情况引起客户备兑证券不足的监控</w:t>
      </w:r>
    </w:p>
    <w:p>
      <w:pPr>
        <w:spacing w:line="560" w:lineRule="exact"/>
        <w:ind w:firstLine="600" w:firstLineChars="200"/>
        <w:rPr>
          <w:rFonts w:eastAsia="方正仿宋简体"/>
          <w:sz w:val="30"/>
          <w:szCs w:val="30"/>
        </w:rPr>
      </w:pPr>
      <w:r>
        <w:rPr>
          <w:rFonts w:eastAsia="方正仿宋简体"/>
          <w:sz w:val="30"/>
          <w:szCs w:val="30"/>
          <w:lang w:val="zh-CN"/>
        </w:rPr>
        <w:t>行权日</w:t>
      </w:r>
      <w:r>
        <w:rPr>
          <w:rFonts w:eastAsia="方正仿宋简体"/>
          <w:sz w:val="30"/>
          <w:szCs w:val="30"/>
        </w:rPr>
        <w:t>日终，证券公司应按中国结算下发行权指派数据，监控客户是否应付券不足，及时向客户提醒并说明备兑证券将被用于交收而导致备兑证券不足。</w:t>
      </w:r>
    </w:p>
    <w:p>
      <w:pPr>
        <w:spacing w:line="560" w:lineRule="exact"/>
        <w:ind w:firstLine="600" w:firstLineChars="200"/>
        <w:rPr>
          <w:rFonts w:eastAsia="方正仿宋简体"/>
          <w:sz w:val="30"/>
          <w:szCs w:val="30"/>
        </w:rPr>
      </w:pPr>
      <w:r>
        <w:rPr>
          <w:rFonts w:eastAsia="方正仿宋简体"/>
          <w:sz w:val="30"/>
          <w:szCs w:val="30"/>
        </w:rPr>
        <w:t>交收日日终，客户应付券不足时，中国结算将使用备兑证券用于交收，从而导致该客户备兑证券不足，并对备兑证券不足部分对应的备兑合约转为普通仓，证券公司按照普通义务仓合约的监控流程处理。</w:t>
      </w:r>
    </w:p>
    <w:p>
      <w:pPr>
        <w:pStyle w:val="7"/>
        <w:numPr>
          <w:ilvl w:val="0"/>
          <w:numId w:val="60"/>
        </w:numPr>
        <w:spacing w:before="0" w:after="0" w:line="560" w:lineRule="exact"/>
        <w:ind w:left="0" w:firstLine="601" w:firstLineChars="200"/>
        <w:rPr>
          <w:rFonts w:eastAsia="方正仿宋简体"/>
          <w:sz w:val="30"/>
          <w:szCs w:val="30"/>
        </w:rPr>
      </w:pPr>
      <w:r>
        <w:rPr>
          <w:rFonts w:eastAsia="方正仿宋简体"/>
          <w:bCs w:val="0"/>
          <w:sz w:val="30"/>
          <w:szCs w:val="30"/>
        </w:rPr>
        <w:t>盘中代为锁定</w:t>
      </w:r>
    </w:p>
    <w:p>
      <w:pPr>
        <w:spacing w:line="560" w:lineRule="exact"/>
        <w:ind w:firstLine="600" w:firstLineChars="200"/>
        <w:rPr>
          <w:rFonts w:eastAsia="方正仿宋简体"/>
          <w:sz w:val="30"/>
          <w:szCs w:val="30"/>
        </w:rPr>
      </w:pPr>
      <w:r>
        <w:rPr>
          <w:rFonts w:eastAsia="方正仿宋简体"/>
          <w:sz w:val="30"/>
          <w:szCs w:val="30"/>
        </w:rPr>
        <w:t>证券公司可以与客户在期权经纪合同中约定，客户备兑证券不足时，证券公司可盘中冻结或锁定其证券账户里的相应数量的合约标的，避免客户发生备兑证券不足而转为普通仓造成的风险（具体执行条件与时间以证券公司与客户签订的风险揭示书、经纪合同为准）。</w:t>
      </w:r>
    </w:p>
    <w:p>
      <w:pPr>
        <w:pStyle w:val="5"/>
        <w:numPr>
          <w:ilvl w:val="0"/>
          <w:numId w:val="47"/>
        </w:numPr>
        <w:spacing w:before="0" w:after="0" w:line="560" w:lineRule="exact"/>
        <w:ind w:left="0" w:firstLine="601" w:firstLineChars="200"/>
        <w:rPr>
          <w:rFonts w:ascii="Times New Roman" w:hAnsi="Times New Roman" w:eastAsia="方正仿宋简体"/>
          <w:sz w:val="30"/>
          <w:szCs w:val="30"/>
        </w:rPr>
      </w:pPr>
      <w:bookmarkStart w:id="197" w:name="_Toc25049486"/>
      <w:r>
        <w:rPr>
          <w:rFonts w:ascii="Times New Roman" w:hAnsi="Times New Roman" w:eastAsia="方正仿宋简体"/>
          <w:sz w:val="30"/>
          <w:szCs w:val="30"/>
        </w:rPr>
        <w:t>组合策略保证金管理</w:t>
      </w:r>
      <w:bookmarkEnd w:id="197"/>
    </w:p>
    <w:p>
      <w:pPr>
        <w:spacing w:line="560" w:lineRule="exact"/>
        <w:ind w:firstLine="600" w:firstLineChars="200"/>
        <w:rPr>
          <w:rFonts w:eastAsia="方正仿宋简体"/>
          <w:sz w:val="30"/>
          <w:szCs w:val="30"/>
        </w:rPr>
      </w:pPr>
      <w:r>
        <w:rPr>
          <w:rFonts w:eastAsia="方正仿宋简体"/>
          <w:sz w:val="30"/>
          <w:szCs w:val="30"/>
        </w:rPr>
        <w:t>证券公司可以根据客户的资信状况、历史风险记录等要素决定是否为客户提供组合策略保证金。对于构建的组合策略，证券公司收取的保证金不得低于交易所收取的保证金。</w:t>
      </w:r>
    </w:p>
    <w:p>
      <w:pPr>
        <w:spacing w:line="560" w:lineRule="exact"/>
        <w:ind w:firstLine="600" w:firstLineChars="200"/>
        <w:rPr>
          <w:rFonts w:eastAsia="方正仿宋简体"/>
          <w:sz w:val="30"/>
          <w:szCs w:val="30"/>
        </w:rPr>
      </w:pPr>
      <w:r>
        <w:rPr>
          <w:rFonts w:eastAsia="方正仿宋简体"/>
          <w:sz w:val="30"/>
          <w:szCs w:val="30"/>
        </w:rPr>
        <w:t>证券公司应通过期权经纪合同或其他方式，与客户约定组合策略保证金的相关事项，</w:t>
      </w:r>
      <w:r>
        <w:rPr>
          <w:rFonts w:hint="eastAsia" w:eastAsia="方正仿宋简体"/>
          <w:sz w:val="30"/>
          <w:szCs w:val="30"/>
          <w:lang w:eastAsia="zh-CN"/>
        </w:rPr>
        <w:t>包括但不限于</w:t>
      </w:r>
      <w:r>
        <w:rPr>
          <w:rFonts w:eastAsia="方正仿宋简体"/>
          <w:sz w:val="30"/>
          <w:szCs w:val="30"/>
        </w:rPr>
        <w:t>自动解除时增加保证金、保证金不足时组合持仓可能无法解除、组合持仓可能被强行平仓、组合持仓自动解除后被指派行权风险等。</w:t>
      </w:r>
    </w:p>
    <w:p>
      <w:pPr>
        <w:pStyle w:val="7"/>
        <w:numPr>
          <w:ilvl w:val="0"/>
          <w:numId w:val="62"/>
        </w:numPr>
        <w:spacing w:before="0" w:after="0" w:line="560" w:lineRule="exact"/>
        <w:ind w:left="0" w:firstLine="601" w:firstLineChars="200"/>
        <w:rPr>
          <w:rFonts w:eastAsia="方正仿宋简体"/>
          <w:bCs w:val="0"/>
          <w:sz w:val="30"/>
          <w:szCs w:val="30"/>
        </w:rPr>
      </w:pPr>
      <w:r>
        <w:rPr>
          <w:rFonts w:eastAsia="方正仿宋简体"/>
          <w:bCs w:val="0"/>
          <w:sz w:val="30"/>
          <w:szCs w:val="30"/>
        </w:rPr>
        <w:t>前端控制</w:t>
      </w:r>
    </w:p>
    <w:p>
      <w:pPr>
        <w:spacing w:line="560" w:lineRule="exact"/>
        <w:ind w:firstLine="600" w:firstLineChars="200"/>
        <w:rPr>
          <w:rFonts w:eastAsia="方正仿宋简体"/>
          <w:sz w:val="30"/>
          <w:szCs w:val="30"/>
        </w:rPr>
      </w:pPr>
      <w:r>
        <w:rPr>
          <w:rFonts w:eastAsia="方正仿宋简体"/>
          <w:sz w:val="30"/>
          <w:szCs w:val="30"/>
        </w:rPr>
        <w:t>证券公司应对客户构建、解除组合策略、普通转备兑仓及备兑转普通仓等委托指令进行前端控制。</w:t>
      </w:r>
    </w:p>
    <w:p>
      <w:pPr>
        <w:spacing w:line="560" w:lineRule="exact"/>
        <w:ind w:firstLine="600" w:firstLineChars="200"/>
        <w:rPr>
          <w:rFonts w:eastAsia="方正仿宋简体"/>
          <w:sz w:val="30"/>
          <w:szCs w:val="30"/>
        </w:rPr>
      </w:pPr>
      <w:r>
        <w:rPr>
          <w:rFonts w:eastAsia="方正仿宋简体"/>
          <w:sz w:val="30"/>
          <w:szCs w:val="30"/>
        </w:rPr>
        <w:t>客户出现构建、解除的组合策略类型、成分合约不符合规定、保证金可用余额不足、用于备兑锁定的合约标的不足等情形的，证券公司不得接受其提交的相应委托指令。</w:t>
      </w:r>
    </w:p>
    <w:p>
      <w:pPr>
        <w:spacing w:line="560" w:lineRule="exact"/>
        <w:ind w:firstLine="600" w:firstLineChars="200"/>
        <w:rPr>
          <w:rFonts w:eastAsia="方正仿宋简体"/>
          <w:sz w:val="30"/>
          <w:szCs w:val="30"/>
        </w:rPr>
      </w:pPr>
      <w:r>
        <w:rPr>
          <w:rFonts w:eastAsia="方正仿宋简体"/>
          <w:sz w:val="30"/>
          <w:szCs w:val="30"/>
        </w:rPr>
        <w:t>对于提交备兑转普通仓委托指令的客户，证券公司需确保其满足三级交易权限且用于保证金卖出开仓的客户保证金账户资金足额。</w:t>
      </w:r>
    </w:p>
    <w:p>
      <w:pPr>
        <w:pStyle w:val="7"/>
        <w:numPr>
          <w:ilvl w:val="0"/>
          <w:numId w:val="62"/>
        </w:numPr>
        <w:spacing w:before="0" w:after="0" w:line="560" w:lineRule="exact"/>
        <w:ind w:left="0" w:firstLine="601" w:firstLineChars="200"/>
        <w:rPr>
          <w:rFonts w:eastAsia="方正仿宋简体"/>
          <w:bCs w:val="0"/>
          <w:sz w:val="30"/>
          <w:szCs w:val="30"/>
        </w:rPr>
      </w:pPr>
      <w:r>
        <w:rPr>
          <w:rFonts w:eastAsia="方正仿宋简体"/>
          <w:bCs w:val="0"/>
          <w:sz w:val="30"/>
          <w:szCs w:val="30"/>
        </w:rPr>
        <w:t>自动解除</w:t>
      </w:r>
    </w:p>
    <w:p>
      <w:pPr>
        <w:spacing w:line="560" w:lineRule="exact"/>
        <w:ind w:firstLine="600" w:firstLineChars="200"/>
        <w:rPr>
          <w:rFonts w:eastAsia="方正仿宋简体"/>
          <w:sz w:val="30"/>
          <w:szCs w:val="30"/>
        </w:rPr>
      </w:pPr>
      <w:r>
        <w:rPr>
          <w:rFonts w:eastAsia="方正仿宋简体"/>
          <w:sz w:val="30"/>
          <w:szCs w:val="30"/>
        </w:rPr>
        <w:t>证券公司应当做好组合策略自动解除时的风险控制工作，在组合策略自动解除日前2-3日检查客户保证金可用余额，预估资金风险，提前做好资金准备，确保保证金账户资金足额。</w:t>
      </w:r>
    </w:p>
    <w:p>
      <w:pPr>
        <w:spacing w:line="560" w:lineRule="exact"/>
        <w:ind w:firstLine="600" w:firstLineChars="200"/>
        <w:rPr>
          <w:rFonts w:eastAsia="方正仿宋简体"/>
          <w:sz w:val="30"/>
          <w:szCs w:val="30"/>
        </w:rPr>
      </w:pPr>
      <w:r>
        <w:rPr>
          <w:rFonts w:eastAsia="方正仿宋简体"/>
          <w:sz w:val="30"/>
          <w:szCs w:val="30"/>
        </w:rPr>
        <w:t>对于E-2日日终，交易所自动解除的价差组合策略，证券公司应至少在自动解除日前3天通过短信、邮件、交易客户端（不少于两种方式）向客户提示组合策略自动解除时保证金增加的风险，要求客户及时追加保证金。</w:t>
      </w:r>
    </w:p>
    <w:p>
      <w:pPr>
        <w:spacing w:line="560" w:lineRule="exact"/>
        <w:ind w:firstLine="600" w:firstLineChars="200"/>
        <w:rPr>
          <w:rFonts w:eastAsia="方正仿宋简体"/>
          <w:sz w:val="30"/>
          <w:szCs w:val="30"/>
        </w:rPr>
      </w:pPr>
      <w:r>
        <w:rPr>
          <w:rFonts w:eastAsia="方正仿宋简体"/>
          <w:sz w:val="30"/>
          <w:szCs w:val="30"/>
        </w:rPr>
        <w:t>对于E日日终交易所自动解除的跨式和宽跨式组合策略，证券公司应至少在E-2日起通过短信、邮件、交易客户端（不少于两种方式）向客户提示E日收盘后组合策略被行权指派的风险，提示客户提前准备资金或证券进行行权交割，或者提前解除组合并平仓。</w:t>
      </w:r>
    </w:p>
    <w:p>
      <w:pPr>
        <w:spacing w:line="560" w:lineRule="exact"/>
        <w:ind w:firstLine="600" w:firstLineChars="200"/>
        <w:rPr>
          <w:rFonts w:eastAsia="方正仿宋简体"/>
          <w:sz w:val="30"/>
          <w:szCs w:val="30"/>
        </w:rPr>
      </w:pPr>
      <w:r>
        <w:rPr>
          <w:rFonts w:eastAsia="方正仿宋简体"/>
          <w:sz w:val="30"/>
          <w:szCs w:val="30"/>
        </w:rPr>
        <w:t>对于预估自动解除日组合策略持仓账户资金不足的或行权日被指派交收的，证券公司可以在E-2日之前要求客户解除组合策略，或者提前按照组合策略各成分合约保证金合计收取保证金。</w:t>
      </w:r>
    </w:p>
    <w:p>
      <w:pPr>
        <w:pStyle w:val="7"/>
        <w:numPr>
          <w:ilvl w:val="0"/>
          <w:numId w:val="62"/>
        </w:numPr>
        <w:spacing w:before="0" w:after="0" w:line="560" w:lineRule="exact"/>
        <w:ind w:left="0" w:firstLine="601" w:firstLineChars="200"/>
        <w:rPr>
          <w:rFonts w:eastAsia="方正仿宋简体"/>
          <w:bCs w:val="0"/>
          <w:sz w:val="30"/>
          <w:szCs w:val="30"/>
        </w:rPr>
      </w:pPr>
      <w:r>
        <w:rPr>
          <w:rFonts w:eastAsia="方正仿宋简体"/>
          <w:bCs w:val="0"/>
          <w:sz w:val="30"/>
          <w:szCs w:val="30"/>
        </w:rPr>
        <w:t>垫资解除组合</w:t>
      </w:r>
    </w:p>
    <w:p>
      <w:pPr>
        <w:spacing w:line="560" w:lineRule="exact"/>
        <w:ind w:firstLine="600" w:firstLineChars="200"/>
        <w:rPr>
          <w:rFonts w:eastAsia="方正仿宋简体"/>
          <w:sz w:val="30"/>
          <w:szCs w:val="30"/>
        </w:rPr>
      </w:pPr>
      <w:r>
        <w:rPr>
          <w:rFonts w:eastAsia="方正仿宋简体"/>
          <w:sz w:val="30"/>
          <w:szCs w:val="30"/>
        </w:rPr>
        <w:t>如市场行情变化，客户需要资金立即解除组合并平仓的，证券公司可以根据投资者的资信状况、历史风险记录等要素决定是否为客户垫资解除组合。垫资解除组合后，证券公司应严格做好客户的风险管理工作。</w:t>
      </w:r>
    </w:p>
    <w:p>
      <w:pPr>
        <w:pStyle w:val="7"/>
        <w:numPr>
          <w:ilvl w:val="0"/>
          <w:numId w:val="62"/>
        </w:numPr>
        <w:spacing w:before="0" w:after="0" w:line="560" w:lineRule="exact"/>
        <w:ind w:left="0" w:firstLine="601" w:firstLineChars="200"/>
        <w:rPr>
          <w:rFonts w:eastAsia="方正仿宋简体"/>
          <w:bCs w:val="0"/>
          <w:sz w:val="30"/>
          <w:szCs w:val="30"/>
        </w:rPr>
      </w:pPr>
      <w:r>
        <w:rPr>
          <w:rFonts w:eastAsia="方正仿宋简体"/>
          <w:bCs w:val="0"/>
          <w:sz w:val="30"/>
          <w:szCs w:val="30"/>
        </w:rPr>
        <w:t>组合策略强行平仓</w:t>
      </w:r>
    </w:p>
    <w:p>
      <w:pPr>
        <w:spacing w:line="560" w:lineRule="exact"/>
        <w:ind w:firstLine="600" w:firstLineChars="200"/>
        <w:rPr>
          <w:rFonts w:eastAsia="方正仿宋简体"/>
          <w:sz w:val="30"/>
          <w:szCs w:val="30"/>
        </w:rPr>
      </w:pPr>
      <w:r>
        <w:rPr>
          <w:rFonts w:eastAsia="方正仿宋简体"/>
          <w:sz w:val="30"/>
          <w:szCs w:val="30"/>
        </w:rPr>
        <w:t>证券公司对其客户账户的组合策略实施强行平仓的，需先提交解除组合策略申报，校验通过后再对组合策略中的持仓进行强行平仓，证券公司应确保解除时结算参与人保证金账户资金足额。</w:t>
      </w:r>
    </w:p>
    <w:p>
      <w:pPr>
        <w:spacing w:line="560" w:lineRule="exact"/>
        <w:ind w:firstLine="601" w:firstLineChars="200"/>
        <w:rPr>
          <w:rFonts w:eastAsia="方正仿宋简体"/>
          <w:b/>
          <w:bCs/>
          <w:sz w:val="30"/>
          <w:szCs w:val="30"/>
        </w:rPr>
      </w:pP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b/>
          <w:bCs/>
          <w:sz w:val="30"/>
          <w:szCs w:val="30"/>
        </w:rPr>
        <w:br w:type="page"/>
      </w:r>
      <w:bookmarkStart w:id="198" w:name="_Toc25049487"/>
      <w:bookmarkStart w:id="199" w:name="_Toc422331059"/>
      <w:r>
        <w:rPr>
          <w:rFonts w:ascii="黑体" w:hAnsi="黑体" w:eastAsia="黑体"/>
          <w:bCs/>
          <w:sz w:val="30"/>
          <w:szCs w:val="30"/>
        </w:rPr>
        <w:t>资金风险管理</w:t>
      </w:r>
      <w:bookmarkEnd w:id="198"/>
      <w:bookmarkEnd w:id="199"/>
    </w:p>
    <w:p>
      <w:pPr>
        <w:spacing w:line="560" w:lineRule="exact"/>
        <w:ind w:firstLine="600" w:firstLineChars="200"/>
        <w:rPr>
          <w:rFonts w:eastAsia="方正仿宋简体"/>
          <w:sz w:val="30"/>
          <w:szCs w:val="30"/>
        </w:rPr>
      </w:pPr>
      <w:r>
        <w:rPr>
          <w:rFonts w:eastAsia="方正仿宋简体"/>
          <w:sz w:val="30"/>
          <w:szCs w:val="30"/>
        </w:rPr>
        <w:t>为防止证券公司期权业务客户资金管理出现流动性风险，证券公司应对客户衍生品结算资金汇总账户和深市客户股票期权保证金账户（证券公司在中国结算深圳分公司处开立的保证金账户）的资金划拨进行盯市管理，并应在深市客户股票期权保证金账户中存入足额的结算准备金。</w:t>
      </w:r>
    </w:p>
    <w:p>
      <w:pPr>
        <w:spacing w:line="560" w:lineRule="exact"/>
        <w:ind w:firstLine="600" w:firstLineChars="200"/>
        <w:rPr>
          <w:rFonts w:eastAsia="方正仿宋简体"/>
          <w:sz w:val="30"/>
          <w:szCs w:val="30"/>
        </w:rPr>
      </w:pPr>
      <w:r>
        <w:rPr>
          <w:rFonts w:eastAsia="方正仿宋简体"/>
          <w:sz w:val="30"/>
          <w:szCs w:val="30"/>
        </w:rPr>
        <w:t>试点初期，中国结算暂不提供实时出金服务（保留技术实现渠道，具体业务启用时间以通知为准）。</w:t>
      </w:r>
    </w:p>
    <w:p>
      <w:pPr>
        <w:pStyle w:val="5"/>
        <w:numPr>
          <w:ilvl w:val="0"/>
          <w:numId w:val="63"/>
        </w:numPr>
        <w:spacing w:before="0" w:after="0" w:line="560" w:lineRule="exact"/>
        <w:ind w:left="0" w:firstLine="601" w:firstLineChars="200"/>
        <w:rPr>
          <w:rFonts w:ascii="Times New Roman" w:hAnsi="Times New Roman" w:eastAsia="方正仿宋简体"/>
          <w:b w:val="0"/>
          <w:sz w:val="30"/>
          <w:szCs w:val="30"/>
        </w:rPr>
      </w:pPr>
      <w:bookmarkStart w:id="200" w:name="_Toc25049488"/>
      <w:bookmarkStart w:id="201" w:name="_Toc422331060"/>
      <w:r>
        <w:rPr>
          <w:rFonts w:ascii="Times New Roman" w:hAnsi="Times New Roman" w:eastAsia="方正仿宋简体"/>
          <w:sz w:val="30"/>
          <w:szCs w:val="30"/>
        </w:rPr>
        <w:t>资金盯市管理</w:t>
      </w:r>
      <w:bookmarkEnd w:id="200"/>
      <w:bookmarkEnd w:id="201"/>
    </w:p>
    <w:p>
      <w:pPr>
        <w:pStyle w:val="7"/>
        <w:numPr>
          <w:ilvl w:val="0"/>
          <w:numId w:val="64"/>
        </w:numPr>
        <w:spacing w:before="0" w:after="0" w:line="560" w:lineRule="exact"/>
        <w:ind w:left="0" w:firstLine="601" w:firstLineChars="200"/>
        <w:rPr>
          <w:rFonts w:eastAsia="方正仿宋简体"/>
          <w:bCs w:val="0"/>
          <w:sz w:val="30"/>
          <w:szCs w:val="30"/>
        </w:rPr>
      </w:pPr>
      <w:r>
        <w:rPr>
          <w:rFonts w:eastAsia="方正仿宋简体"/>
          <w:bCs w:val="0"/>
          <w:sz w:val="30"/>
          <w:szCs w:val="30"/>
        </w:rPr>
        <w:t>资金盯市管理要求</w:t>
      </w:r>
    </w:p>
    <w:p>
      <w:pPr>
        <w:spacing w:line="560" w:lineRule="exact"/>
        <w:ind w:firstLine="600" w:firstLineChars="200"/>
        <w:rPr>
          <w:rFonts w:eastAsia="方正仿宋简体"/>
          <w:sz w:val="30"/>
          <w:szCs w:val="30"/>
        </w:rPr>
      </w:pPr>
      <w:r>
        <w:rPr>
          <w:rFonts w:eastAsia="方正仿宋简体"/>
          <w:sz w:val="30"/>
          <w:szCs w:val="30"/>
        </w:rPr>
        <w:t>资金盯市管理要求以保证客户的正常交易及公司的正常交收为首要目标，兼顾客户银衍转账的出金需求，证券公司应合理判断客户衍生品结算资金汇总账户与客户股票期权保证金账户之间的资金配置比例。</w:t>
      </w:r>
    </w:p>
    <w:p>
      <w:pPr>
        <w:spacing w:line="560" w:lineRule="exact"/>
        <w:ind w:firstLine="600" w:firstLineChars="200"/>
        <w:rPr>
          <w:rFonts w:eastAsia="方正仿宋简体"/>
          <w:sz w:val="30"/>
          <w:szCs w:val="30"/>
        </w:rPr>
      </w:pPr>
      <w:r>
        <w:rPr>
          <w:rFonts w:eastAsia="方正仿宋简体"/>
          <w:sz w:val="30"/>
          <w:szCs w:val="30"/>
        </w:rPr>
        <w:t>证券公司应及时掌握公司银行存款余额变化情况，做好银衍转账客户出入金的实时监控。</w:t>
      </w:r>
    </w:p>
    <w:p>
      <w:pPr>
        <w:spacing w:line="560" w:lineRule="exact"/>
        <w:ind w:firstLine="600" w:firstLineChars="200"/>
        <w:rPr>
          <w:rFonts w:eastAsia="方正仿宋简体"/>
          <w:sz w:val="30"/>
          <w:szCs w:val="30"/>
        </w:rPr>
      </w:pPr>
      <w:r>
        <w:rPr>
          <w:rFonts w:eastAsia="方正仿宋简体"/>
          <w:sz w:val="30"/>
          <w:szCs w:val="30"/>
        </w:rPr>
        <w:t>证券公司应根据客户持有期权合约义务仓情况和客户入金情况等，及时调度资金头寸，满足客户盘中正常开仓、证券公司盘后正常交收的要求。</w:t>
      </w:r>
    </w:p>
    <w:p>
      <w:pPr>
        <w:pStyle w:val="7"/>
        <w:numPr>
          <w:ilvl w:val="0"/>
          <w:numId w:val="64"/>
        </w:numPr>
        <w:spacing w:before="0" w:after="0" w:line="560" w:lineRule="exact"/>
        <w:ind w:left="0" w:firstLine="601" w:firstLineChars="200"/>
        <w:rPr>
          <w:rFonts w:eastAsia="方正仿宋简体"/>
          <w:bCs w:val="0"/>
          <w:sz w:val="30"/>
          <w:szCs w:val="30"/>
        </w:rPr>
      </w:pPr>
      <w:r>
        <w:rPr>
          <w:rFonts w:eastAsia="方正仿宋简体"/>
          <w:bCs w:val="0"/>
          <w:sz w:val="30"/>
          <w:szCs w:val="30"/>
        </w:rPr>
        <w:t>盘中保证金占用比例实时监控</w:t>
      </w:r>
    </w:p>
    <w:p>
      <w:pPr>
        <w:pStyle w:val="8"/>
        <w:keepNext w:val="0"/>
        <w:keepLines w:val="0"/>
        <w:numPr>
          <w:ilvl w:val="0"/>
          <w:numId w:val="65"/>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监控指标</w:t>
      </w:r>
    </w:p>
    <w:p>
      <w:pPr>
        <w:spacing w:line="560" w:lineRule="exact"/>
        <w:ind w:firstLine="600" w:firstLineChars="200"/>
        <w:rPr>
          <w:rFonts w:eastAsia="方正仿宋简体"/>
          <w:sz w:val="30"/>
          <w:szCs w:val="30"/>
        </w:rPr>
      </w:pPr>
      <w:r>
        <w:rPr>
          <w:rFonts w:eastAsia="方正仿宋简体"/>
          <w:sz w:val="30"/>
          <w:szCs w:val="30"/>
        </w:rPr>
        <w:t>证券公司应在盘中对保证金占用比例进行实时监控。</w:t>
      </w:r>
    </w:p>
    <w:p>
      <w:pPr>
        <w:spacing w:line="560" w:lineRule="exact"/>
        <w:ind w:firstLine="600" w:firstLineChars="200"/>
        <w:rPr>
          <w:rFonts w:eastAsia="方正仿宋简体"/>
          <w:sz w:val="30"/>
          <w:szCs w:val="30"/>
        </w:rPr>
      </w:pPr>
      <w:r>
        <w:rPr>
          <w:rFonts w:eastAsia="方正仿宋简体"/>
          <w:sz w:val="30"/>
          <w:szCs w:val="30"/>
        </w:rPr>
        <w:t>保证金占用比例=经纪业务已占用保证金/客户股票期权保证金账户总额</w:t>
      </w:r>
    </w:p>
    <w:p>
      <w:pPr>
        <w:spacing w:line="560" w:lineRule="exact"/>
        <w:ind w:firstLine="600" w:firstLineChars="200"/>
        <w:rPr>
          <w:rFonts w:eastAsia="方正仿宋简体"/>
          <w:sz w:val="30"/>
          <w:szCs w:val="30"/>
        </w:rPr>
      </w:pPr>
      <w:r>
        <w:rPr>
          <w:rFonts w:eastAsia="方正仿宋简体"/>
          <w:sz w:val="30"/>
          <w:szCs w:val="30"/>
        </w:rPr>
        <w:t>经纪业务已占用保证金：指根据《风控办法》规定的保证金公式和所司规定的收取水平，按照单个客户账户双向头寸未对冲的数据，计算的所有客户占用的保证金总和，包括已成交的和已申报未成交的义务仓期权合约占用的保证金之和。</w:t>
      </w:r>
    </w:p>
    <w:p>
      <w:pPr>
        <w:spacing w:line="560" w:lineRule="exact"/>
        <w:ind w:firstLine="600" w:firstLineChars="200"/>
        <w:rPr>
          <w:rFonts w:eastAsia="方正仿宋简体"/>
          <w:sz w:val="30"/>
          <w:szCs w:val="30"/>
        </w:rPr>
      </w:pPr>
      <w:r>
        <w:rPr>
          <w:rFonts w:eastAsia="方正仿宋简体"/>
          <w:sz w:val="30"/>
          <w:szCs w:val="30"/>
        </w:rPr>
        <w:t>客户股票期权保证金账户总额：是证券公司存放在中国结算深圳分公司的，实时地用于其所有客户衍生品保证金管理的账户总金额。</w:t>
      </w:r>
    </w:p>
    <w:p>
      <w:pPr>
        <w:spacing w:line="560" w:lineRule="exact"/>
        <w:ind w:firstLine="600" w:firstLineChars="200"/>
        <w:rPr>
          <w:rFonts w:eastAsia="方正仿宋简体"/>
          <w:sz w:val="30"/>
          <w:szCs w:val="30"/>
        </w:rPr>
      </w:pPr>
      <w:r>
        <w:rPr>
          <w:rFonts w:eastAsia="方正仿宋简体"/>
          <w:sz w:val="30"/>
          <w:szCs w:val="30"/>
        </w:rPr>
        <w:t>客户衍生品结算资金汇总账户总额：是证券公司在具有衍生品结算资格的银行开立的，用于存放客户衍生品交易资金。</w:t>
      </w:r>
    </w:p>
    <w:p>
      <w:pPr>
        <w:spacing w:line="560" w:lineRule="exact"/>
        <w:ind w:firstLine="600" w:firstLineChars="200"/>
        <w:rPr>
          <w:rFonts w:eastAsia="方正仿宋简体"/>
          <w:kern w:val="0"/>
          <w:sz w:val="30"/>
          <w:szCs w:val="30"/>
        </w:rPr>
      </w:pPr>
      <w:r>
        <w:rPr>
          <w:rFonts w:eastAsia="方正仿宋简体"/>
          <w:sz w:val="30"/>
          <w:szCs w:val="30"/>
        </w:rPr>
        <w:t>证券公司资金管理的主要目的是根据经纪业务已占用保证金的动态变化，将客户衍生品结算资金汇总账户的部分金额划拨至中国结算深圳分公司指定的客户股票期权保证金账户，从而实现：一方面证券公司的所有客户的实际开仓规模的最大值与其存放的保证金总额一致；另一方面满足客户盘中出金需求，减少客户资金的盘中占用。</w:t>
      </w:r>
    </w:p>
    <w:p>
      <w:pPr>
        <w:pStyle w:val="8"/>
        <w:keepNext w:val="0"/>
        <w:keepLines w:val="0"/>
        <w:numPr>
          <w:ilvl w:val="0"/>
          <w:numId w:val="65"/>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资金警戒线和划拨线</w:t>
      </w:r>
    </w:p>
    <w:p>
      <w:pPr>
        <w:spacing w:line="560" w:lineRule="exact"/>
        <w:ind w:firstLine="600" w:firstLineChars="200"/>
        <w:rPr>
          <w:rFonts w:eastAsia="方正仿宋简体"/>
          <w:sz w:val="30"/>
          <w:szCs w:val="30"/>
        </w:rPr>
      </w:pPr>
      <w:r>
        <w:rPr>
          <w:rFonts w:eastAsia="方正仿宋简体"/>
          <w:sz w:val="30"/>
          <w:szCs w:val="30"/>
        </w:rPr>
        <w:t>证券公司可依据保证金占用比例分别设置资金警戒线、资金划拨线。</w:t>
      </w:r>
    </w:p>
    <w:p>
      <w:pPr>
        <w:pStyle w:val="58"/>
        <w:numPr>
          <w:ilvl w:val="0"/>
          <w:numId w:val="66"/>
        </w:numPr>
        <w:spacing w:line="560" w:lineRule="exact"/>
        <w:ind w:firstLine="600"/>
        <w:rPr>
          <w:rFonts w:eastAsia="方正仿宋简体"/>
          <w:sz w:val="30"/>
          <w:szCs w:val="30"/>
        </w:rPr>
      </w:pPr>
      <w:r>
        <w:rPr>
          <w:rFonts w:eastAsia="方正仿宋简体"/>
          <w:sz w:val="30"/>
          <w:szCs w:val="30"/>
        </w:rPr>
        <w:t>资金划拨线</w:t>
      </w:r>
    </w:p>
    <w:p>
      <w:pPr>
        <w:spacing w:line="560" w:lineRule="exact"/>
        <w:ind w:firstLine="600" w:firstLineChars="200"/>
        <w:rPr>
          <w:rFonts w:eastAsia="方正仿宋简体"/>
          <w:sz w:val="30"/>
          <w:szCs w:val="30"/>
        </w:rPr>
      </w:pPr>
      <w:r>
        <w:rPr>
          <w:rFonts w:eastAsia="方正仿宋简体"/>
          <w:sz w:val="30"/>
          <w:szCs w:val="30"/>
        </w:rPr>
        <w:t>当保证金占用比例等于一定比例（证券公司自定）时，比如当保证金占用比例=80%时，达到资金划拨线。</w:t>
      </w:r>
    </w:p>
    <w:p>
      <w:pPr>
        <w:spacing w:line="560" w:lineRule="exact"/>
        <w:ind w:firstLine="600" w:firstLineChars="200"/>
        <w:rPr>
          <w:rFonts w:eastAsia="方正仿宋简体"/>
          <w:sz w:val="30"/>
          <w:szCs w:val="30"/>
        </w:rPr>
      </w:pPr>
      <w:r>
        <w:rPr>
          <w:rFonts w:eastAsia="方正仿宋简体"/>
          <w:sz w:val="30"/>
          <w:szCs w:val="30"/>
        </w:rPr>
        <w:t>当盘中证券公司经纪业务保证金占用比例高于资金划拨线时，证券公司相关业务人员应及时向中国结算深圳分公司存管结算部门提出入金需求，将资金从客户衍生品结算资金汇总账户划转至客户股票期权保证金账户，注明</w:t>
      </w:r>
      <w:r>
        <w:rPr>
          <w:rFonts w:hint="eastAsia" w:ascii="方正仿宋简体" w:eastAsia="方正仿宋简体"/>
          <w:sz w:val="30"/>
          <w:szCs w:val="30"/>
        </w:rPr>
        <w:t>“</w:t>
      </w:r>
      <w:r>
        <w:rPr>
          <w:rFonts w:eastAsia="方正仿宋简体"/>
          <w:sz w:val="30"/>
          <w:szCs w:val="30"/>
        </w:rPr>
        <w:t>客户资金</w:t>
      </w:r>
      <w:r>
        <w:rPr>
          <w:rFonts w:hint="eastAsia" w:ascii="方正仿宋简体" w:eastAsia="方正仿宋简体"/>
          <w:sz w:val="30"/>
          <w:szCs w:val="30"/>
        </w:rPr>
        <w:t>”</w:t>
      </w:r>
      <w:r>
        <w:rPr>
          <w:rFonts w:eastAsia="方正仿宋简体"/>
          <w:sz w:val="30"/>
          <w:szCs w:val="30"/>
        </w:rPr>
        <w:t>和</w:t>
      </w:r>
      <w:r>
        <w:rPr>
          <w:rFonts w:hint="eastAsia" w:ascii="方正仿宋简体" w:eastAsia="方正仿宋简体"/>
          <w:sz w:val="30"/>
          <w:szCs w:val="30"/>
        </w:rPr>
        <w:t>“</w:t>
      </w:r>
      <w:r>
        <w:rPr>
          <w:rFonts w:eastAsia="方正仿宋简体"/>
          <w:sz w:val="30"/>
          <w:szCs w:val="30"/>
        </w:rPr>
        <w:t>股票期权保证金账户号</w:t>
      </w:r>
      <w:r>
        <w:rPr>
          <w:rFonts w:hint="eastAsia" w:ascii="方正仿宋简体" w:eastAsia="方正仿宋简体"/>
          <w:sz w:val="30"/>
          <w:szCs w:val="30"/>
        </w:rPr>
        <w:t>”</w:t>
      </w:r>
      <w:r>
        <w:rPr>
          <w:rFonts w:eastAsia="方正仿宋简体"/>
          <w:sz w:val="30"/>
          <w:szCs w:val="30"/>
        </w:rPr>
        <w:t>，跟踪资金到账情况。</w:t>
      </w:r>
    </w:p>
    <w:p>
      <w:pPr>
        <w:pStyle w:val="58"/>
        <w:numPr>
          <w:ilvl w:val="0"/>
          <w:numId w:val="66"/>
        </w:numPr>
        <w:spacing w:line="560" w:lineRule="exact"/>
        <w:ind w:firstLine="600"/>
        <w:rPr>
          <w:rFonts w:eastAsia="方正仿宋简体"/>
          <w:sz w:val="30"/>
          <w:szCs w:val="30"/>
        </w:rPr>
      </w:pPr>
      <w:r>
        <w:rPr>
          <w:rFonts w:eastAsia="方正仿宋简体"/>
          <w:sz w:val="30"/>
          <w:szCs w:val="30"/>
        </w:rPr>
        <w:t>资金警戒线</w:t>
      </w:r>
    </w:p>
    <w:p>
      <w:pPr>
        <w:spacing w:line="560" w:lineRule="exact"/>
        <w:ind w:firstLine="600" w:firstLineChars="200"/>
        <w:rPr>
          <w:rFonts w:eastAsia="方正仿宋简体"/>
          <w:sz w:val="30"/>
          <w:szCs w:val="30"/>
        </w:rPr>
      </w:pPr>
      <w:r>
        <w:rPr>
          <w:rFonts w:eastAsia="方正仿宋简体"/>
          <w:sz w:val="30"/>
          <w:szCs w:val="30"/>
        </w:rPr>
        <w:t>当保证金占用比例低于资金划拨线时，比如当保证金占用比例=60%时，达到资金警戒线。</w:t>
      </w:r>
    </w:p>
    <w:p>
      <w:pPr>
        <w:spacing w:line="560" w:lineRule="exact"/>
        <w:ind w:firstLine="600" w:firstLineChars="200"/>
        <w:rPr>
          <w:rFonts w:eastAsia="方正仿宋简体"/>
          <w:sz w:val="30"/>
          <w:szCs w:val="30"/>
        </w:rPr>
      </w:pPr>
      <w:r>
        <w:rPr>
          <w:rFonts w:eastAsia="方正仿宋简体"/>
          <w:sz w:val="30"/>
          <w:szCs w:val="30"/>
        </w:rPr>
        <w:t>当盘中证券公司经纪业务保证金占用比例高于资金警戒线时，证券公司相关业务人员应及时向资金调拨人员预约划款，资金调拨人员随时做好调拨资金的准备。</w:t>
      </w:r>
    </w:p>
    <w:p>
      <w:pPr>
        <w:spacing w:line="560" w:lineRule="exact"/>
        <w:ind w:firstLine="600" w:firstLineChars="200"/>
        <w:rPr>
          <w:rFonts w:eastAsia="方正仿宋简体"/>
          <w:sz w:val="30"/>
          <w:szCs w:val="30"/>
        </w:rPr>
      </w:pPr>
      <w:r>
        <w:rPr>
          <w:rFonts w:eastAsia="方正仿宋简体"/>
          <w:sz w:val="30"/>
          <w:szCs w:val="30"/>
        </w:rPr>
        <w:t>证券公司应根据公司期权业务规模、历史盘后交收金额与峰值、当天期权交易规模、客户活跃度、经纪业务占用保证金增速、客户入金情况等，设定每日资金警戒线、资金划拨线，并视情况每日进行动态调整。</w:t>
      </w:r>
    </w:p>
    <w:p>
      <w:pPr>
        <w:pStyle w:val="7"/>
        <w:numPr>
          <w:ilvl w:val="0"/>
          <w:numId w:val="64"/>
        </w:numPr>
        <w:spacing w:before="0" w:after="0" w:line="560" w:lineRule="exact"/>
        <w:ind w:left="0" w:firstLine="601" w:firstLineChars="200"/>
        <w:rPr>
          <w:rFonts w:eastAsia="方正仿宋简体"/>
          <w:sz w:val="30"/>
          <w:szCs w:val="30"/>
        </w:rPr>
      </w:pPr>
      <w:r>
        <w:rPr>
          <w:rFonts w:eastAsia="方正仿宋简体"/>
          <w:bCs w:val="0"/>
          <w:sz w:val="30"/>
          <w:szCs w:val="30"/>
        </w:rPr>
        <w:t>盘后资金维持比例逐日盯市</w:t>
      </w:r>
    </w:p>
    <w:p>
      <w:pPr>
        <w:spacing w:line="560" w:lineRule="exact"/>
        <w:ind w:firstLine="600" w:firstLineChars="200"/>
        <w:rPr>
          <w:rFonts w:eastAsia="方正仿宋简体"/>
          <w:sz w:val="30"/>
          <w:szCs w:val="30"/>
        </w:rPr>
      </w:pPr>
      <w:r>
        <w:rPr>
          <w:rFonts w:eastAsia="方正仿宋简体"/>
          <w:sz w:val="30"/>
          <w:szCs w:val="30"/>
        </w:rPr>
        <w:t>收盘后，证券公司应对盘后资金维持比例进行盯市管理。</w:t>
      </w:r>
    </w:p>
    <w:p>
      <w:pPr>
        <w:spacing w:line="560" w:lineRule="exact"/>
        <w:ind w:firstLine="600" w:firstLineChars="200"/>
        <w:rPr>
          <w:rFonts w:eastAsia="方正仿宋简体"/>
          <w:sz w:val="30"/>
          <w:szCs w:val="30"/>
        </w:rPr>
      </w:pPr>
      <w:r>
        <w:rPr>
          <w:rFonts w:eastAsia="方正仿宋简体"/>
          <w:sz w:val="30"/>
          <w:szCs w:val="30"/>
        </w:rPr>
        <w:t>盘后资金维持比例=（经纪业务维持保证金+行权净应付资金）/客户股票期权保证金账户余额</w:t>
      </w:r>
    </w:p>
    <w:p>
      <w:pPr>
        <w:spacing w:line="560" w:lineRule="exact"/>
        <w:ind w:firstLine="600" w:firstLineChars="200"/>
        <w:rPr>
          <w:rFonts w:eastAsia="方正仿宋简体"/>
          <w:sz w:val="30"/>
          <w:szCs w:val="30"/>
        </w:rPr>
      </w:pPr>
      <w:r>
        <w:rPr>
          <w:rFonts w:eastAsia="方正仿宋简体"/>
          <w:sz w:val="30"/>
          <w:szCs w:val="30"/>
        </w:rPr>
        <w:t>经纪业务维持保证金：根据《风控办法》规定的保证金公式和所司规定的收取水平，按照单个客户持仓自动对冲后计算的，所有账户的维持保证金总额。</w:t>
      </w:r>
    </w:p>
    <w:p>
      <w:pPr>
        <w:spacing w:line="560" w:lineRule="exact"/>
        <w:ind w:firstLine="600" w:firstLineChars="200"/>
        <w:rPr>
          <w:rFonts w:eastAsia="方正仿宋简体"/>
          <w:sz w:val="30"/>
          <w:szCs w:val="30"/>
        </w:rPr>
      </w:pPr>
      <w:r>
        <w:rPr>
          <w:rFonts w:eastAsia="方正仿宋简体"/>
          <w:sz w:val="30"/>
          <w:szCs w:val="30"/>
        </w:rPr>
        <w:t>行权净应付资金：交收日，客户行权或被指派应付资金减去应收资金，包括客户证券交收违约按现金结算资金，如为净应收，则行权净应付资金为0。</w:t>
      </w:r>
    </w:p>
    <w:p>
      <w:pPr>
        <w:spacing w:line="560" w:lineRule="exact"/>
        <w:ind w:firstLine="600" w:firstLineChars="200"/>
        <w:rPr>
          <w:rFonts w:eastAsia="方正仿宋简体"/>
          <w:sz w:val="30"/>
          <w:szCs w:val="30"/>
        </w:rPr>
      </w:pPr>
      <w:r>
        <w:rPr>
          <w:rFonts w:eastAsia="方正仿宋简体"/>
          <w:sz w:val="30"/>
          <w:szCs w:val="30"/>
        </w:rPr>
        <w:t>收盘后，为保证正常交收，证券公司应保证盘后资金维持比例不高于一定比例（比如90%）。同时基于客户在收盘后出金的可能性较大，证券公司需保留足够的资金满足客户出金需求。</w:t>
      </w:r>
    </w:p>
    <w:p>
      <w:pPr>
        <w:pStyle w:val="7"/>
        <w:numPr>
          <w:ilvl w:val="0"/>
          <w:numId w:val="64"/>
        </w:numPr>
        <w:spacing w:before="0" w:after="0" w:line="560" w:lineRule="exact"/>
        <w:ind w:left="0" w:firstLine="601" w:firstLineChars="200"/>
        <w:rPr>
          <w:rFonts w:eastAsia="方正仿宋简体"/>
          <w:sz w:val="30"/>
          <w:szCs w:val="30"/>
        </w:rPr>
      </w:pPr>
      <w:r>
        <w:rPr>
          <w:rFonts w:eastAsia="方正仿宋简体"/>
          <w:bCs w:val="0"/>
          <w:sz w:val="30"/>
          <w:szCs w:val="30"/>
        </w:rPr>
        <w:t>可用资金余额头寸监控</w:t>
      </w:r>
    </w:p>
    <w:p>
      <w:pPr>
        <w:spacing w:line="560" w:lineRule="exact"/>
        <w:ind w:firstLine="600" w:firstLineChars="200"/>
        <w:rPr>
          <w:rFonts w:eastAsia="方正仿宋简体"/>
          <w:sz w:val="30"/>
          <w:szCs w:val="30"/>
        </w:rPr>
      </w:pPr>
      <w:r>
        <w:rPr>
          <w:rFonts w:eastAsia="方正仿宋简体"/>
          <w:sz w:val="30"/>
          <w:szCs w:val="30"/>
        </w:rPr>
        <w:t>证券公司应分别在开盘前、盘中和盘后，通过本所交易系统查询公司在中国结算开立的客户股票期权保证金账户的可用余额，进行头寸监控：</w:t>
      </w:r>
    </w:p>
    <w:p>
      <w:pPr>
        <w:pStyle w:val="58"/>
        <w:numPr>
          <w:ilvl w:val="0"/>
          <w:numId w:val="67"/>
        </w:numPr>
        <w:spacing w:line="560" w:lineRule="exact"/>
        <w:ind w:left="0" w:firstLine="600"/>
        <w:rPr>
          <w:rFonts w:eastAsia="方正仿宋简体"/>
          <w:sz w:val="30"/>
          <w:szCs w:val="30"/>
        </w:rPr>
      </w:pPr>
      <w:r>
        <w:rPr>
          <w:rFonts w:eastAsia="方正仿宋简体"/>
          <w:sz w:val="30"/>
          <w:szCs w:val="30"/>
        </w:rPr>
        <w:t>盘中要保证客户股票期权保证金账户可用余额能满足客户的开仓需求；</w:t>
      </w:r>
    </w:p>
    <w:p>
      <w:pPr>
        <w:pStyle w:val="58"/>
        <w:numPr>
          <w:ilvl w:val="0"/>
          <w:numId w:val="67"/>
        </w:numPr>
        <w:spacing w:line="560" w:lineRule="exact"/>
        <w:ind w:left="0" w:firstLine="600"/>
        <w:rPr>
          <w:rFonts w:eastAsia="方正仿宋简体"/>
          <w:sz w:val="30"/>
          <w:szCs w:val="30"/>
        </w:rPr>
      </w:pPr>
      <w:r>
        <w:rPr>
          <w:rFonts w:eastAsia="方正仿宋简体"/>
          <w:sz w:val="30"/>
          <w:szCs w:val="30"/>
        </w:rPr>
        <w:t>开盘前和收盘后，要保证客户股票期权保证金账户可用余额高于最低结算准备余额（目前为200万）。开盘前，若结算准备金余额大于零而低于结算准备金最低余额，本所前端控制将禁止客户新开仓（买入或卖出开仓禁止，允许备兑开仓）。</w:t>
      </w:r>
    </w:p>
    <w:p>
      <w:pPr>
        <w:pStyle w:val="7"/>
        <w:numPr>
          <w:ilvl w:val="0"/>
          <w:numId w:val="64"/>
        </w:numPr>
        <w:spacing w:before="0" w:after="0" w:line="560" w:lineRule="exact"/>
        <w:ind w:left="0" w:firstLine="601" w:firstLineChars="200"/>
        <w:rPr>
          <w:rFonts w:eastAsia="方正仿宋简体"/>
          <w:sz w:val="30"/>
          <w:szCs w:val="30"/>
        </w:rPr>
      </w:pPr>
      <w:r>
        <w:rPr>
          <w:rFonts w:eastAsia="方正仿宋简体"/>
          <w:bCs w:val="0"/>
          <w:sz w:val="30"/>
          <w:szCs w:val="30"/>
        </w:rPr>
        <w:t>客户出金</w:t>
      </w:r>
    </w:p>
    <w:p>
      <w:pPr>
        <w:spacing w:line="560" w:lineRule="exact"/>
        <w:ind w:firstLine="600" w:firstLineChars="200"/>
        <w:rPr>
          <w:rFonts w:eastAsia="方正仿宋简体"/>
          <w:sz w:val="30"/>
          <w:szCs w:val="30"/>
        </w:rPr>
      </w:pPr>
      <w:r>
        <w:rPr>
          <w:rFonts w:eastAsia="方正仿宋简体"/>
          <w:sz w:val="30"/>
          <w:szCs w:val="30"/>
        </w:rPr>
        <w:t>证券公司根据与客户在经纪合同中的约定，设置提取线计算客户可提现资金，允许客户进行提现。对大额资金提取，可以要求先预约。</w:t>
      </w:r>
    </w:p>
    <w:p>
      <w:pPr>
        <w:pStyle w:val="7"/>
        <w:numPr>
          <w:ilvl w:val="0"/>
          <w:numId w:val="64"/>
        </w:numPr>
        <w:spacing w:before="0" w:after="0" w:line="560" w:lineRule="exact"/>
        <w:ind w:left="0" w:firstLine="601" w:firstLineChars="200"/>
        <w:rPr>
          <w:rFonts w:eastAsia="方正仿宋简体"/>
          <w:sz w:val="30"/>
          <w:szCs w:val="30"/>
        </w:rPr>
      </w:pPr>
      <w:r>
        <w:rPr>
          <w:rFonts w:eastAsia="方正仿宋简体"/>
          <w:bCs w:val="0"/>
          <w:sz w:val="30"/>
          <w:szCs w:val="30"/>
        </w:rPr>
        <w:t>卖出平仓注意事项</w:t>
      </w:r>
    </w:p>
    <w:p>
      <w:pPr>
        <w:spacing w:line="560" w:lineRule="exact"/>
        <w:ind w:firstLine="600" w:firstLineChars="200"/>
        <w:rPr>
          <w:rFonts w:eastAsia="方正仿宋简体"/>
          <w:sz w:val="30"/>
          <w:szCs w:val="30"/>
        </w:rPr>
      </w:pPr>
      <w:r>
        <w:rPr>
          <w:rFonts w:eastAsia="方正仿宋简体"/>
          <w:sz w:val="30"/>
          <w:szCs w:val="30"/>
        </w:rPr>
        <w:t>对投资者卖出平仓应注意交易成本的计算。若出现卖出平仓所得无法覆盖交易成本的情况，应在客户端进行提醒。若客户执意平仓，方可接受委托。如预算成交后客户资产出现透支状态，证券公司可拒绝该笔委托。</w:t>
      </w:r>
    </w:p>
    <w:p>
      <w:pPr>
        <w:pStyle w:val="5"/>
        <w:numPr>
          <w:ilvl w:val="0"/>
          <w:numId w:val="63"/>
        </w:numPr>
        <w:spacing w:before="0" w:after="0" w:line="560" w:lineRule="exact"/>
        <w:ind w:left="0" w:firstLine="601" w:firstLineChars="200"/>
        <w:rPr>
          <w:rFonts w:ascii="Times New Roman" w:hAnsi="Times New Roman" w:eastAsia="方正仿宋简体"/>
          <w:b w:val="0"/>
          <w:sz w:val="30"/>
          <w:szCs w:val="30"/>
        </w:rPr>
      </w:pPr>
      <w:bookmarkStart w:id="202" w:name="_Toc25049489"/>
      <w:bookmarkStart w:id="203" w:name="_Toc422331061"/>
      <w:r>
        <w:rPr>
          <w:rFonts w:ascii="Times New Roman" w:hAnsi="Times New Roman" w:eastAsia="方正仿宋简体"/>
          <w:sz w:val="30"/>
          <w:szCs w:val="30"/>
        </w:rPr>
        <w:t>资金划拨应急处理</w:t>
      </w:r>
      <w:bookmarkEnd w:id="202"/>
      <w:bookmarkEnd w:id="203"/>
    </w:p>
    <w:p>
      <w:pPr>
        <w:spacing w:line="560" w:lineRule="exact"/>
        <w:ind w:firstLine="600" w:firstLineChars="200"/>
        <w:rPr>
          <w:rFonts w:eastAsia="方正仿宋简体"/>
          <w:sz w:val="30"/>
          <w:szCs w:val="30"/>
        </w:rPr>
      </w:pPr>
      <w:r>
        <w:rPr>
          <w:rFonts w:eastAsia="方正仿宋简体"/>
          <w:sz w:val="30"/>
          <w:szCs w:val="30"/>
        </w:rPr>
        <w:t>证券公司应建立客户资金存取、划拨、应对信息系统故障等异常和突发情况的应急预案，具体要求包括但不限于：</w:t>
      </w:r>
    </w:p>
    <w:p>
      <w:pPr>
        <w:pStyle w:val="58"/>
        <w:numPr>
          <w:ilvl w:val="0"/>
          <w:numId w:val="68"/>
        </w:numPr>
        <w:spacing w:line="560" w:lineRule="exact"/>
        <w:ind w:left="0" w:firstLine="600"/>
        <w:rPr>
          <w:rFonts w:eastAsia="方正仿宋简体"/>
          <w:sz w:val="30"/>
          <w:szCs w:val="30"/>
        </w:rPr>
      </w:pPr>
      <w:r>
        <w:rPr>
          <w:rFonts w:eastAsia="方正仿宋简体"/>
          <w:sz w:val="30"/>
          <w:szCs w:val="30"/>
        </w:rPr>
        <w:t>证券公司应与各结算银行商谈并签订客户资金应急划款协议或备忘录，建立客户资金存取和交收的应急备用划款方式，明确因技术故障等影响客户资金存取及交收时，相关各方之间的备用操作流程和沟通协调机制，保证客户资金存取和交收的正常有序进行。</w:t>
      </w:r>
    </w:p>
    <w:p>
      <w:pPr>
        <w:pStyle w:val="58"/>
        <w:numPr>
          <w:ilvl w:val="0"/>
          <w:numId w:val="68"/>
        </w:numPr>
        <w:spacing w:line="560" w:lineRule="exact"/>
        <w:ind w:left="0" w:firstLine="600"/>
        <w:rPr>
          <w:rFonts w:eastAsia="方正仿宋简体"/>
          <w:sz w:val="30"/>
          <w:szCs w:val="30"/>
        </w:rPr>
      </w:pPr>
      <w:r>
        <w:rPr>
          <w:rFonts w:eastAsia="方正仿宋简体"/>
          <w:sz w:val="30"/>
          <w:szCs w:val="30"/>
        </w:rPr>
        <w:t>证券公司应建立多家银行账户划拨备用机制，一旦一家银行账户结算出现问题或延迟，立即启用其他银行账户划拨资金。</w:t>
      </w:r>
    </w:p>
    <w:p>
      <w:pPr>
        <w:pStyle w:val="58"/>
        <w:numPr>
          <w:ilvl w:val="0"/>
          <w:numId w:val="68"/>
        </w:numPr>
        <w:spacing w:line="560" w:lineRule="exact"/>
        <w:ind w:left="0" w:firstLine="600"/>
        <w:rPr>
          <w:rFonts w:eastAsia="方正仿宋简体"/>
          <w:sz w:val="30"/>
          <w:szCs w:val="30"/>
        </w:rPr>
      </w:pPr>
      <w:r>
        <w:rPr>
          <w:rFonts w:eastAsia="方正仿宋简体"/>
          <w:sz w:val="30"/>
          <w:szCs w:val="30"/>
        </w:rPr>
        <w:t>证券公司应通过和银行建立多种替代方式的资金划拨路径，一旦结算出现异常，可以立即通过其他替代划拨方式完成资金划拨。同时应和银行建立良好的结算关系，由银行指定专人负责跟踪每笔划拨资金。</w:t>
      </w:r>
    </w:p>
    <w:p>
      <w:pPr>
        <w:pStyle w:val="58"/>
        <w:widowControl/>
        <w:numPr>
          <w:ilvl w:val="0"/>
          <w:numId w:val="68"/>
        </w:numPr>
        <w:spacing w:line="560" w:lineRule="exact"/>
        <w:ind w:left="0" w:firstLine="600"/>
        <w:rPr>
          <w:rFonts w:eastAsia="方正仿宋简体"/>
          <w:b/>
          <w:bCs/>
          <w:sz w:val="30"/>
          <w:szCs w:val="30"/>
        </w:rPr>
      </w:pPr>
      <w:r>
        <w:rPr>
          <w:rFonts w:eastAsia="方正仿宋简体"/>
          <w:sz w:val="30"/>
          <w:szCs w:val="30"/>
        </w:rPr>
        <w:t>证券公司应当与结算银行建立日终数据交换和差异处理机制，保证客户下一交易日的正常交易和资金存取。</w:t>
      </w: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b/>
          <w:bCs/>
          <w:sz w:val="30"/>
          <w:szCs w:val="30"/>
        </w:rPr>
        <w:br w:type="page"/>
      </w:r>
      <w:bookmarkStart w:id="204" w:name="_Toc422331062"/>
      <w:bookmarkStart w:id="205" w:name="_Toc25049490"/>
      <w:r>
        <w:rPr>
          <w:rFonts w:ascii="黑体" w:hAnsi="黑体" w:eastAsia="黑体"/>
          <w:bCs/>
          <w:sz w:val="30"/>
          <w:szCs w:val="30"/>
        </w:rPr>
        <w:t>强行平仓管理</w:t>
      </w:r>
      <w:bookmarkEnd w:id="204"/>
      <w:bookmarkEnd w:id="205"/>
    </w:p>
    <w:p>
      <w:pPr>
        <w:pStyle w:val="5"/>
        <w:numPr>
          <w:ilvl w:val="0"/>
          <w:numId w:val="69"/>
        </w:numPr>
        <w:spacing w:before="0" w:after="0" w:line="560" w:lineRule="exact"/>
        <w:ind w:left="0" w:firstLine="601" w:firstLineChars="200"/>
        <w:rPr>
          <w:rFonts w:ascii="Times New Roman" w:hAnsi="Times New Roman" w:eastAsia="方正仿宋简体"/>
          <w:b w:val="0"/>
          <w:sz w:val="30"/>
          <w:szCs w:val="30"/>
        </w:rPr>
      </w:pPr>
      <w:bookmarkStart w:id="206" w:name="_Toc25049491"/>
      <w:bookmarkStart w:id="207" w:name="_Toc422331063"/>
      <w:r>
        <w:rPr>
          <w:rFonts w:ascii="Times New Roman" w:hAnsi="Times New Roman" w:eastAsia="方正仿宋简体"/>
          <w:sz w:val="30"/>
          <w:szCs w:val="30"/>
        </w:rPr>
        <w:t>保证金不足强行平仓</w:t>
      </w:r>
      <w:bookmarkEnd w:id="206"/>
      <w:bookmarkEnd w:id="207"/>
    </w:p>
    <w:p>
      <w:pPr>
        <w:spacing w:line="560" w:lineRule="exact"/>
        <w:ind w:firstLine="600" w:firstLineChars="200"/>
        <w:rPr>
          <w:rFonts w:eastAsia="方正仿宋简体"/>
          <w:sz w:val="30"/>
          <w:szCs w:val="30"/>
        </w:rPr>
      </w:pPr>
      <w:r>
        <w:rPr>
          <w:rFonts w:eastAsia="方正仿宋简体"/>
          <w:sz w:val="30"/>
          <w:szCs w:val="30"/>
        </w:rPr>
        <w:t>证券公司应建立预警、监控和处置措施，防止客户出现保证金不足的风险。由于投资者使用单一股票期权保证金账户可同时交易多个期权品种，证券公司在保证金监控和实施保证金不足强行平仓等风控措施时应结合自身情况对投资者保证金账户进行统一管理。</w:t>
      </w:r>
    </w:p>
    <w:p>
      <w:pPr>
        <w:pStyle w:val="7"/>
        <w:numPr>
          <w:ilvl w:val="0"/>
          <w:numId w:val="70"/>
        </w:numPr>
        <w:spacing w:before="0" w:after="0" w:line="560" w:lineRule="exact"/>
        <w:ind w:left="0" w:firstLine="601" w:firstLineChars="200"/>
        <w:rPr>
          <w:rFonts w:eastAsia="方正仿宋简体"/>
          <w:sz w:val="30"/>
          <w:szCs w:val="30"/>
        </w:rPr>
      </w:pPr>
      <w:r>
        <w:rPr>
          <w:rFonts w:eastAsia="方正仿宋简体"/>
          <w:bCs w:val="0"/>
          <w:sz w:val="30"/>
          <w:szCs w:val="30"/>
        </w:rPr>
        <w:t>触发条件</w:t>
      </w:r>
    </w:p>
    <w:p>
      <w:pPr>
        <w:pStyle w:val="8"/>
        <w:keepNext w:val="0"/>
        <w:keepLines w:val="0"/>
        <w:numPr>
          <w:ilvl w:val="0"/>
          <w:numId w:val="71"/>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盘中监控</w:t>
      </w:r>
    </w:p>
    <w:p>
      <w:pPr>
        <w:spacing w:line="560" w:lineRule="exact"/>
        <w:ind w:firstLine="600" w:firstLineChars="200"/>
        <w:rPr>
          <w:rFonts w:eastAsia="方正仿宋简体"/>
          <w:sz w:val="30"/>
          <w:szCs w:val="30"/>
        </w:rPr>
      </w:pPr>
      <w:r>
        <w:rPr>
          <w:rFonts w:eastAsia="方正仿宋简体"/>
          <w:sz w:val="30"/>
          <w:szCs w:val="30"/>
        </w:rPr>
        <w:t>客户实时风险值1达到或者高于公司盘中平仓线，且未能</w:t>
      </w:r>
      <w:r>
        <w:rPr>
          <w:rFonts w:hint="eastAsia" w:eastAsia="方正仿宋简体"/>
          <w:sz w:val="30"/>
          <w:szCs w:val="30"/>
          <w:lang w:eastAsia="zh-CN"/>
        </w:rPr>
        <w:t>在规定时间内</w:t>
      </w:r>
      <w:r>
        <w:rPr>
          <w:rFonts w:eastAsia="方正仿宋简体"/>
          <w:sz w:val="30"/>
          <w:szCs w:val="30"/>
        </w:rPr>
        <w:t>补足或者自行平仓，证券公司可以在约定时间对客户进行强行平仓。</w:t>
      </w:r>
    </w:p>
    <w:p>
      <w:pPr>
        <w:spacing w:line="560" w:lineRule="exact"/>
        <w:ind w:firstLine="600" w:firstLineChars="200"/>
        <w:rPr>
          <w:rFonts w:eastAsia="方正仿宋简体"/>
          <w:sz w:val="30"/>
          <w:szCs w:val="30"/>
        </w:rPr>
      </w:pPr>
      <w:r>
        <w:rPr>
          <w:rFonts w:eastAsia="方正仿宋简体"/>
          <w:sz w:val="30"/>
          <w:szCs w:val="30"/>
        </w:rPr>
        <w:t>客户实时风险值2达到或者高于即时处置线，证券公司根据与客户约定可即时对客户进行强行平仓。</w:t>
      </w:r>
    </w:p>
    <w:p>
      <w:pPr>
        <w:spacing w:line="560" w:lineRule="exact"/>
        <w:ind w:firstLine="600" w:firstLineChars="200"/>
        <w:rPr>
          <w:rFonts w:eastAsia="方正仿宋简体"/>
          <w:sz w:val="30"/>
          <w:szCs w:val="30"/>
        </w:rPr>
      </w:pPr>
      <w:r>
        <w:rPr>
          <w:rFonts w:eastAsia="方正仿宋简体"/>
          <w:sz w:val="30"/>
          <w:szCs w:val="30"/>
        </w:rPr>
        <w:t>证券公司对客户的买入平仓指令可不检查资金是否足额，若采取资金前端控制，应建立</w:t>
      </w:r>
      <w:r>
        <w:rPr>
          <w:rFonts w:hint="eastAsia" w:ascii="方正仿宋简体" w:eastAsia="方正仿宋简体"/>
          <w:sz w:val="30"/>
          <w:szCs w:val="30"/>
        </w:rPr>
        <w:t>“</w:t>
      </w:r>
      <w:r>
        <w:rPr>
          <w:rFonts w:eastAsia="方正仿宋简体"/>
          <w:sz w:val="30"/>
          <w:szCs w:val="30"/>
        </w:rPr>
        <w:t>不足时由客户自行平仓或证券公司进行强行平仓</w:t>
      </w:r>
      <w:r>
        <w:rPr>
          <w:rFonts w:hint="eastAsia" w:ascii="方正仿宋简体" w:eastAsia="方正仿宋简体"/>
          <w:sz w:val="30"/>
          <w:szCs w:val="30"/>
        </w:rPr>
        <w:t>”</w:t>
      </w:r>
      <w:r>
        <w:rPr>
          <w:rFonts w:eastAsia="方正仿宋简体"/>
          <w:sz w:val="30"/>
          <w:szCs w:val="30"/>
        </w:rPr>
        <w:t>相关操作流程。</w:t>
      </w:r>
    </w:p>
    <w:p>
      <w:pPr>
        <w:pStyle w:val="8"/>
        <w:keepNext w:val="0"/>
        <w:keepLines w:val="0"/>
        <w:numPr>
          <w:ilvl w:val="0"/>
          <w:numId w:val="71"/>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盘后监控</w:t>
      </w:r>
    </w:p>
    <w:p>
      <w:pPr>
        <w:spacing w:line="560" w:lineRule="exact"/>
        <w:ind w:firstLine="600" w:firstLineChars="200"/>
        <w:rPr>
          <w:rFonts w:eastAsia="方正仿宋简体"/>
          <w:sz w:val="30"/>
          <w:szCs w:val="30"/>
        </w:rPr>
      </w:pPr>
      <w:r>
        <w:rPr>
          <w:rFonts w:eastAsia="方正仿宋简体"/>
          <w:sz w:val="30"/>
          <w:szCs w:val="30"/>
        </w:rPr>
        <w:t>客户维持保证金比例1达到或者高于公司盘后平仓线，且未能在规定时间内补足或者自行平仓，证券公司应在下一交易日（T+1日）约定时间对客户进行强行平仓。</w:t>
      </w:r>
    </w:p>
    <w:p>
      <w:pPr>
        <w:spacing w:line="560" w:lineRule="exact"/>
        <w:ind w:firstLine="600" w:firstLineChars="200"/>
        <w:rPr>
          <w:rFonts w:eastAsia="方正仿宋简体"/>
          <w:sz w:val="30"/>
          <w:szCs w:val="30"/>
        </w:rPr>
      </w:pPr>
      <w:r>
        <w:rPr>
          <w:rFonts w:eastAsia="方正仿宋简体"/>
          <w:sz w:val="30"/>
          <w:szCs w:val="30"/>
        </w:rPr>
        <w:t>客户维持保证金比例2达到或者高于交易所平仓线，且未能在规定时间内补足或者自行平仓，证券公司应在下一交易日（T+1日）上午开盘后尽快对客户进行强行平仓。</w:t>
      </w:r>
    </w:p>
    <w:p>
      <w:pPr>
        <w:pStyle w:val="7"/>
        <w:numPr>
          <w:ilvl w:val="0"/>
          <w:numId w:val="70"/>
        </w:numPr>
        <w:spacing w:before="0" w:after="0" w:line="560" w:lineRule="exact"/>
        <w:ind w:left="0" w:firstLine="601" w:firstLineChars="200"/>
        <w:rPr>
          <w:rFonts w:eastAsia="方正仿宋简体"/>
          <w:sz w:val="30"/>
          <w:szCs w:val="30"/>
        </w:rPr>
      </w:pPr>
      <w:r>
        <w:rPr>
          <w:rFonts w:eastAsia="方正仿宋简体"/>
          <w:bCs w:val="0"/>
          <w:sz w:val="30"/>
          <w:szCs w:val="30"/>
        </w:rPr>
        <w:t>平仓原则</w:t>
      </w:r>
    </w:p>
    <w:p>
      <w:pPr>
        <w:widowControl/>
        <w:spacing w:line="560" w:lineRule="exact"/>
        <w:ind w:firstLine="600" w:firstLineChars="200"/>
        <w:rPr>
          <w:rFonts w:eastAsia="方正仿宋简体"/>
          <w:sz w:val="30"/>
          <w:szCs w:val="30"/>
        </w:rPr>
      </w:pPr>
      <w:r>
        <w:rPr>
          <w:rFonts w:eastAsia="方正仿宋简体"/>
          <w:sz w:val="30"/>
          <w:szCs w:val="30"/>
        </w:rPr>
        <w:t>证券公司对客户进行强行平仓可采用以下原则：</w:t>
      </w:r>
    </w:p>
    <w:p>
      <w:pPr>
        <w:pStyle w:val="58"/>
        <w:numPr>
          <w:ilvl w:val="0"/>
          <w:numId w:val="72"/>
        </w:numPr>
        <w:spacing w:line="560" w:lineRule="exact"/>
        <w:ind w:left="0" w:firstLine="600"/>
        <w:rPr>
          <w:rFonts w:eastAsia="方正仿宋简体"/>
          <w:sz w:val="30"/>
          <w:szCs w:val="30"/>
        </w:rPr>
      </w:pPr>
      <w:r>
        <w:rPr>
          <w:rFonts w:eastAsia="方正仿宋简体"/>
          <w:sz w:val="30"/>
          <w:szCs w:val="30"/>
        </w:rPr>
        <w:t>按客户保证金不足数额确定客户平仓顺序；</w:t>
      </w:r>
    </w:p>
    <w:p>
      <w:pPr>
        <w:pStyle w:val="58"/>
        <w:numPr>
          <w:ilvl w:val="0"/>
          <w:numId w:val="72"/>
        </w:numPr>
        <w:spacing w:line="560" w:lineRule="exact"/>
        <w:ind w:left="0" w:firstLine="600"/>
        <w:rPr>
          <w:rFonts w:eastAsia="方正仿宋简体"/>
          <w:sz w:val="30"/>
          <w:szCs w:val="30"/>
        </w:rPr>
      </w:pPr>
      <w:r>
        <w:rPr>
          <w:rFonts w:eastAsia="方正仿宋简体"/>
          <w:sz w:val="30"/>
          <w:szCs w:val="30"/>
        </w:rPr>
        <w:t>对待平仓合约，按前一交易日日终对冲后持仓量由大到小顺序选取待平仓合约，或占用保证金由大到小顺序选取待平仓合约，或可释放保证金由大到小顺序选取待平仓合约等。</w:t>
      </w:r>
    </w:p>
    <w:p>
      <w:pPr>
        <w:widowControl/>
        <w:spacing w:line="560" w:lineRule="exact"/>
        <w:ind w:firstLine="600" w:firstLineChars="200"/>
        <w:rPr>
          <w:rFonts w:eastAsia="方正仿宋简体"/>
          <w:sz w:val="30"/>
          <w:szCs w:val="30"/>
        </w:rPr>
      </w:pPr>
      <w:r>
        <w:rPr>
          <w:rFonts w:eastAsia="方正仿宋简体"/>
          <w:sz w:val="30"/>
          <w:szCs w:val="30"/>
        </w:rPr>
        <w:t>证券公司可依照上述原则对客户的部分或全部合约强行平仓，直至客户实时风险值1低于盘中追保线或客户维持保证金比例1低于盘后追保线。</w:t>
      </w:r>
      <w:r>
        <w:rPr>
          <w:rFonts w:hint="eastAsia" w:eastAsia="方正仿宋简体"/>
          <w:sz w:val="30"/>
          <w:szCs w:val="30"/>
        </w:rPr>
        <w:t xml:space="preserve"> </w:t>
      </w:r>
    </w:p>
    <w:p>
      <w:pPr>
        <w:widowControl/>
        <w:spacing w:line="560" w:lineRule="exact"/>
        <w:ind w:firstLine="600" w:firstLineChars="200"/>
        <w:rPr>
          <w:rFonts w:eastAsia="方正仿宋简体"/>
          <w:sz w:val="30"/>
          <w:szCs w:val="30"/>
        </w:rPr>
      </w:pPr>
      <w:r>
        <w:rPr>
          <w:rFonts w:eastAsia="方正仿宋简体"/>
          <w:sz w:val="30"/>
          <w:szCs w:val="30"/>
        </w:rPr>
        <w:t>证券公司应当在与客户签订的期权经纪合同中，明确约定对客户执行强行平仓的具体条件与时间，包括可约定</w:t>
      </w:r>
      <w:r>
        <w:rPr>
          <w:rFonts w:hint="eastAsia" w:ascii="方正仿宋简体" w:eastAsia="方正仿宋简体"/>
          <w:sz w:val="30"/>
          <w:szCs w:val="30"/>
        </w:rPr>
        <w:t>“</w:t>
      </w:r>
      <w:r>
        <w:rPr>
          <w:rFonts w:eastAsia="方正仿宋简体"/>
          <w:sz w:val="30"/>
          <w:szCs w:val="30"/>
        </w:rPr>
        <w:t>对未持有义务仓而资金余额小于零的客户，可对权利仓进行平仓等</w:t>
      </w:r>
      <w:r>
        <w:rPr>
          <w:rFonts w:hint="eastAsia" w:ascii="方正仿宋简体" w:eastAsia="方正仿宋简体"/>
          <w:sz w:val="30"/>
          <w:szCs w:val="30"/>
        </w:rPr>
        <w:t>”</w:t>
      </w:r>
      <w:r>
        <w:rPr>
          <w:rFonts w:eastAsia="方正仿宋简体"/>
          <w:sz w:val="30"/>
          <w:szCs w:val="30"/>
        </w:rPr>
        <w:t>。</w:t>
      </w:r>
    </w:p>
    <w:p>
      <w:pPr>
        <w:pStyle w:val="7"/>
        <w:numPr>
          <w:ilvl w:val="0"/>
          <w:numId w:val="70"/>
        </w:numPr>
        <w:spacing w:before="0" w:after="0" w:line="560" w:lineRule="exact"/>
        <w:ind w:left="0" w:firstLine="601" w:firstLineChars="200"/>
        <w:rPr>
          <w:rFonts w:eastAsia="方正仿宋简体"/>
          <w:sz w:val="30"/>
          <w:szCs w:val="30"/>
        </w:rPr>
      </w:pPr>
      <w:r>
        <w:rPr>
          <w:rFonts w:eastAsia="方正仿宋简体"/>
          <w:bCs w:val="0"/>
          <w:sz w:val="30"/>
          <w:szCs w:val="30"/>
        </w:rPr>
        <w:t>平仓流程</w:t>
      </w:r>
    </w:p>
    <w:p>
      <w:pPr>
        <w:pStyle w:val="8"/>
        <w:keepNext w:val="0"/>
        <w:keepLines w:val="0"/>
        <w:numPr>
          <w:ilvl w:val="0"/>
          <w:numId w:val="7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未收到中国结算强平通知书情况下的强平</w:t>
      </w:r>
    </w:p>
    <w:p>
      <w:pPr>
        <w:pStyle w:val="58"/>
        <w:numPr>
          <w:ilvl w:val="0"/>
          <w:numId w:val="74"/>
        </w:numPr>
        <w:spacing w:line="560" w:lineRule="exact"/>
        <w:ind w:left="0" w:firstLine="600"/>
        <w:rPr>
          <w:rFonts w:eastAsia="方正仿宋简体"/>
          <w:sz w:val="30"/>
          <w:szCs w:val="30"/>
        </w:rPr>
      </w:pPr>
      <w:r>
        <w:rPr>
          <w:rFonts w:eastAsia="方正仿宋简体"/>
          <w:sz w:val="30"/>
          <w:szCs w:val="30"/>
        </w:rPr>
        <w:t>盘中</w:t>
      </w:r>
    </w:p>
    <w:p>
      <w:pPr>
        <w:widowControl/>
        <w:spacing w:line="560" w:lineRule="exact"/>
        <w:ind w:firstLine="600" w:firstLineChars="200"/>
        <w:rPr>
          <w:rFonts w:eastAsia="方正仿宋简体"/>
          <w:sz w:val="30"/>
          <w:szCs w:val="30"/>
        </w:rPr>
      </w:pPr>
      <w:r>
        <w:rPr>
          <w:rFonts w:eastAsia="方正仿宋简体"/>
          <w:sz w:val="30"/>
          <w:szCs w:val="30"/>
        </w:rPr>
        <w:t>盘中监控，客户实时风险值1高于公司盘中平仓线。证券公司应以邮件、短信、交易端提醒等形式向客户发送</w:t>
      </w:r>
      <w:r>
        <w:rPr>
          <w:rFonts w:hint="eastAsia" w:ascii="方正仿宋简体" w:eastAsia="方正仿宋简体"/>
          <w:sz w:val="30"/>
          <w:szCs w:val="30"/>
        </w:rPr>
        <w:t>“</w:t>
      </w:r>
      <w:r>
        <w:rPr>
          <w:rFonts w:eastAsia="方正仿宋简体"/>
          <w:sz w:val="30"/>
          <w:szCs w:val="30"/>
        </w:rPr>
        <w:t>强行平仓警示通知</w:t>
      </w:r>
      <w:r>
        <w:rPr>
          <w:rFonts w:hint="eastAsia" w:ascii="方正仿宋简体" w:eastAsia="方正仿宋简体"/>
          <w:sz w:val="30"/>
          <w:szCs w:val="30"/>
        </w:rPr>
        <w:t>”</w:t>
      </w:r>
      <w:r>
        <w:rPr>
          <w:rFonts w:eastAsia="方正仿宋简体"/>
          <w:sz w:val="30"/>
          <w:szCs w:val="30"/>
        </w:rPr>
        <w:t>，并要求客户在约定时间（可以是当日某时或下一交易日的某个时间点）前追加保证金或自行平仓，否则证券公司将于该时间实施强行平仓。</w:t>
      </w:r>
    </w:p>
    <w:p>
      <w:pPr>
        <w:widowControl/>
        <w:spacing w:line="560" w:lineRule="exact"/>
        <w:ind w:firstLine="600" w:firstLineChars="200"/>
        <w:rPr>
          <w:rFonts w:eastAsia="方正仿宋简体"/>
          <w:sz w:val="30"/>
          <w:szCs w:val="30"/>
        </w:rPr>
      </w:pPr>
      <w:r>
        <w:rPr>
          <w:rFonts w:eastAsia="方正仿宋简体"/>
          <w:sz w:val="30"/>
          <w:szCs w:val="30"/>
        </w:rPr>
        <w:t>若客户账户风险值持续上升，且客户实时风险值2高于即时处置线，证券公司根据期权经纪合同中的约定，可即时对客户进行强行平仓。</w:t>
      </w:r>
    </w:p>
    <w:p>
      <w:pPr>
        <w:pStyle w:val="58"/>
        <w:numPr>
          <w:ilvl w:val="0"/>
          <w:numId w:val="74"/>
        </w:numPr>
        <w:spacing w:line="560" w:lineRule="exact"/>
        <w:ind w:left="0" w:firstLine="600"/>
        <w:rPr>
          <w:rFonts w:eastAsia="方正仿宋简体"/>
          <w:sz w:val="30"/>
          <w:szCs w:val="30"/>
        </w:rPr>
      </w:pPr>
      <w:r>
        <w:rPr>
          <w:rFonts w:eastAsia="方正仿宋简体"/>
          <w:sz w:val="30"/>
          <w:szCs w:val="30"/>
        </w:rPr>
        <w:t>盘后</w:t>
      </w:r>
    </w:p>
    <w:p>
      <w:pPr>
        <w:widowControl/>
        <w:spacing w:line="560" w:lineRule="exact"/>
        <w:ind w:firstLine="600" w:firstLineChars="200"/>
        <w:rPr>
          <w:rFonts w:eastAsia="方正仿宋简体"/>
          <w:sz w:val="30"/>
          <w:szCs w:val="30"/>
        </w:rPr>
      </w:pPr>
      <w:r>
        <w:rPr>
          <w:rFonts w:eastAsia="方正仿宋简体"/>
          <w:sz w:val="30"/>
          <w:szCs w:val="30"/>
        </w:rPr>
        <w:t>日终结算后，若客户维持保证金比例1高于公司盘后平仓线。证券公司应再次以邮件、短信、交易端提醒等形式向客户发送</w:t>
      </w:r>
      <w:r>
        <w:rPr>
          <w:rFonts w:hint="eastAsia" w:ascii="方正仿宋简体" w:eastAsia="方正仿宋简体"/>
          <w:sz w:val="30"/>
          <w:szCs w:val="30"/>
        </w:rPr>
        <w:t>“</w:t>
      </w:r>
      <w:r>
        <w:rPr>
          <w:rFonts w:eastAsia="方正仿宋简体"/>
          <w:sz w:val="30"/>
          <w:szCs w:val="30"/>
        </w:rPr>
        <w:t>强行平仓警示通知</w:t>
      </w:r>
      <w:r>
        <w:rPr>
          <w:rFonts w:hint="eastAsia" w:ascii="方正仿宋简体" w:eastAsia="方正仿宋简体"/>
          <w:sz w:val="30"/>
          <w:szCs w:val="30"/>
        </w:rPr>
        <w:t>”</w:t>
      </w:r>
      <w:r>
        <w:rPr>
          <w:rFonts w:eastAsia="方正仿宋简体"/>
          <w:sz w:val="30"/>
          <w:szCs w:val="30"/>
        </w:rPr>
        <w:t>，并要求客户在下一交易日约定时间前追加保证金或自行平仓，否则证券公司可按照与客户的规定执行强行平仓。</w:t>
      </w:r>
    </w:p>
    <w:p>
      <w:pPr>
        <w:widowControl/>
        <w:spacing w:line="560" w:lineRule="exact"/>
        <w:ind w:firstLine="600" w:firstLineChars="200"/>
        <w:rPr>
          <w:rFonts w:eastAsia="方正仿宋简体"/>
          <w:sz w:val="30"/>
          <w:szCs w:val="30"/>
        </w:rPr>
      </w:pPr>
      <w:r>
        <w:rPr>
          <w:rFonts w:eastAsia="方正仿宋简体"/>
          <w:sz w:val="30"/>
          <w:szCs w:val="30"/>
        </w:rPr>
        <w:t>日终结算后，若客户维持保证金比例2高于交易所平仓线，证券公司应以电话、邮件、短信、交易端提醒等形式向客户发送</w:t>
      </w:r>
      <w:r>
        <w:rPr>
          <w:rFonts w:hint="eastAsia" w:ascii="方正仿宋简体" w:eastAsia="方正仿宋简体"/>
          <w:sz w:val="30"/>
          <w:szCs w:val="30"/>
        </w:rPr>
        <w:t>“</w:t>
      </w:r>
      <w:r>
        <w:rPr>
          <w:rFonts w:eastAsia="方正仿宋简体"/>
          <w:sz w:val="30"/>
          <w:szCs w:val="30"/>
        </w:rPr>
        <w:t>强行平仓通知</w:t>
      </w:r>
      <w:r>
        <w:rPr>
          <w:rFonts w:hint="eastAsia" w:ascii="方正仿宋简体" w:eastAsia="方正仿宋简体"/>
          <w:sz w:val="30"/>
          <w:szCs w:val="30"/>
        </w:rPr>
        <w:t>”</w:t>
      </w:r>
      <w:r>
        <w:rPr>
          <w:rFonts w:eastAsia="方正仿宋简体"/>
          <w:sz w:val="30"/>
          <w:szCs w:val="30"/>
        </w:rPr>
        <w:t>。若客户未能在规定时间内补足保证金或者自行平仓，证券公司应在下一交易日上午开盘后尽快对客户进行强行平仓。</w:t>
      </w:r>
    </w:p>
    <w:p>
      <w:pPr>
        <w:pStyle w:val="8"/>
        <w:keepNext w:val="0"/>
        <w:keepLines w:val="0"/>
        <w:numPr>
          <w:ilvl w:val="0"/>
          <w:numId w:val="73"/>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收到中国结算强平通知情况下的强平</w:t>
      </w:r>
    </w:p>
    <w:p>
      <w:pPr>
        <w:widowControl/>
        <w:spacing w:line="560" w:lineRule="exact"/>
        <w:ind w:firstLine="600" w:firstLineChars="200"/>
        <w:rPr>
          <w:rFonts w:eastAsia="方正仿宋简体"/>
          <w:sz w:val="30"/>
          <w:szCs w:val="30"/>
        </w:rPr>
      </w:pPr>
      <w:r>
        <w:rPr>
          <w:rFonts w:eastAsia="方正仿宋简体"/>
          <w:sz w:val="30"/>
          <w:szCs w:val="30"/>
        </w:rPr>
        <w:t>当证券公司结算准备金小于零时，中国结算随当日结算数据向有关证券公司发送强行平仓通知。相关证券公司应在收到通知后在按中国结算要求在规定时间（下一交易日9:00之前）补足保证金。</w:t>
      </w:r>
    </w:p>
    <w:p>
      <w:pPr>
        <w:widowControl/>
        <w:spacing w:line="560" w:lineRule="exact"/>
        <w:ind w:firstLine="600" w:firstLineChars="200"/>
        <w:rPr>
          <w:rFonts w:eastAsia="方正仿宋简体"/>
          <w:sz w:val="30"/>
          <w:szCs w:val="30"/>
        </w:rPr>
      </w:pPr>
      <w:r>
        <w:rPr>
          <w:rFonts w:eastAsia="方正仿宋简体"/>
          <w:sz w:val="30"/>
          <w:szCs w:val="30"/>
        </w:rPr>
        <w:t>如无法补足保证金，应对维持保证金比例1高于公司盘后平仓线或维持保证金比例2高于交易所平仓线的客户按相应日常平仓流程处理，并确保在收到通知书后的次一交易日上午11:30前，按要求对保证金未予补足部分进行强行平仓。</w:t>
      </w:r>
    </w:p>
    <w:p>
      <w:pPr>
        <w:widowControl/>
        <w:spacing w:line="560" w:lineRule="exact"/>
        <w:ind w:firstLine="600" w:firstLineChars="200"/>
        <w:rPr>
          <w:rFonts w:eastAsia="方正仿宋简体"/>
          <w:sz w:val="30"/>
          <w:szCs w:val="30"/>
        </w:rPr>
      </w:pPr>
      <w:r>
        <w:rPr>
          <w:rFonts w:eastAsia="方正仿宋简体"/>
          <w:sz w:val="30"/>
          <w:szCs w:val="30"/>
        </w:rPr>
        <w:t>如收到通知的次一交易日上午，全部合约停牌（即市场停市）且下午有恢复交易，证券公司应当及时入金或在恢复交易后进行强行平仓。若日终保证金足额，下一交易日，中国结算将不进行保证金不足强行平仓（该情况下，证券公司可以上午入金以尽快消除保证金不足的情形）；若日终保证金不足额，该日日终中国结算将向有关证券公司发送强行平仓通知，证券公司收到通知后应在规定时间内补足资金或强行平仓。全天市场停市下，强行平仓流程顺延至恢复交易日首日。</w:t>
      </w:r>
    </w:p>
    <w:p>
      <w:pPr>
        <w:pStyle w:val="5"/>
        <w:numPr>
          <w:ilvl w:val="0"/>
          <w:numId w:val="69"/>
        </w:numPr>
        <w:spacing w:before="0" w:after="0" w:line="560" w:lineRule="exact"/>
        <w:ind w:left="0" w:firstLine="601" w:firstLineChars="200"/>
        <w:rPr>
          <w:rFonts w:ascii="Times New Roman" w:hAnsi="Times New Roman" w:eastAsia="方正仿宋简体"/>
          <w:b w:val="0"/>
          <w:sz w:val="30"/>
          <w:szCs w:val="30"/>
        </w:rPr>
      </w:pPr>
      <w:bookmarkStart w:id="208" w:name="_Toc25049492"/>
      <w:bookmarkStart w:id="209" w:name="_Toc422331064"/>
      <w:r>
        <w:rPr>
          <w:rFonts w:ascii="Times New Roman" w:hAnsi="Times New Roman" w:eastAsia="方正仿宋简体"/>
          <w:sz w:val="30"/>
          <w:szCs w:val="30"/>
        </w:rPr>
        <w:t>备兑不足转普通仓的强行平仓</w:t>
      </w:r>
      <w:bookmarkEnd w:id="208"/>
      <w:bookmarkEnd w:id="209"/>
    </w:p>
    <w:p>
      <w:pPr>
        <w:widowControl/>
        <w:spacing w:line="560" w:lineRule="exact"/>
        <w:ind w:firstLine="600" w:firstLineChars="200"/>
        <w:rPr>
          <w:rFonts w:eastAsia="方正仿宋简体"/>
          <w:sz w:val="30"/>
          <w:szCs w:val="30"/>
        </w:rPr>
      </w:pPr>
      <w:r>
        <w:rPr>
          <w:rFonts w:eastAsia="方正仿宋简体"/>
          <w:sz w:val="30"/>
          <w:szCs w:val="30"/>
        </w:rPr>
        <w:t>证券公司应对备兑开仓客户的标的证券情况进行日常监控，及时关注有可能导致客户备兑证券数量不足的影响因素。导致客户备兑证券数量不足的原因包括但不限于：</w:t>
      </w:r>
    </w:p>
    <w:p>
      <w:pPr>
        <w:pStyle w:val="58"/>
        <w:numPr>
          <w:ilvl w:val="0"/>
          <w:numId w:val="75"/>
        </w:numPr>
        <w:spacing w:line="560" w:lineRule="exact"/>
        <w:ind w:left="0" w:firstLine="600"/>
        <w:rPr>
          <w:rFonts w:eastAsia="方正仿宋简体"/>
          <w:sz w:val="30"/>
          <w:szCs w:val="30"/>
        </w:rPr>
      </w:pPr>
      <w:r>
        <w:rPr>
          <w:rFonts w:eastAsia="方正仿宋简体"/>
          <w:sz w:val="30"/>
          <w:szCs w:val="30"/>
        </w:rPr>
        <w:t>标的发生除权除息变动导致备兑证券数量不足；</w:t>
      </w:r>
    </w:p>
    <w:p>
      <w:pPr>
        <w:pStyle w:val="58"/>
        <w:numPr>
          <w:ilvl w:val="0"/>
          <w:numId w:val="75"/>
        </w:numPr>
        <w:spacing w:line="560" w:lineRule="exact"/>
        <w:ind w:left="0" w:firstLine="600"/>
        <w:rPr>
          <w:rFonts w:eastAsia="方正仿宋简体"/>
          <w:sz w:val="30"/>
          <w:szCs w:val="30"/>
        </w:rPr>
      </w:pPr>
      <w:r>
        <w:rPr>
          <w:rFonts w:eastAsia="方正仿宋简体"/>
          <w:sz w:val="30"/>
          <w:szCs w:val="30"/>
        </w:rPr>
        <w:t>行权交收应付证券不足，不足部分使用备兑证券，从而导致备兑证券数量不足；</w:t>
      </w:r>
    </w:p>
    <w:p>
      <w:pPr>
        <w:pStyle w:val="58"/>
        <w:numPr>
          <w:ilvl w:val="0"/>
          <w:numId w:val="75"/>
        </w:numPr>
        <w:spacing w:line="560" w:lineRule="exact"/>
        <w:ind w:left="0" w:firstLine="600"/>
        <w:rPr>
          <w:rFonts w:eastAsia="方正仿宋简体"/>
          <w:sz w:val="30"/>
          <w:szCs w:val="30"/>
        </w:rPr>
      </w:pPr>
      <w:r>
        <w:rPr>
          <w:rFonts w:eastAsia="方正仿宋简体"/>
          <w:sz w:val="30"/>
          <w:szCs w:val="30"/>
        </w:rPr>
        <w:t>其他导致备兑证券数量不足的情形。</w:t>
      </w:r>
    </w:p>
    <w:p>
      <w:pPr>
        <w:widowControl/>
        <w:spacing w:line="560" w:lineRule="exact"/>
        <w:ind w:firstLine="600" w:firstLineChars="200"/>
        <w:rPr>
          <w:rFonts w:eastAsia="方正仿宋简体"/>
          <w:sz w:val="30"/>
          <w:szCs w:val="30"/>
        </w:rPr>
      </w:pPr>
      <w:r>
        <w:rPr>
          <w:rFonts w:eastAsia="方正仿宋简体"/>
          <w:sz w:val="30"/>
          <w:szCs w:val="30"/>
        </w:rPr>
        <w:t>证券公司应实时关注交易日发生送股、配股等权益类变动的期权合约标的证券，提前提醒客户注意。并在除权除息日前一日收盘后，计算客户可能出现的备兑证券不足数量，及时提醒和通知客户注意补券及具体补券数量。</w:t>
      </w:r>
    </w:p>
    <w:p>
      <w:pPr>
        <w:widowControl/>
        <w:spacing w:line="560" w:lineRule="exact"/>
        <w:ind w:firstLine="600" w:firstLineChars="200"/>
        <w:rPr>
          <w:rFonts w:eastAsia="方正仿宋简体"/>
          <w:sz w:val="30"/>
          <w:szCs w:val="30"/>
        </w:rPr>
      </w:pPr>
      <w:r>
        <w:rPr>
          <w:rFonts w:eastAsia="方正仿宋简体"/>
          <w:sz w:val="30"/>
          <w:szCs w:val="30"/>
        </w:rPr>
        <w:t>当客户出现备兑证券数量不足，且未能在规定时间内补足并锁定标的证券或未能对不足部分头寸自行平仓时，中国结算日终按投资者备兑持仓未锁定差额计算需转普通仓（现金担保仓）数量，如果保证金不足且未在规定的时间内补足资金，证券公司有权按照保证金不足的情况对该客户进行强行平仓。</w:t>
      </w:r>
    </w:p>
    <w:p>
      <w:pPr>
        <w:pStyle w:val="5"/>
        <w:numPr>
          <w:ilvl w:val="0"/>
          <w:numId w:val="69"/>
        </w:numPr>
        <w:spacing w:before="0" w:after="0" w:line="560" w:lineRule="exact"/>
        <w:ind w:left="0" w:firstLine="601" w:firstLineChars="200"/>
        <w:rPr>
          <w:rFonts w:ascii="Times New Roman" w:hAnsi="Times New Roman" w:eastAsia="方正仿宋简体"/>
          <w:b w:val="0"/>
          <w:sz w:val="30"/>
          <w:szCs w:val="30"/>
        </w:rPr>
      </w:pPr>
      <w:bookmarkStart w:id="210" w:name="_Toc422331065"/>
      <w:bookmarkStart w:id="211" w:name="_Toc25049493"/>
      <w:r>
        <w:rPr>
          <w:rFonts w:ascii="Times New Roman" w:hAnsi="Times New Roman" w:eastAsia="方正仿宋简体"/>
          <w:sz w:val="30"/>
          <w:szCs w:val="30"/>
        </w:rPr>
        <w:t>持仓超限平仓</w:t>
      </w:r>
      <w:bookmarkEnd w:id="210"/>
      <w:bookmarkEnd w:id="211"/>
    </w:p>
    <w:p>
      <w:pPr>
        <w:pStyle w:val="7"/>
        <w:numPr>
          <w:ilvl w:val="0"/>
          <w:numId w:val="76"/>
        </w:numPr>
        <w:spacing w:before="0" w:after="0" w:line="560" w:lineRule="exact"/>
        <w:ind w:left="0" w:firstLine="601" w:firstLineChars="200"/>
        <w:rPr>
          <w:rFonts w:eastAsia="方正仿宋简体"/>
          <w:bCs w:val="0"/>
          <w:sz w:val="30"/>
          <w:szCs w:val="30"/>
        </w:rPr>
      </w:pPr>
      <w:r>
        <w:rPr>
          <w:rFonts w:eastAsia="方正仿宋简体"/>
          <w:bCs w:val="0"/>
          <w:sz w:val="30"/>
          <w:szCs w:val="30"/>
        </w:rPr>
        <w:t>触发条件</w:t>
      </w:r>
    </w:p>
    <w:p>
      <w:pPr>
        <w:pStyle w:val="8"/>
        <w:keepNext w:val="0"/>
        <w:keepLines w:val="0"/>
        <w:numPr>
          <w:ilvl w:val="0"/>
          <w:numId w:val="77"/>
        </w:numPr>
        <w:spacing w:before="0" w:after="0" w:line="560" w:lineRule="exact"/>
        <w:ind w:left="0" w:firstLine="601" w:firstLineChars="200"/>
        <w:rPr>
          <w:rFonts w:ascii="Times New Roman" w:hAnsi="Times New Roman" w:eastAsia="方正仿宋简体"/>
          <w:bCs w:val="0"/>
          <w:sz w:val="30"/>
          <w:szCs w:val="30"/>
        </w:rPr>
      </w:pPr>
      <w:r>
        <w:rPr>
          <w:rFonts w:ascii="Times New Roman" w:hAnsi="Times New Roman" w:eastAsia="方正仿宋简体"/>
          <w:bCs w:val="0"/>
          <w:sz w:val="30"/>
          <w:szCs w:val="30"/>
        </w:rPr>
        <w:t>证券公司自行发起的客户持仓超限平仓</w:t>
      </w:r>
    </w:p>
    <w:p>
      <w:pPr>
        <w:spacing w:line="560" w:lineRule="exact"/>
        <w:ind w:firstLine="600" w:firstLineChars="200"/>
        <w:rPr>
          <w:rFonts w:eastAsia="方正仿宋简体"/>
          <w:sz w:val="30"/>
          <w:szCs w:val="30"/>
        </w:rPr>
      </w:pPr>
      <w:r>
        <w:rPr>
          <w:rFonts w:eastAsia="方正仿宋简体"/>
          <w:sz w:val="30"/>
          <w:szCs w:val="30"/>
        </w:rPr>
        <w:t>客户单个合约品种超过证券公司与客户约定的持仓限额，且未能在规定时间内自行平仓，证券公司可实施强行平仓。</w:t>
      </w:r>
    </w:p>
    <w:p>
      <w:pPr>
        <w:spacing w:line="560" w:lineRule="exact"/>
        <w:ind w:firstLine="600" w:firstLineChars="200"/>
        <w:rPr>
          <w:rFonts w:eastAsia="方正仿宋简体"/>
          <w:sz w:val="30"/>
          <w:szCs w:val="30"/>
        </w:rPr>
      </w:pPr>
      <w:r>
        <w:rPr>
          <w:rFonts w:eastAsia="方正仿宋简体"/>
          <w:sz w:val="30"/>
          <w:szCs w:val="30"/>
        </w:rPr>
        <w:t>由于本所</w:t>
      </w:r>
      <w:r>
        <w:rPr>
          <w:rFonts w:eastAsia="方正仿宋简体"/>
          <w:bCs/>
          <w:sz w:val="30"/>
          <w:szCs w:val="30"/>
        </w:rPr>
        <w:t>采取风险控制措施等原因降低市场主体持仓限额、证券公司根据经纪合同约定对客户的持仓限额作出调整或者因</w:t>
      </w:r>
      <w:r>
        <w:rPr>
          <w:rFonts w:eastAsia="方正仿宋简体"/>
          <w:sz w:val="30"/>
          <w:szCs w:val="30"/>
        </w:rPr>
        <w:t>客户申请的持仓限额到期导致客户持仓超限，客户可以自行平仓，证券公司可不要求客户自行平仓，也不应对客户的超额持仓进行强行平仓，但对客户开仓将按新的持仓限额进行限制。</w:t>
      </w:r>
    </w:p>
    <w:p>
      <w:pPr>
        <w:pStyle w:val="8"/>
        <w:keepNext w:val="0"/>
        <w:keepLines w:val="0"/>
        <w:numPr>
          <w:ilvl w:val="0"/>
          <w:numId w:val="77"/>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sz w:val="30"/>
          <w:szCs w:val="30"/>
        </w:rPr>
        <w:t>证券公司按本所强平通知书进行强平</w:t>
      </w:r>
    </w:p>
    <w:p>
      <w:pPr>
        <w:spacing w:line="560" w:lineRule="exact"/>
        <w:ind w:firstLine="600" w:firstLineChars="200"/>
        <w:rPr>
          <w:rFonts w:eastAsia="方正仿宋简体"/>
          <w:sz w:val="30"/>
          <w:szCs w:val="30"/>
        </w:rPr>
      </w:pPr>
      <w:r>
        <w:rPr>
          <w:rFonts w:eastAsia="方正仿宋简体"/>
          <w:sz w:val="30"/>
          <w:szCs w:val="30"/>
        </w:rPr>
        <w:t>深市投资者可以在多家证券公司进行交易，可能存在单客户在任一家证券公司都未持仓超限，但合并持仓超限的情形。此时本所会向指定的证券公司发送</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，要求证券公司通知投资者自行平仓，如投资者未按要求自行平仓，证券公司应按交易所要求对其实施强平。</w:t>
      </w:r>
    </w:p>
    <w:p>
      <w:pPr>
        <w:pStyle w:val="7"/>
        <w:numPr>
          <w:ilvl w:val="0"/>
          <w:numId w:val="76"/>
        </w:numPr>
        <w:spacing w:before="0" w:after="0" w:line="560" w:lineRule="exact"/>
        <w:ind w:left="0" w:firstLine="601" w:firstLineChars="200"/>
        <w:rPr>
          <w:rFonts w:eastAsia="方正仿宋简体"/>
          <w:bCs w:val="0"/>
          <w:sz w:val="30"/>
          <w:szCs w:val="30"/>
        </w:rPr>
      </w:pPr>
      <w:r>
        <w:rPr>
          <w:rFonts w:eastAsia="方正仿宋简体"/>
          <w:bCs w:val="0"/>
          <w:sz w:val="30"/>
          <w:szCs w:val="30"/>
        </w:rPr>
        <w:t>平仓原则</w:t>
      </w:r>
    </w:p>
    <w:p>
      <w:pPr>
        <w:pStyle w:val="8"/>
        <w:keepNext w:val="0"/>
        <w:keepLines w:val="0"/>
        <w:numPr>
          <w:ilvl w:val="0"/>
          <w:numId w:val="78"/>
        </w:numPr>
        <w:spacing w:before="0" w:after="0" w:line="560" w:lineRule="exact"/>
        <w:ind w:left="0" w:firstLine="601" w:firstLineChars="200"/>
        <w:rPr>
          <w:rFonts w:ascii="Times New Roman" w:hAnsi="Times New Roman" w:eastAsia="方正仿宋简体"/>
          <w:bCs w:val="0"/>
          <w:sz w:val="30"/>
          <w:szCs w:val="30"/>
        </w:rPr>
      </w:pPr>
      <w:r>
        <w:rPr>
          <w:rFonts w:ascii="Times New Roman" w:hAnsi="Times New Roman" w:eastAsia="方正仿宋简体"/>
          <w:bCs w:val="0"/>
          <w:sz w:val="30"/>
          <w:szCs w:val="30"/>
        </w:rPr>
        <w:t>证券公司自行发起的客户持仓超限平仓</w:t>
      </w:r>
    </w:p>
    <w:p>
      <w:pPr>
        <w:spacing w:line="560" w:lineRule="exact"/>
        <w:ind w:firstLine="600" w:firstLineChars="200"/>
        <w:rPr>
          <w:rFonts w:eastAsia="方正仿宋简体"/>
          <w:sz w:val="30"/>
          <w:szCs w:val="30"/>
        </w:rPr>
      </w:pPr>
      <w:r>
        <w:rPr>
          <w:rFonts w:eastAsia="方正仿宋简体"/>
          <w:sz w:val="30"/>
          <w:szCs w:val="30"/>
        </w:rPr>
        <w:t>客户对单个合约品种持仓超限的，待平仓合约选择范围为在该合约品种中，优先选取客户总持仓量大的合约作为待平仓合约。</w:t>
      </w:r>
    </w:p>
    <w:p>
      <w:pPr>
        <w:spacing w:line="560" w:lineRule="exact"/>
        <w:ind w:firstLine="600" w:firstLineChars="200"/>
        <w:rPr>
          <w:rFonts w:eastAsia="方正仿宋简体"/>
          <w:sz w:val="30"/>
          <w:szCs w:val="30"/>
        </w:rPr>
      </w:pPr>
      <w:r>
        <w:rPr>
          <w:rFonts w:eastAsia="方正仿宋简体"/>
          <w:sz w:val="30"/>
          <w:szCs w:val="30"/>
        </w:rPr>
        <w:t>若客户同时发生权利仓超仓和总持仓超仓，本所按</w:t>
      </w:r>
      <w:r>
        <w:rPr>
          <w:rFonts w:hint="eastAsia" w:ascii="方正仿宋简体" w:eastAsia="方正仿宋简体"/>
          <w:sz w:val="30"/>
          <w:szCs w:val="30"/>
        </w:rPr>
        <w:t>“</w:t>
      </w:r>
      <w:r>
        <w:rPr>
          <w:rFonts w:eastAsia="方正仿宋简体"/>
          <w:sz w:val="30"/>
          <w:szCs w:val="30"/>
        </w:rPr>
        <w:t>先权利仓，后总持仓</w:t>
      </w:r>
      <w:r>
        <w:rPr>
          <w:rFonts w:hint="eastAsia" w:ascii="方正仿宋简体" w:eastAsia="方正仿宋简体"/>
          <w:sz w:val="30"/>
          <w:szCs w:val="30"/>
        </w:rPr>
        <w:t>”</w:t>
      </w:r>
      <w:r>
        <w:rPr>
          <w:rFonts w:eastAsia="方正仿宋简体"/>
          <w:sz w:val="30"/>
          <w:szCs w:val="30"/>
        </w:rPr>
        <w:t>的原则进行处理，先计算权利仓待平仓数量，再计算扣减权利仓待平仓数量后的总持仓待平仓数量；否则按各自情形单独处理。</w:t>
      </w:r>
    </w:p>
    <w:p>
      <w:pPr>
        <w:pStyle w:val="58"/>
        <w:numPr>
          <w:ilvl w:val="0"/>
          <w:numId w:val="79"/>
        </w:numPr>
        <w:spacing w:line="560" w:lineRule="exact"/>
        <w:ind w:left="0" w:firstLine="600"/>
        <w:rPr>
          <w:rFonts w:eastAsia="方正仿宋简体"/>
          <w:sz w:val="30"/>
          <w:szCs w:val="30"/>
        </w:rPr>
      </w:pPr>
      <w:r>
        <w:rPr>
          <w:rFonts w:eastAsia="方正仿宋简体"/>
          <w:sz w:val="30"/>
          <w:szCs w:val="30"/>
        </w:rPr>
        <w:t>权利仓持仓超限</w:t>
      </w:r>
    </w:p>
    <w:p>
      <w:pPr>
        <w:spacing w:line="560" w:lineRule="exact"/>
        <w:ind w:firstLine="600" w:firstLineChars="200"/>
        <w:rPr>
          <w:rFonts w:eastAsia="方正仿宋简体"/>
          <w:sz w:val="30"/>
          <w:szCs w:val="30"/>
        </w:rPr>
      </w:pPr>
      <w:r>
        <w:rPr>
          <w:rFonts w:eastAsia="方正仿宋简体"/>
          <w:sz w:val="30"/>
          <w:szCs w:val="30"/>
        </w:rPr>
        <w:t>若客户账户下单个期权品种权利仓持仓超限，证券公司可根据客户持有期权品种权利仓的合约持仓数量，按由大到小顺序选择合约进行平仓（如合约持仓数量相同，先按合约未平仓数量由大到小顺序，再按合约编码由小到大顺序），直至投资者权利仓超仓情形消除。</w:t>
      </w:r>
    </w:p>
    <w:p>
      <w:pPr>
        <w:pStyle w:val="58"/>
        <w:numPr>
          <w:ilvl w:val="0"/>
          <w:numId w:val="79"/>
        </w:numPr>
        <w:spacing w:line="560" w:lineRule="exact"/>
        <w:ind w:left="0" w:firstLine="600"/>
        <w:rPr>
          <w:rFonts w:eastAsia="方正仿宋简体"/>
          <w:sz w:val="30"/>
          <w:szCs w:val="30"/>
        </w:rPr>
      </w:pPr>
      <w:r>
        <w:rPr>
          <w:rFonts w:eastAsia="方正仿宋简体"/>
          <w:sz w:val="30"/>
          <w:szCs w:val="30"/>
        </w:rPr>
        <w:t>总持仓超限</w:t>
      </w:r>
    </w:p>
    <w:p>
      <w:pPr>
        <w:spacing w:line="560" w:lineRule="exact"/>
        <w:ind w:firstLine="600" w:firstLineChars="200"/>
        <w:rPr>
          <w:rFonts w:eastAsia="方正仿宋简体"/>
          <w:sz w:val="30"/>
          <w:szCs w:val="30"/>
        </w:rPr>
      </w:pPr>
      <w:r>
        <w:rPr>
          <w:rFonts w:eastAsia="方正仿宋简体"/>
          <w:sz w:val="30"/>
          <w:szCs w:val="30"/>
        </w:rPr>
        <w:t>若客户账户下单个期权品种总持仓超限，证券公司可根据客户持有期权品种合约数量，按由大到小顺序选择合约进行平仓（如合约持仓数量相同，先按先义务仓、后权利仓的顺序，再按该合约未平仓数量由大到小顺序，最后按合约编码由小到大顺序），直至投资者总持仓超仓情形消除。</w:t>
      </w:r>
    </w:p>
    <w:p>
      <w:pPr>
        <w:spacing w:line="560" w:lineRule="exact"/>
        <w:ind w:firstLine="600" w:firstLineChars="200"/>
        <w:rPr>
          <w:rFonts w:eastAsia="方正仿宋简体"/>
          <w:sz w:val="30"/>
          <w:szCs w:val="30"/>
        </w:rPr>
      </w:pPr>
      <w:r>
        <w:rPr>
          <w:rFonts w:eastAsia="方正仿宋简体"/>
          <w:sz w:val="30"/>
          <w:szCs w:val="30"/>
        </w:rPr>
        <w:t>对同一合约义务仓进行强行平仓的，证券公司可先对非备兑持仓进行强行平仓。</w:t>
      </w:r>
    </w:p>
    <w:p>
      <w:pPr>
        <w:pStyle w:val="8"/>
        <w:keepNext w:val="0"/>
        <w:keepLines w:val="0"/>
        <w:numPr>
          <w:ilvl w:val="0"/>
          <w:numId w:val="78"/>
        </w:numPr>
        <w:spacing w:before="0" w:after="0" w:line="560" w:lineRule="exact"/>
        <w:ind w:left="0" w:firstLine="601" w:firstLineChars="200"/>
        <w:rPr>
          <w:rFonts w:ascii="Times New Roman" w:hAnsi="Times New Roman" w:eastAsia="方正仿宋简体"/>
          <w:bCs w:val="0"/>
          <w:sz w:val="30"/>
          <w:szCs w:val="30"/>
        </w:rPr>
      </w:pPr>
      <w:r>
        <w:rPr>
          <w:rFonts w:ascii="Times New Roman" w:hAnsi="Times New Roman" w:eastAsia="方正仿宋简体"/>
          <w:bCs w:val="0"/>
          <w:sz w:val="30"/>
          <w:szCs w:val="30"/>
        </w:rPr>
        <w:t>本所发起的客户持仓超限平仓</w:t>
      </w:r>
    </w:p>
    <w:p>
      <w:pPr>
        <w:spacing w:line="560" w:lineRule="exact"/>
        <w:ind w:firstLine="600" w:firstLineChars="200"/>
        <w:rPr>
          <w:rFonts w:eastAsia="方正仿宋简体"/>
          <w:sz w:val="30"/>
          <w:szCs w:val="30"/>
        </w:rPr>
      </w:pPr>
      <w:r>
        <w:rPr>
          <w:rFonts w:eastAsia="方正仿宋简体"/>
          <w:sz w:val="30"/>
          <w:szCs w:val="30"/>
        </w:rPr>
        <w:t>投资者在多家证券公司处交易，合并计算仓位发生持仓超限情形，本所先计算权利仓待平仓总额，按照投资者在各证券公司权利仓持仓数量，由大到小顺序选择待平仓机构，分配各机构待平仓额度，并累积权利仓待平仓数量，直至其不低于权利仓待平仓总额。若权利仓待平仓额度分配完毕后，仍存在投资者总持仓超限情形，按权利仓待平仓机构顺序先选择已分配权利仓待平仓额度的证券公司，平仓次序按照总持仓由大到小顺序进行，不足部分在按相同顺序选择其他机构（如投资者于各证券公司总持仓相同，按单个合约持仓数量由大到小选择）做类似处理。</w:t>
      </w:r>
    </w:p>
    <w:p>
      <w:pPr>
        <w:pStyle w:val="7"/>
        <w:numPr>
          <w:ilvl w:val="0"/>
          <w:numId w:val="76"/>
        </w:numPr>
        <w:spacing w:before="0" w:after="0" w:line="560" w:lineRule="exact"/>
        <w:ind w:left="0" w:firstLine="601" w:firstLineChars="200"/>
        <w:rPr>
          <w:rFonts w:eastAsia="方正仿宋简体"/>
          <w:bCs w:val="0"/>
          <w:sz w:val="30"/>
          <w:szCs w:val="30"/>
        </w:rPr>
      </w:pPr>
      <w:r>
        <w:rPr>
          <w:rFonts w:eastAsia="方正仿宋简体"/>
          <w:bCs w:val="0"/>
          <w:sz w:val="30"/>
          <w:szCs w:val="30"/>
        </w:rPr>
        <w:t>平仓流程</w:t>
      </w:r>
    </w:p>
    <w:p>
      <w:pPr>
        <w:pStyle w:val="8"/>
        <w:keepNext w:val="0"/>
        <w:keepLines w:val="0"/>
        <w:numPr>
          <w:ilvl w:val="0"/>
          <w:numId w:val="80"/>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未收到本所</w:t>
      </w:r>
      <w:r>
        <w:rPr>
          <w:rFonts w:hint="eastAsia" w:ascii="方正仿宋简体" w:hAnsi="Times New Roman" w:eastAsia="方正仿宋简体"/>
          <w:bCs w:val="0"/>
          <w:sz w:val="30"/>
          <w:szCs w:val="30"/>
        </w:rPr>
        <w:t>“</w:t>
      </w:r>
      <w:r>
        <w:rPr>
          <w:rFonts w:ascii="Times New Roman" w:hAnsi="Times New Roman" w:eastAsia="方正仿宋简体"/>
          <w:bCs w:val="0"/>
          <w:sz w:val="30"/>
          <w:szCs w:val="30"/>
        </w:rPr>
        <w:t>强行平仓通知书</w:t>
      </w:r>
      <w:r>
        <w:rPr>
          <w:rFonts w:hint="eastAsia" w:ascii="方正仿宋简体" w:hAnsi="Times New Roman" w:eastAsia="方正仿宋简体"/>
          <w:bCs w:val="0"/>
          <w:sz w:val="30"/>
          <w:szCs w:val="30"/>
        </w:rPr>
        <w:t>”</w:t>
      </w:r>
      <w:r>
        <w:rPr>
          <w:rFonts w:ascii="Times New Roman" w:hAnsi="Times New Roman" w:eastAsia="方正仿宋简体"/>
          <w:bCs w:val="0"/>
          <w:sz w:val="30"/>
          <w:szCs w:val="30"/>
        </w:rPr>
        <w:t>情况下的强平</w:t>
      </w:r>
    </w:p>
    <w:p>
      <w:pPr>
        <w:spacing w:line="560" w:lineRule="exact"/>
        <w:ind w:firstLine="600" w:firstLineChars="200"/>
        <w:rPr>
          <w:rFonts w:eastAsia="方正仿宋简体"/>
          <w:sz w:val="30"/>
          <w:szCs w:val="30"/>
        </w:rPr>
      </w:pPr>
      <w:r>
        <w:rPr>
          <w:rFonts w:eastAsia="方正仿宋简体"/>
          <w:sz w:val="30"/>
          <w:szCs w:val="30"/>
        </w:rPr>
        <w:t>对持仓超限需要进行强行平仓的，证券公司应以电话、邮件、短信、交易端提醒等形式向客户发送</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，并要求客户在规定时间前自行平仓，否则公司将于约定时间实施强行平仓。</w:t>
      </w:r>
    </w:p>
    <w:p>
      <w:pPr>
        <w:pStyle w:val="8"/>
        <w:keepNext w:val="0"/>
        <w:keepLines w:val="0"/>
        <w:numPr>
          <w:ilvl w:val="0"/>
          <w:numId w:val="80"/>
        </w:numPr>
        <w:spacing w:before="0" w:after="0" w:line="560" w:lineRule="exact"/>
        <w:ind w:left="0" w:firstLine="601" w:firstLineChars="200"/>
        <w:rPr>
          <w:rFonts w:ascii="Times New Roman" w:hAnsi="Times New Roman" w:eastAsia="方正仿宋简体"/>
          <w:sz w:val="30"/>
          <w:szCs w:val="30"/>
        </w:rPr>
      </w:pPr>
      <w:r>
        <w:rPr>
          <w:rFonts w:ascii="Times New Roman" w:hAnsi="Times New Roman" w:eastAsia="方正仿宋简体"/>
          <w:bCs w:val="0"/>
          <w:sz w:val="30"/>
          <w:szCs w:val="30"/>
        </w:rPr>
        <w:t>收到本所</w:t>
      </w:r>
      <w:r>
        <w:rPr>
          <w:rFonts w:hint="eastAsia" w:ascii="方正仿宋简体" w:hAnsi="Times New Roman" w:eastAsia="方正仿宋简体"/>
          <w:bCs w:val="0"/>
          <w:sz w:val="30"/>
          <w:szCs w:val="30"/>
        </w:rPr>
        <w:t>“</w:t>
      </w:r>
      <w:r>
        <w:rPr>
          <w:rFonts w:ascii="Times New Roman" w:hAnsi="Times New Roman" w:eastAsia="方正仿宋简体"/>
          <w:bCs w:val="0"/>
          <w:sz w:val="30"/>
          <w:szCs w:val="30"/>
        </w:rPr>
        <w:t>强行平仓通知书</w:t>
      </w:r>
      <w:r>
        <w:rPr>
          <w:rFonts w:hint="eastAsia" w:ascii="方正仿宋简体" w:hAnsi="Times New Roman" w:eastAsia="方正仿宋简体"/>
          <w:bCs w:val="0"/>
          <w:sz w:val="30"/>
          <w:szCs w:val="30"/>
        </w:rPr>
        <w:t>”</w:t>
      </w:r>
      <w:r>
        <w:rPr>
          <w:rFonts w:ascii="Times New Roman" w:hAnsi="Times New Roman" w:eastAsia="方正仿宋简体"/>
          <w:bCs w:val="0"/>
          <w:sz w:val="30"/>
          <w:szCs w:val="30"/>
        </w:rPr>
        <w:t>情况下的强平</w:t>
      </w:r>
    </w:p>
    <w:p>
      <w:pPr>
        <w:spacing w:line="560" w:lineRule="exact"/>
        <w:ind w:firstLine="600" w:firstLineChars="200"/>
        <w:rPr>
          <w:rFonts w:eastAsia="方正仿宋简体"/>
          <w:b/>
          <w:sz w:val="30"/>
          <w:szCs w:val="30"/>
        </w:rPr>
      </w:pPr>
      <w:r>
        <w:rPr>
          <w:rFonts w:eastAsia="方正仿宋简体"/>
          <w:sz w:val="30"/>
          <w:szCs w:val="30"/>
        </w:rPr>
        <w:t>T日日终结算后，本所将投资者持仓超限情况通知证券公司，证券公司应以电话、邮件、短信、客户端等形式向客户发送</w:t>
      </w:r>
      <w:r>
        <w:rPr>
          <w:rFonts w:hint="eastAsia" w:ascii="方正仿宋简体" w:eastAsia="方正仿宋简体"/>
          <w:sz w:val="30"/>
          <w:szCs w:val="30"/>
        </w:rPr>
        <w:t>“</w:t>
      </w:r>
      <w:r>
        <w:rPr>
          <w:rFonts w:eastAsia="方正仿宋简体"/>
          <w:sz w:val="30"/>
          <w:szCs w:val="30"/>
        </w:rPr>
        <w:t>强行平仓通知书</w:t>
      </w:r>
      <w:r>
        <w:rPr>
          <w:rFonts w:hint="eastAsia" w:ascii="方正仿宋简体" w:eastAsia="方正仿宋简体"/>
          <w:sz w:val="30"/>
          <w:szCs w:val="30"/>
        </w:rPr>
        <w:t>”</w:t>
      </w:r>
      <w:r>
        <w:rPr>
          <w:rFonts w:eastAsia="方正仿宋简体"/>
          <w:sz w:val="30"/>
          <w:szCs w:val="30"/>
        </w:rPr>
        <w:t>，要求客户在规定时间前（比如T+1日10:30）自行平仓。否则证券公司应按照本所的要求对客户实施强行平仓。</w:t>
      </w:r>
    </w:p>
    <w:p>
      <w:pPr>
        <w:pStyle w:val="5"/>
        <w:numPr>
          <w:ilvl w:val="0"/>
          <w:numId w:val="69"/>
        </w:numPr>
        <w:spacing w:before="0" w:after="0" w:line="560" w:lineRule="exact"/>
        <w:ind w:left="0" w:firstLine="601" w:firstLineChars="200"/>
        <w:rPr>
          <w:rFonts w:ascii="Times New Roman" w:hAnsi="Times New Roman" w:eastAsia="方正仿宋简体"/>
          <w:b w:val="0"/>
          <w:sz w:val="30"/>
          <w:szCs w:val="30"/>
        </w:rPr>
      </w:pPr>
      <w:bookmarkStart w:id="212" w:name="_Toc25049494"/>
      <w:bookmarkStart w:id="213" w:name="_Toc422331066"/>
      <w:r>
        <w:rPr>
          <w:rFonts w:ascii="Times New Roman" w:hAnsi="Times New Roman" w:eastAsia="方正仿宋简体"/>
          <w:sz w:val="30"/>
          <w:szCs w:val="30"/>
        </w:rPr>
        <w:t>强行平仓指令</w:t>
      </w:r>
      <w:bookmarkEnd w:id="212"/>
      <w:bookmarkEnd w:id="213"/>
    </w:p>
    <w:p>
      <w:pPr>
        <w:spacing w:line="560" w:lineRule="exact"/>
        <w:ind w:firstLine="600" w:firstLineChars="200"/>
        <w:rPr>
          <w:rFonts w:eastAsia="方正仿宋简体"/>
          <w:sz w:val="30"/>
          <w:szCs w:val="30"/>
        </w:rPr>
      </w:pPr>
      <w:r>
        <w:rPr>
          <w:rFonts w:eastAsia="方正仿宋简体"/>
          <w:sz w:val="30"/>
          <w:szCs w:val="30"/>
        </w:rPr>
        <w:t>强行平仓申报订单指令应严格按照相关技术接口要求执行。经纪业务中由证券公司发起的强行平仓，订单指令中所有者类型（OwnerType）为</w:t>
      </w:r>
      <w:r>
        <w:rPr>
          <w:rFonts w:hint="eastAsia" w:ascii="方正仿宋简体" w:eastAsia="方正仿宋简体"/>
          <w:sz w:val="30"/>
          <w:szCs w:val="30"/>
        </w:rPr>
        <w:t>“</w:t>
      </w:r>
      <w:r>
        <w:rPr>
          <w:rFonts w:eastAsia="方正仿宋简体"/>
          <w:sz w:val="30"/>
          <w:szCs w:val="30"/>
        </w:rPr>
        <w:t>102=会员发起</w:t>
      </w:r>
      <w:r>
        <w:rPr>
          <w:rFonts w:hint="eastAsia" w:ascii="方正仿宋简体" w:eastAsia="方正仿宋简体"/>
          <w:sz w:val="30"/>
          <w:szCs w:val="30"/>
        </w:rPr>
        <w:t>”</w:t>
      </w:r>
      <w:r>
        <w:rPr>
          <w:rFonts w:eastAsia="方正仿宋简体"/>
          <w:sz w:val="30"/>
          <w:szCs w:val="30"/>
        </w:rPr>
        <w:t>。</w:t>
      </w:r>
    </w:p>
    <w:p>
      <w:pPr>
        <w:spacing w:line="560" w:lineRule="exact"/>
        <w:ind w:firstLine="600" w:firstLineChars="200"/>
        <w:rPr>
          <w:rFonts w:eastAsia="方正仿宋简体"/>
          <w:sz w:val="30"/>
          <w:szCs w:val="30"/>
        </w:rPr>
      </w:pPr>
      <w:r>
        <w:rPr>
          <w:rFonts w:eastAsia="方正仿宋简体"/>
          <w:sz w:val="30"/>
          <w:szCs w:val="30"/>
        </w:rPr>
        <w:t>本所或中国结算发起的强行平仓，成交回报中指令所有者类型按技术接口为</w:t>
      </w:r>
      <w:r>
        <w:rPr>
          <w:rFonts w:hint="eastAsia" w:ascii="方正仿宋简体" w:eastAsia="方正仿宋简体"/>
          <w:sz w:val="30"/>
          <w:szCs w:val="30"/>
        </w:rPr>
        <w:t>“</w:t>
      </w:r>
      <w:r>
        <w:rPr>
          <w:rFonts w:eastAsia="方正仿宋简体"/>
          <w:sz w:val="30"/>
          <w:szCs w:val="30"/>
        </w:rPr>
        <w:t>101=交易所发起</w:t>
      </w:r>
      <w:r>
        <w:rPr>
          <w:rFonts w:hint="eastAsia" w:ascii="方正仿宋简体" w:eastAsia="方正仿宋简体"/>
          <w:sz w:val="30"/>
          <w:szCs w:val="30"/>
        </w:rPr>
        <w:t>”</w:t>
      </w:r>
      <w:r>
        <w:rPr>
          <w:rFonts w:eastAsia="方正仿宋简体"/>
          <w:sz w:val="30"/>
          <w:szCs w:val="30"/>
        </w:rPr>
        <w:t>或</w:t>
      </w:r>
      <w:r>
        <w:rPr>
          <w:rFonts w:hint="eastAsia" w:ascii="方正仿宋简体" w:eastAsia="方正仿宋简体"/>
          <w:sz w:val="30"/>
          <w:szCs w:val="30"/>
        </w:rPr>
        <w:t>“</w:t>
      </w:r>
      <w:r>
        <w:rPr>
          <w:rFonts w:eastAsia="方正仿宋简体"/>
          <w:sz w:val="30"/>
          <w:szCs w:val="30"/>
        </w:rPr>
        <w:t>106=结算机构发起</w:t>
      </w:r>
      <w:r>
        <w:rPr>
          <w:rFonts w:hint="eastAsia" w:ascii="方正仿宋简体" w:eastAsia="方正仿宋简体"/>
          <w:sz w:val="30"/>
          <w:szCs w:val="30"/>
        </w:rPr>
        <w:t>”</w:t>
      </w:r>
      <w:r>
        <w:rPr>
          <w:rFonts w:eastAsia="方正仿宋简体"/>
          <w:sz w:val="30"/>
          <w:szCs w:val="30"/>
        </w:rPr>
        <w:t>。证券公司的技术系统应正确接收、处理和存储上述指令和回报数据。</w:t>
      </w:r>
    </w:p>
    <w:p>
      <w:pPr>
        <w:pStyle w:val="5"/>
        <w:numPr>
          <w:ilvl w:val="0"/>
          <w:numId w:val="69"/>
        </w:numPr>
        <w:spacing w:before="0" w:after="0" w:line="560" w:lineRule="exact"/>
        <w:ind w:left="0" w:firstLine="601" w:firstLineChars="200"/>
        <w:rPr>
          <w:rFonts w:ascii="Times New Roman" w:hAnsi="Times New Roman" w:eastAsia="方正仿宋简体"/>
          <w:b w:val="0"/>
          <w:sz w:val="30"/>
          <w:szCs w:val="30"/>
        </w:rPr>
      </w:pPr>
      <w:bookmarkStart w:id="214" w:name="_Toc25049495"/>
      <w:r>
        <w:rPr>
          <w:rFonts w:ascii="Times New Roman" w:hAnsi="Times New Roman" w:eastAsia="方正仿宋简体"/>
          <w:sz w:val="30"/>
          <w:szCs w:val="30"/>
        </w:rPr>
        <w:t>平仓操作顺序</w:t>
      </w:r>
      <w:bookmarkEnd w:id="214"/>
    </w:p>
    <w:p>
      <w:pPr>
        <w:spacing w:line="560" w:lineRule="exact"/>
        <w:ind w:firstLine="600" w:firstLineChars="200"/>
        <w:rPr>
          <w:rFonts w:eastAsia="方正仿宋简体"/>
          <w:sz w:val="30"/>
          <w:szCs w:val="30"/>
        </w:rPr>
      </w:pPr>
      <w:r>
        <w:rPr>
          <w:rFonts w:eastAsia="方正仿宋简体"/>
          <w:sz w:val="30"/>
          <w:szCs w:val="30"/>
        </w:rPr>
        <w:t>当证券公司因客户持仓超限原因决定实施强行平仓，同时因客户保证金不足情形实施强行平仓的，先对持仓超限情形实施强行平仓，再对保证金不足情形实施强行平仓。</w:t>
      </w:r>
    </w:p>
    <w:p>
      <w:pPr>
        <w:pStyle w:val="5"/>
        <w:numPr>
          <w:ilvl w:val="0"/>
          <w:numId w:val="69"/>
        </w:numPr>
        <w:spacing w:before="0" w:after="0" w:line="560" w:lineRule="exact"/>
        <w:ind w:left="0" w:firstLine="601" w:firstLineChars="200"/>
        <w:rPr>
          <w:rFonts w:ascii="Times New Roman" w:hAnsi="Times New Roman" w:eastAsia="方正仿宋简体"/>
          <w:b w:val="0"/>
          <w:sz w:val="30"/>
          <w:szCs w:val="30"/>
        </w:rPr>
      </w:pPr>
      <w:bookmarkStart w:id="215" w:name="_Toc422331067"/>
      <w:bookmarkStart w:id="216" w:name="_Toc25049496"/>
      <w:r>
        <w:rPr>
          <w:rFonts w:ascii="Times New Roman" w:hAnsi="Times New Roman" w:eastAsia="方正仿宋简体"/>
          <w:sz w:val="30"/>
          <w:szCs w:val="30"/>
        </w:rPr>
        <w:t>平仓有关的应急处理</w:t>
      </w:r>
      <w:bookmarkEnd w:id="215"/>
      <w:bookmarkEnd w:id="216"/>
    </w:p>
    <w:p>
      <w:pPr>
        <w:pStyle w:val="7"/>
        <w:numPr>
          <w:ilvl w:val="0"/>
          <w:numId w:val="81"/>
        </w:numPr>
        <w:spacing w:before="0" w:after="0" w:line="560" w:lineRule="exact"/>
        <w:ind w:left="0" w:firstLine="601" w:firstLineChars="200"/>
        <w:rPr>
          <w:rFonts w:eastAsia="方正仿宋简体"/>
          <w:sz w:val="30"/>
          <w:szCs w:val="30"/>
        </w:rPr>
      </w:pPr>
      <w:r>
        <w:rPr>
          <w:rFonts w:eastAsia="方正仿宋简体"/>
          <w:bCs w:val="0"/>
          <w:sz w:val="30"/>
          <w:szCs w:val="30"/>
        </w:rPr>
        <w:t>备用机制</w:t>
      </w:r>
    </w:p>
    <w:p>
      <w:pPr>
        <w:spacing w:line="560" w:lineRule="exact"/>
        <w:ind w:firstLine="600" w:firstLineChars="200"/>
        <w:rPr>
          <w:rFonts w:eastAsia="方正仿宋简体"/>
          <w:sz w:val="30"/>
          <w:szCs w:val="30"/>
        </w:rPr>
      </w:pPr>
      <w:r>
        <w:rPr>
          <w:rFonts w:eastAsia="方正仿宋简体"/>
          <w:sz w:val="30"/>
          <w:szCs w:val="30"/>
        </w:rPr>
        <w:t>证券公司强行平仓操作应通过期权业务系统执行。当强行平仓系统出现故障时，证券公司应配置备用机制。</w:t>
      </w:r>
    </w:p>
    <w:p>
      <w:pPr>
        <w:pStyle w:val="7"/>
        <w:numPr>
          <w:ilvl w:val="0"/>
          <w:numId w:val="81"/>
        </w:numPr>
        <w:spacing w:before="0" w:after="0" w:line="560" w:lineRule="exact"/>
        <w:ind w:left="0" w:firstLine="601" w:firstLineChars="200"/>
        <w:rPr>
          <w:rFonts w:eastAsia="方正仿宋简体"/>
          <w:sz w:val="30"/>
          <w:szCs w:val="30"/>
        </w:rPr>
      </w:pPr>
      <w:r>
        <w:rPr>
          <w:rFonts w:eastAsia="方正仿宋简体"/>
          <w:bCs w:val="0"/>
          <w:sz w:val="30"/>
          <w:szCs w:val="30"/>
        </w:rPr>
        <w:t>错单处理流程</w:t>
      </w:r>
    </w:p>
    <w:p>
      <w:pPr>
        <w:spacing w:line="560" w:lineRule="exact"/>
        <w:ind w:firstLine="600" w:firstLineChars="200"/>
        <w:rPr>
          <w:rFonts w:eastAsia="方正仿宋简体"/>
          <w:sz w:val="30"/>
          <w:szCs w:val="30"/>
        </w:rPr>
      </w:pPr>
      <w:r>
        <w:rPr>
          <w:rFonts w:eastAsia="方正仿宋简体"/>
          <w:sz w:val="30"/>
          <w:szCs w:val="30"/>
        </w:rPr>
        <w:t>强行平仓错单是指在实施强行平仓过程中，证券公司因误操作等原因，导致的错平、多平的平仓成交单。证券公司应与客户在期权经纪合同中约定强行平仓错单的情形及补偿办法。</w:t>
      </w:r>
    </w:p>
    <w:p>
      <w:pPr>
        <w:spacing w:line="560" w:lineRule="exact"/>
        <w:ind w:firstLine="600" w:firstLineChars="200"/>
        <w:rPr>
          <w:rFonts w:eastAsia="方正仿宋简体"/>
          <w:sz w:val="30"/>
          <w:szCs w:val="30"/>
        </w:rPr>
      </w:pPr>
      <w:r>
        <w:rPr>
          <w:rFonts w:eastAsia="方正仿宋简体"/>
          <w:kern w:val="0"/>
          <w:sz w:val="30"/>
          <w:szCs w:val="30"/>
        </w:rPr>
        <w:br w:type="page"/>
      </w: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217" w:name="_Toc25049497"/>
      <w:r>
        <w:rPr>
          <w:rFonts w:ascii="黑体" w:hAnsi="黑体" w:eastAsia="黑体"/>
          <w:bCs/>
          <w:sz w:val="30"/>
          <w:szCs w:val="30"/>
        </w:rPr>
        <w:t>行权交收管理</w:t>
      </w:r>
      <w:bookmarkEnd w:id="217"/>
    </w:p>
    <w:p>
      <w:pPr>
        <w:spacing w:line="560" w:lineRule="exact"/>
        <w:ind w:firstLine="600" w:firstLineChars="200"/>
        <w:rPr>
          <w:rFonts w:eastAsia="方正仿宋简体"/>
          <w:sz w:val="30"/>
          <w:szCs w:val="30"/>
        </w:rPr>
      </w:pPr>
      <w:r>
        <w:rPr>
          <w:rFonts w:eastAsia="方正仿宋简体"/>
          <w:sz w:val="30"/>
          <w:szCs w:val="30"/>
        </w:rPr>
        <w:t>证券公司在期权合约最后交易日前对临近到期合约、潜在违约风险值进行监控，并对相应客户进行预警；在期权合约行权日的次一交易日，对认购期权义务方、认沽期权义务方的交收风险值进行监控，并采取相应的处置措施。</w:t>
      </w:r>
    </w:p>
    <w:p>
      <w:pPr>
        <w:pStyle w:val="5"/>
        <w:numPr>
          <w:ilvl w:val="0"/>
          <w:numId w:val="82"/>
        </w:numPr>
        <w:spacing w:before="0" w:after="0" w:line="560" w:lineRule="exact"/>
        <w:ind w:left="0" w:firstLine="601" w:firstLineChars="200"/>
        <w:rPr>
          <w:rFonts w:ascii="Times New Roman" w:hAnsi="Times New Roman" w:eastAsia="方正仿宋简体"/>
          <w:sz w:val="30"/>
          <w:szCs w:val="30"/>
        </w:rPr>
      </w:pPr>
      <w:bookmarkStart w:id="218" w:name="_Toc25049498"/>
      <w:r>
        <w:rPr>
          <w:rFonts w:ascii="Times New Roman" w:hAnsi="Times New Roman" w:eastAsia="方正仿宋简体"/>
          <w:sz w:val="30"/>
          <w:szCs w:val="30"/>
        </w:rPr>
        <w:t>投资者持仓合约的行权提醒</w:t>
      </w:r>
      <w:bookmarkEnd w:id="218"/>
    </w:p>
    <w:p>
      <w:pPr>
        <w:pStyle w:val="7"/>
        <w:numPr>
          <w:ilvl w:val="0"/>
          <w:numId w:val="83"/>
        </w:numPr>
        <w:spacing w:before="0" w:after="0" w:line="560" w:lineRule="exact"/>
        <w:ind w:left="0" w:firstLine="601" w:firstLineChars="200"/>
        <w:rPr>
          <w:rFonts w:eastAsia="方正仿宋简体"/>
          <w:bCs w:val="0"/>
          <w:sz w:val="30"/>
          <w:szCs w:val="30"/>
        </w:rPr>
      </w:pPr>
      <w:r>
        <w:rPr>
          <w:rFonts w:eastAsia="方正仿宋简体"/>
          <w:bCs w:val="0"/>
          <w:sz w:val="30"/>
          <w:szCs w:val="30"/>
        </w:rPr>
        <w:t>期权合约临近到期提醒</w:t>
      </w:r>
    </w:p>
    <w:p>
      <w:pPr>
        <w:spacing w:line="560" w:lineRule="exact"/>
        <w:ind w:firstLine="600" w:firstLineChars="200"/>
        <w:rPr>
          <w:rFonts w:eastAsia="方正仿宋简体"/>
          <w:sz w:val="30"/>
          <w:szCs w:val="30"/>
        </w:rPr>
      </w:pPr>
      <w:r>
        <w:rPr>
          <w:rFonts w:eastAsia="方正仿宋简体"/>
          <w:sz w:val="30"/>
          <w:szCs w:val="30"/>
        </w:rPr>
        <w:t>证券公司应在期权合约临近到期日前至少3个交易日至到期日，每日通过短信、邮件和交易客户端等形式（至少采用两种形式）进行提醒。</w:t>
      </w:r>
    </w:p>
    <w:p>
      <w:pPr>
        <w:pStyle w:val="7"/>
        <w:numPr>
          <w:ilvl w:val="0"/>
          <w:numId w:val="83"/>
        </w:numPr>
        <w:spacing w:before="0" w:after="0" w:line="560" w:lineRule="exact"/>
        <w:ind w:left="0" w:firstLine="601" w:firstLineChars="200"/>
        <w:rPr>
          <w:rFonts w:eastAsia="方正仿宋简体"/>
          <w:bCs w:val="0"/>
          <w:sz w:val="30"/>
          <w:szCs w:val="30"/>
        </w:rPr>
      </w:pPr>
      <w:r>
        <w:rPr>
          <w:rFonts w:eastAsia="方正仿宋简体"/>
          <w:bCs w:val="0"/>
          <w:sz w:val="30"/>
          <w:szCs w:val="30"/>
        </w:rPr>
        <w:t>投资者持有临近到期合约提醒</w:t>
      </w:r>
    </w:p>
    <w:p>
      <w:pPr>
        <w:spacing w:line="560" w:lineRule="exact"/>
        <w:ind w:firstLine="600" w:firstLineChars="200"/>
        <w:rPr>
          <w:rFonts w:eastAsia="方正仿宋简体"/>
          <w:sz w:val="30"/>
          <w:szCs w:val="30"/>
        </w:rPr>
      </w:pPr>
      <w:r>
        <w:rPr>
          <w:rFonts w:eastAsia="方正仿宋简体"/>
          <w:sz w:val="30"/>
          <w:szCs w:val="30"/>
        </w:rPr>
        <w:t>证券公司可在期权合约临近到期日前5个交易日至到期日，每日对下列投资者进行提醒：（1）持有虚值期权合约的权利方；（2）持有实值期权合约的义务方。</w:t>
      </w:r>
    </w:p>
    <w:p>
      <w:pPr>
        <w:pStyle w:val="5"/>
        <w:numPr>
          <w:ilvl w:val="0"/>
          <w:numId w:val="82"/>
        </w:numPr>
        <w:spacing w:before="0" w:after="0" w:line="560" w:lineRule="exact"/>
        <w:ind w:left="0" w:firstLine="601" w:firstLineChars="200"/>
        <w:rPr>
          <w:rFonts w:ascii="Times New Roman" w:hAnsi="Times New Roman" w:eastAsia="方正仿宋简体"/>
          <w:sz w:val="30"/>
          <w:szCs w:val="30"/>
        </w:rPr>
      </w:pPr>
      <w:bookmarkStart w:id="219" w:name="_Toc25049499"/>
      <w:r>
        <w:rPr>
          <w:rFonts w:ascii="Times New Roman" w:hAnsi="Times New Roman" w:eastAsia="方正仿宋简体"/>
          <w:sz w:val="30"/>
          <w:szCs w:val="30"/>
        </w:rPr>
        <w:t>投资者行权日风险管理</w:t>
      </w:r>
      <w:bookmarkEnd w:id="219"/>
    </w:p>
    <w:p>
      <w:pPr>
        <w:keepNext/>
        <w:keepLines/>
        <w:numPr>
          <w:ilvl w:val="0"/>
          <w:numId w:val="84"/>
        </w:numPr>
        <w:spacing w:line="560" w:lineRule="exact"/>
        <w:ind w:left="0" w:firstLine="601" w:firstLineChars="200"/>
        <w:outlineLvl w:val="2"/>
        <w:rPr>
          <w:rFonts w:eastAsia="方正仿宋简体"/>
          <w:b/>
          <w:sz w:val="30"/>
          <w:szCs w:val="30"/>
        </w:rPr>
      </w:pPr>
      <w:r>
        <w:rPr>
          <w:rFonts w:eastAsia="方正仿宋简体"/>
          <w:b/>
          <w:sz w:val="30"/>
          <w:szCs w:val="30"/>
        </w:rPr>
        <w:t>未平仓权利仓行权</w:t>
      </w:r>
    </w:p>
    <w:p>
      <w:pPr>
        <w:spacing w:line="560" w:lineRule="exact"/>
        <w:ind w:firstLine="600" w:firstLineChars="200"/>
        <w:rPr>
          <w:rFonts w:eastAsia="方正仿宋简体"/>
          <w:sz w:val="30"/>
          <w:szCs w:val="30"/>
        </w:rPr>
      </w:pPr>
      <w:r>
        <w:rPr>
          <w:rFonts w:eastAsia="方正仿宋简体"/>
          <w:sz w:val="30"/>
          <w:szCs w:val="30"/>
        </w:rPr>
        <w:t>行权日15:00-15:30，投资者可行权数量应为未平仓权利仓数量（包括已申报未成交数量）。</w:t>
      </w:r>
    </w:p>
    <w:p>
      <w:pPr>
        <w:spacing w:line="560" w:lineRule="exact"/>
        <w:ind w:firstLine="600" w:firstLineChars="200"/>
        <w:rPr>
          <w:rFonts w:eastAsia="方正仿宋简体"/>
          <w:sz w:val="30"/>
          <w:szCs w:val="30"/>
        </w:rPr>
      </w:pPr>
      <w:r>
        <w:rPr>
          <w:rFonts w:eastAsia="方正仿宋简体"/>
          <w:sz w:val="30"/>
          <w:szCs w:val="30"/>
        </w:rPr>
        <w:t>证券公司应完善相应的技术系统，确保行权日当天申报未成交的数量在15:00-15:30可行权。</w:t>
      </w:r>
    </w:p>
    <w:p>
      <w:pPr>
        <w:keepNext/>
        <w:keepLines/>
        <w:numPr>
          <w:ilvl w:val="0"/>
          <w:numId w:val="84"/>
        </w:numPr>
        <w:spacing w:line="560" w:lineRule="exact"/>
        <w:ind w:left="0" w:firstLine="601" w:firstLineChars="200"/>
        <w:outlineLvl w:val="2"/>
        <w:rPr>
          <w:rFonts w:eastAsia="方正仿宋简体"/>
          <w:b/>
          <w:sz w:val="30"/>
          <w:szCs w:val="30"/>
        </w:rPr>
      </w:pPr>
      <w:r>
        <w:rPr>
          <w:rFonts w:eastAsia="方正仿宋简体"/>
          <w:b/>
          <w:sz w:val="30"/>
          <w:szCs w:val="30"/>
        </w:rPr>
        <w:t>认购、认沽同时行权</w:t>
      </w:r>
    </w:p>
    <w:p>
      <w:pPr>
        <w:spacing w:line="560" w:lineRule="exact"/>
        <w:ind w:firstLine="600" w:firstLineChars="200"/>
        <w:rPr>
          <w:rFonts w:eastAsia="方正仿宋简体"/>
          <w:sz w:val="30"/>
          <w:szCs w:val="30"/>
        </w:rPr>
      </w:pPr>
      <w:r>
        <w:rPr>
          <w:rFonts w:eastAsia="方正仿宋简体"/>
          <w:sz w:val="30"/>
          <w:szCs w:val="30"/>
        </w:rPr>
        <w:t>行权日同时提出认购期权行权和认沽期权行权的投资者，若行权同时有效，行权指派后中国结算按照轧差计算该投资者需要交付的资金和标的证券。</w:t>
      </w:r>
    </w:p>
    <w:p>
      <w:pPr>
        <w:keepNext/>
        <w:keepLines/>
        <w:numPr>
          <w:ilvl w:val="0"/>
          <w:numId w:val="84"/>
        </w:numPr>
        <w:spacing w:line="560" w:lineRule="exact"/>
        <w:ind w:left="0" w:firstLine="601" w:firstLineChars="200"/>
        <w:outlineLvl w:val="2"/>
        <w:rPr>
          <w:rFonts w:eastAsia="方正仿宋简体"/>
          <w:b/>
          <w:sz w:val="30"/>
          <w:szCs w:val="30"/>
        </w:rPr>
      </w:pPr>
      <w:r>
        <w:rPr>
          <w:rFonts w:eastAsia="方正仿宋简体"/>
          <w:b/>
          <w:sz w:val="30"/>
          <w:szCs w:val="30"/>
        </w:rPr>
        <w:t>虚值期权行权风险提醒</w:t>
      </w:r>
    </w:p>
    <w:p>
      <w:pPr>
        <w:spacing w:line="560" w:lineRule="exact"/>
        <w:ind w:firstLine="600" w:firstLineChars="200"/>
        <w:rPr>
          <w:rFonts w:eastAsia="方正仿宋简体"/>
          <w:sz w:val="30"/>
          <w:szCs w:val="30"/>
        </w:rPr>
      </w:pPr>
      <w:r>
        <w:rPr>
          <w:rFonts w:eastAsia="方正仿宋简体"/>
          <w:sz w:val="30"/>
          <w:szCs w:val="30"/>
        </w:rPr>
        <w:t>在行权日，如果投资者对持有的虚值期权（以合约标的实时价格计算）提交行权指令，证券公司应在客户交易终端的下单界面提醒投资者，合约为虚值的行权风险。</w:t>
      </w:r>
    </w:p>
    <w:p>
      <w:pPr>
        <w:keepNext/>
        <w:keepLines/>
        <w:numPr>
          <w:ilvl w:val="0"/>
          <w:numId w:val="84"/>
        </w:numPr>
        <w:spacing w:line="560" w:lineRule="exact"/>
        <w:ind w:left="0" w:firstLine="601" w:firstLineChars="200"/>
        <w:outlineLvl w:val="2"/>
        <w:rPr>
          <w:rFonts w:eastAsia="方正仿宋简体"/>
          <w:b/>
          <w:sz w:val="30"/>
          <w:szCs w:val="30"/>
        </w:rPr>
      </w:pPr>
      <w:r>
        <w:rPr>
          <w:rFonts w:eastAsia="方正仿宋简体"/>
          <w:b/>
          <w:sz w:val="30"/>
          <w:szCs w:val="30"/>
        </w:rPr>
        <w:t>协议行权服务</w:t>
      </w:r>
    </w:p>
    <w:p>
      <w:pPr>
        <w:spacing w:line="560" w:lineRule="exact"/>
        <w:ind w:firstLine="600" w:firstLineChars="200"/>
        <w:rPr>
          <w:rFonts w:eastAsia="方正仿宋简体"/>
          <w:sz w:val="30"/>
          <w:szCs w:val="30"/>
        </w:rPr>
      </w:pPr>
      <w:r>
        <w:rPr>
          <w:rFonts w:eastAsia="方正仿宋简体"/>
          <w:sz w:val="30"/>
          <w:szCs w:val="30"/>
        </w:rPr>
        <w:t>证券公司应当向投资者提供</w:t>
      </w:r>
      <w:r>
        <w:rPr>
          <w:rFonts w:hint="eastAsia" w:ascii="方正仿宋简体" w:eastAsia="方正仿宋简体"/>
          <w:sz w:val="30"/>
          <w:szCs w:val="30"/>
        </w:rPr>
        <w:t>“</w:t>
      </w:r>
      <w:r>
        <w:rPr>
          <w:rFonts w:eastAsia="方正仿宋简体"/>
          <w:sz w:val="30"/>
          <w:szCs w:val="30"/>
        </w:rPr>
        <w:t>协议行权</w:t>
      </w:r>
      <w:r>
        <w:rPr>
          <w:rFonts w:hint="eastAsia" w:ascii="方正仿宋简体" w:eastAsia="方正仿宋简体"/>
          <w:sz w:val="30"/>
          <w:szCs w:val="30"/>
        </w:rPr>
        <w:t>”</w:t>
      </w:r>
      <w:r>
        <w:rPr>
          <w:rFonts w:eastAsia="方正仿宋简体"/>
          <w:sz w:val="30"/>
          <w:szCs w:val="30"/>
        </w:rPr>
        <w:t>服务。详见本指南中关于协议行权的内容。</w:t>
      </w:r>
    </w:p>
    <w:p>
      <w:pPr>
        <w:keepNext/>
        <w:keepLines/>
        <w:numPr>
          <w:ilvl w:val="0"/>
          <w:numId w:val="84"/>
        </w:numPr>
        <w:spacing w:line="560" w:lineRule="exact"/>
        <w:ind w:left="0" w:firstLine="601" w:firstLineChars="200"/>
        <w:outlineLvl w:val="2"/>
        <w:rPr>
          <w:rFonts w:eastAsia="方正仿宋简体"/>
          <w:b/>
          <w:sz w:val="30"/>
          <w:szCs w:val="30"/>
        </w:rPr>
      </w:pPr>
      <w:r>
        <w:rPr>
          <w:rFonts w:eastAsia="方正仿宋简体"/>
          <w:b/>
          <w:sz w:val="30"/>
          <w:szCs w:val="30"/>
        </w:rPr>
        <w:t>认购期权权利仓行权监控</w:t>
      </w:r>
    </w:p>
    <w:p>
      <w:pPr>
        <w:spacing w:line="560" w:lineRule="exact"/>
        <w:ind w:firstLine="600" w:firstLineChars="200"/>
        <w:rPr>
          <w:rFonts w:eastAsia="方正仿宋简体"/>
          <w:sz w:val="30"/>
          <w:szCs w:val="30"/>
        </w:rPr>
      </w:pPr>
      <w:r>
        <w:rPr>
          <w:rFonts w:eastAsia="方正仿宋简体"/>
          <w:sz w:val="30"/>
          <w:szCs w:val="30"/>
        </w:rPr>
        <w:t>在行权日，客户对持有的认购期权权利仓提交行权指令时，证券公司可根据自身风险管理与资金管理情况对客户的行权有效性进行前端控制，前端控制的参考方案如下：</w:t>
      </w:r>
    </w:p>
    <w:p>
      <w:pPr>
        <w:numPr>
          <w:ilvl w:val="0"/>
          <w:numId w:val="85"/>
        </w:numPr>
        <w:spacing w:line="560" w:lineRule="exact"/>
        <w:ind w:left="0" w:firstLine="601" w:firstLineChars="200"/>
        <w:outlineLvl w:val="3"/>
        <w:rPr>
          <w:rFonts w:eastAsia="方正仿宋简体"/>
          <w:b/>
          <w:sz w:val="30"/>
          <w:szCs w:val="30"/>
        </w:rPr>
      </w:pPr>
      <w:r>
        <w:rPr>
          <w:rFonts w:eastAsia="方正仿宋简体"/>
          <w:b/>
          <w:sz w:val="30"/>
          <w:szCs w:val="30"/>
        </w:rPr>
        <w:t>合约持仓数量监控</w:t>
      </w:r>
    </w:p>
    <w:p>
      <w:pPr>
        <w:spacing w:line="560" w:lineRule="exact"/>
        <w:ind w:firstLine="600" w:firstLineChars="200"/>
        <w:rPr>
          <w:rFonts w:eastAsia="方正仿宋简体"/>
          <w:sz w:val="30"/>
          <w:szCs w:val="30"/>
        </w:rPr>
      </w:pPr>
      <w:r>
        <w:rPr>
          <w:rFonts w:eastAsia="方正仿宋简体"/>
          <w:sz w:val="30"/>
          <w:szCs w:val="30"/>
        </w:rPr>
        <w:t>检验行权申报数量是否超过客户行权申报时的合约持仓数量。如果行权申报数量大于客户合约持仓数量，行权申报无效。</w:t>
      </w:r>
    </w:p>
    <w:p>
      <w:pPr>
        <w:numPr>
          <w:ilvl w:val="0"/>
          <w:numId w:val="85"/>
        </w:numPr>
        <w:spacing w:line="560" w:lineRule="exact"/>
        <w:ind w:left="0" w:firstLine="601" w:firstLineChars="200"/>
        <w:outlineLvl w:val="3"/>
        <w:rPr>
          <w:rFonts w:eastAsia="方正仿宋简体"/>
          <w:b/>
          <w:sz w:val="30"/>
          <w:szCs w:val="30"/>
        </w:rPr>
      </w:pPr>
      <w:r>
        <w:rPr>
          <w:rFonts w:eastAsia="方正仿宋简体"/>
          <w:b/>
          <w:sz w:val="30"/>
          <w:szCs w:val="30"/>
        </w:rPr>
        <w:t>行权可用资金监控</w:t>
      </w:r>
    </w:p>
    <w:p>
      <w:pPr>
        <w:spacing w:line="560" w:lineRule="exact"/>
        <w:ind w:firstLine="600" w:firstLineChars="200"/>
        <w:rPr>
          <w:rFonts w:eastAsia="方正仿宋简体"/>
          <w:sz w:val="30"/>
          <w:szCs w:val="30"/>
        </w:rPr>
      </w:pPr>
      <w:r>
        <w:rPr>
          <w:rFonts w:eastAsia="方正仿宋简体"/>
          <w:sz w:val="30"/>
          <w:szCs w:val="30"/>
        </w:rPr>
        <w:t>行权可用资金定义为客户保证金总额中可用于行权的最大资金额度。计算方法举例如下：</w:t>
      </w:r>
    </w:p>
    <w:p>
      <w:pPr>
        <w:spacing w:line="560" w:lineRule="exact"/>
        <w:ind w:firstLine="600" w:firstLineChars="200"/>
        <w:rPr>
          <w:rFonts w:eastAsia="方正仿宋简体"/>
          <w:sz w:val="30"/>
          <w:szCs w:val="30"/>
        </w:rPr>
      </w:pPr>
      <w:r>
        <w:rPr>
          <w:rFonts w:eastAsia="方正仿宋简体"/>
          <w:sz w:val="30"/>
          <w:szCs w:val="30"/>
        </w:rPr>
        <w:t>行权可用资金=客户保证金总额-（按照公司保证金水平计算的客户实时价格保证金/公司盘中追保线）-其他冻结资金</w:t>
      </w:r>
    </w:p>
    <w:p>
      <w:pPr>
        <w:spacing w:line="560" w:lineRule="exact"/>
        <w:ind w:firstLine="600" w:firstLineChars="200"/>
        <w:rPr>
          <w:rFonts w:eastAsia="方正仿宋简体"/>
          <w:sz w:val="30"/>
          <w:szCs w:val="30"/>
        </w:rPr>
      </w:pPr>
      <w:r>
        <w:rPr>
          <w:rFonts w:eastAsia="方正仿宋简体"/>
          <w:sz w:val="30"/>
          <w:szCs w:val="30"/>
        </w:rPr>
        <w:t>公式中公司盘中追保线可用公司盘中平仓线代替，具体计算方法由证券公司自行确定，计算方法及结果需要明确告知客户。</w:t>
      </w:r>
    </w:p>
    <w:p>
      <w:pPr>
        <w:numPr>
          <w:ilvl w:val="0"/>
          <w:numId w:val="85"/>
        </w:numPr>
        <w:spacing w:line="560" w:lineRule="exact"/>
        <w:ind w:left="0" w:firstLine="601" w:firstLineChars="200"/>
        <w:outlineLvl w:val="3"/>
        <w:rPr>
          <w:rFonts w:eastAsia="方正仿宋简体"/>
          <w:b/>
          <w:sz w:val="30"/>
          <w:szCs w:val="30"/>
        </w:rPr>
      </w:pPr>
      <w:r>
        <w:rPr>
          <w:rFonts w:eastAsia="方正仿宋简体"/>
          <w:b/>
          <w:sz w:val="30"/>
          <w:szCs w:val="30"/>
        </w:rPr>
        <w:t>行权合约和应付资金冻结</w:t>
      </w:r>
    </w:p>
    <w:p>
      <w:pPr>
        <w:spacing w:line="560" w:lineRule="exact"/>
        <w:ind w:firstLine="600" w:firstLineChars="200"/>
        <w:rPr>
          <w:rFonts w:eastAsia="方正仿宋简体"/>
          <w:sz w:val="30"/>
          <w:szCs w:val="30"/>
        </w:rPr>
      </w:pPr>
      <w:r>
        <w:rPr>
          <w:rFonts w:eastAsia="方正仿宋简体"/>
          <w:sz w:val="30"/>
          <w:szCs w:val="30"/>
        </w:rPr>
        <w:t>证券公司根据行权可用资金确定有效行权申报数量，并冻结有效行权申报合约和行权应付资金。行权应付资金冻结后，客户保证金总额减少，其他用途冻结资金增加。</w:t>
      </w:r>
    </w:p>
    <w:p>
      <w:pPr>
        <w:keepNext/>
        <w:keepLines/>
        <w:numPr>
          <w:ilvl w:val="0"/>
          <w:numId w:val="84"/>
        </w:numPr>
        <w:spacing w:line="560" w:lineRule="exact"/>
        <w:ind w:left="0" w:firstLine="601" w:firstLineChars="200"/>
        <w:outlineLvl w:val="2"/>
        <w:rPr>
          <w:rFonts w:eastAsia="方正仿宋简体"/>
          <w:b/>
          <w:sz w:val="30"/>
          <w:szCs w:val="30"/>
        </w:rPr>
      </w:pPr>
      <w:r>
        <w:rPr>
          <w:rFonts w:eastAsia="方正仿宋简体"/>
          <w:b/>
          <w:sz w:val="30"/>
          <w:szCs w:val="30"/>
        </w:rPr>
        <w:t>认沽期权权利仓行权监控</w:t>
      </w:r>
    </w:p>
    <w:p>
      <w:pPr>
        <w:spacing w:line="560" w:lineRule="exact"/>
        <w:ind w:firstLine="600" w:firstLineChars="200"/>
        <w:rPr>
          <w:rFonts w:eastAsia="方正仿宋简体"/>
          <w:sz w:val="30"/>
          <w:szCs w:val="30"/>
        </w:rPr>
      </w:pPr>
      <w:r>
        <w:rPr>
          <w:rFonts w:eastAsia="方正仿宋简体"/>
          <w:sz w:val="30"/>
          <w:szCs w:val="30"/>
        </w:rPr>
        <w:t>在行权日，客户对持有的认沽期权权利仓提交行权申报时，证券公司需根据自身风险管理与资金管理情况对客户的行权有效性进行前端控制。行权有效性前端控制的参考方案如下：</w:t>
      </w:r>
    </w:p>
    <w:p>
      <w:pPr>
        <w:numPr>
          <w:ilvl w:val="0"/>
          <w:numId w:val="86"/>
        </w:numPr>
        <w:spacing w:line="560" w:lineRule="exact"/>
        <w:ind w:left="0" w:firstLine="601" w:firstLineChars="200"/>
        <w:outlineLvl w:val="3"/>
        <w:rPr>
          <w:rFonts w:eastAsia="方正仿宋简体"/>
          <w:b/>
          <w:sz w:val="30"/>
          <w:szCs w:val="30"/>
        </w:rPr>
      </w:pPr>
      <w:r>
        <w:rPr>
          <w:rFonts w:eastAsia="方正仿宋简体"/>
          <w:b/>
          <w:sz w:val="30"/>
          <w:szCs w:val="30"/>
        </w:rPr>
        <w:t>合约持仓数量监控</w:t>
      </w:r>
    </w:p>
    <w:p>
      <w:pPr>
        <w:spacing w:line="560" w:lineRule="exact"/>
        <w:ind w:firstLine="600" w:firstLineChars="200"/>
        <w:rPr>
          <w:rFonts w:eastAsia="方正仿宋简体"/>
          <w:sz w:val="30"/>
          <w:szCs w:val="30"/>
        </w:rPr>
      </w:pPr>
      <w:r>
        <w:rPr>
          <w:rFonts w:eastAsia="方正仿宋简体"/>
          <w:sz w:val="30"/>
          <w:szCs w:val="30"/>
        </w:rPr>
        <w:t>检验行权申报数量是否超过客户行权申报时的合约持仓数量。如果行权申报数量大于客户合约持仓数量，行权申报无效。</w:t>
      </w:r>
    </w:p>
    <w:p>
      <w:pPr>
        <w:numPr>
          <w:ilvl w:val="0"/>
          <w:numId w:val="86"/>
        </w:numPr>
        <w:spacing w:line="560" w:lineRule="exact"/>
        <w:ind w:left="0" w:firstLine="601" w:firstLineChars="200"/>
        <w:outlineLvl w:val="3"/>
        <w:rPr>
          <w:rFonts w:eastAsia="方正仿宋简体"/>
          <w:b/>
          <w:sz w:val="30"/>
          <w:szCs w:val="30"/>
        </w:rPr>
      </w:pPr>
      <w:r>
        <w:rPr>
          <w:rFonts w:eastAsia="方正仿宋简体"/>
          <w:b/>
          <w:sz w:val="30"/>
          <w:szCs w:val="30"/>
        </w:rPr>
        <w:t>标的证券足额监控</w:t>
      </w:r>
    </w:p>
    <w:p>
      <w:pPr>
        <w:spacing w:line="560" w:lineRule="exact"/>
        <w:ind w:firstLine="600" w:firstLineChars="200"/>
        <w:rPr>
          <w:rFonts w:eastAsia="方正仿宋简体"/>
          <w:sz w:val="30"/>
          <w:szCs w:val="30"/>
        </w:rPr>
      </w:pPr>
      <w:r>
        <w:rPr>
          <w:rFonts w:eastAsia="方正仿宋简体"/>
          <w:sz w:val="30"/>
          <w:szCs w:val="30"/>
        </w:rPr>
        <w:t>检验客户在其行权衍生品合约账户对应的A股证券账户托管在本公司的标的证券的流通数量是否足额。如果足额，行权申报有效，锁定相应的证券。</w:t>
      </w:r>
    </w:p>
    <w:p>
      <w:pPr>
        <w:spacing w:line="560" w:lineRule="exact"/>
        <w:ind w:firstLine="600" w:firstLineChars="200"/>
        <w:rPr>
          <w:rFonts w:eastAsia="方正仿宋简体"/>
          <w:sz w:val="30"/>
          <w:szCs w:val="30"/>
        </w:rPr>
      </w:pPr>
      <w:r>
        <w:rPr>
          <w:rFonts w:eastAsia="方正仿宋简体"/>
          <w:sz w:val="30"/>
          <w:szCs w:val="30"/>
        </w:rPr>
        <w:t>如果不足额，检验客户该A股证券账户中标的证券流通数量加上同标的未到期的备兑证券数量是否足额。如果足额，行权申报有效，锁定普通账户中的证券，并提醒客户需要补足的证券数量。如果仍不足额，则行权申报无效，提醒客户补足证券后再做行权申报。</w:t>
      </w:r>
    </w:p>
    <w:p>
      <w:pPr>
        <w:keepNext/>
        <w:keepLines/>
        <w:numPr>
          <w:ilvl w:val="0"/>
          <w:numId w:val="84"/>
        </w:numPr>
        <w:spacing w:line="560" w:lineRule="exact"/>
        <w:ind w:left="0" w:firstLine="601" w:firstLineChars="200"/>
        <w:outlineLvl w:val="2"/>
        <w:rPr>
          <w:rFonts w:eastAsia="方正仿宋简体"/>
          <w:b/>
          <w:sz w:val="30"/>
          <w:szCs w:val="30"/>
        </w:rPr>
      </w:pPr>
      <w:r>
        <w:rPr>
          <w:rFonts w:eastAsia="方正仿宋简体"/>
          <w:b/>
          <w:sz w:val="30"/>
          <w:szCs w:val="30"/>
        </w:rPr>
        <w:t>行权指令合并申报监控</w:t>
      </w:r>
    </w:p>
    <w:p>
      <w:pPr>
        <w:spacing w:line="560" w:lineRule="exact"/>
        <w:ind w:firstLine="600" w:firstLineChars="200"/>
        <w:rPr>
          <w:rFonts w:eastAsia="方正仿宋简体"/>
          <w:sz w:val="30"/>
          <w:szCs w:val="30"/>
        </w:rPr>
      </w:pPr>
      <w:r>
        <w:rPr>
          <w:rFonts w:eastAsia="方正仿宋简体"/>
          <w:sz w:val="30"/>
          <w:szCs w:val="30"/>
        </w:rPr>
        <w:t>在行权日15:00至15:30，客户可向证券公司提出行权指令合并申报委托，每一单位数量的行权指令合并申报包括同一标的的当日到期认购和认沽期权权利仓各一张，认购和认沽期权的合约单位必须相同，认沽期权行权价需高于认购期权。</w:t>
      </w:r>
    </w:p>
    <w:p>
      <w:pPr>
        <w:spacing w:line="560" w:lineRule="exact"/>
        <w:ind w:firstLine="600" w:firstLineChars="200"/>
        <w:rPr>
          <w:rFonts w:eastAsia="方正仿宋简体"/>
          <w:sz w:val="30"/>
          <w:szCs w:val="30"/>
        </w:rPr>
      </w:pPr>
      <w:r>
        <w:rPr>
          <w:rFonts w:eastAsia="方正仿宋简体"/>
          <w:sz w:val="30"/>
          <w:szCs w:val="30"/>
        </w:rPr>
        <w:t>行权指令合并申报可以撤销，撤销申报时间为行权日15:00至15:30。</w:t>
      </w:r>
    </w:p>
    <w:p>
      <w:pPr>
        <w:spacing w:line="560" w:lineRule="exact"/>
        <w:ind w:firstLine="600" w:firstLineChars="200"/>
        <w:rPr>
          <w:rFonts w:eastAsia="方正仿宋简体"/>
          <w:sz w:val="30"/>
          <w:szCs w:val="30"/>
        </w:rPr>
      </w:pPr>
      <w:r>
        <w:rPr>
          <w:rFonts w:eastAsia="方正仿宋简体"/>
          <w:sz w:val="30"/>
          <w:szCs w:val="30"/>
        </w:rPr>
        <w:t>证券公司需根据自身风险管理与资金管理情况对客户的行权有效性进行前端控制。行权有效性前端控制的参考方案如下：</w:t>
      </w:r>
    </w:p>
    <w:p>
      <w:pPr>
        <w:pStyle w:val="58"/>
        <w:numPr>
          <w:ilvl w:val="0"/>
          <w:numId w:val="87"/>
        </w:numPr>
        <w:spacing w:line="560" w:lineRule="exact"/>
        <w:ind w:left="0" w:firstLine="600"/>
        <w:rPr>
          <w:rFonts w:eastAsia="方正仿宋简体"/>
          <w:sz w:val="30"/>
          <w:szCs w:val="30"/>
        </w:rPr>
      </w:pPr>
      <w:r>
        <w:rPr>
          <w:rFonts w:eastAsia="方正仿宋简体"/>
          <w:sz w:val="30"/>
          <w:szCs w:val="30"/>
        </w:rPr>
        <w:t>检验合并申报中的期权合约是否为同一标的证券。如果不是同一标的证券，行权申报无效；</w:t>
      </w:r>
    </w:p>
    <w:p>
      <w:pPr>
        <w:pStyle w:val="58"/>
        <w:numPr>
          <w:ilvl w:val="0"/>
          <w:numId w:val="87"/>
        </w:numPr>
        <w:spacing w:line="560" w:lineRule="exact"/>
        <w:ind w:left="0" w:firstLine="600"/>
        <w:rPr>
          <w:rFonts w:eastAsia="方正仿宋简体"/>
          <w:sz w:val="30"/>
          <w:szCs w:val="30"/>
        </w:rPr>
      </w:pPr>
      <w:r>
        <w:rPr>
          <w:rFonts w:eastAsia="方正仿宋简体"/>
          <w:sz w:val="30"/>
          <w:szCs w:val="30"/>
        </w:rPr>
        <w:t>检验合并申报的期权合约单位是否相等（可以同为标准合约或同为非标准合约）。如不相等，行权申报无效；</w:t>
      </w:r>
    </w:p>
    <w:p>
      <w:pPr>
        <w:pStyle w:val="58"/>
        <w:numPr>
          <w:ilvl w:val="0"/>
          <w:numId w:val="87"/>
        </w:numPr>
        <w:spacing w:line="560" w:lineRule="exact"/>
        <w:ind w:left="0" w:firstLine="600"/>
        <w:rPr>
          <w:rFonts w:eastAsia="方正仿宋简体"/>
          <w:sz w:val="30"/>
          <w:szCs w:val="30"/>
        </w:rPr>
      </w:pPr>
      <w:r>
        <w:rPr>
          <w:rFonts w:eastAsia="方正仿宋简体"/>
          <w:sz w:val="30"/>
          <w:szCs w:val="30"/>
        </w:rPr>
        <w:t>检验合并申报的一个单位组合是否包含认购期权合约和认沽期权各一张。如不是，行权申报无效；</w:t>
      </w:r>
    </w:p>
    <w:p>
      <w:pPr>
        <w:pStyle w:val="58"/>
        <w:numPr>
          <w:ilvl w:val="0"/>
          <w:numId w:val="87"/>
        </w:numPr>
        <w:spacing w:line="560" w:lineRule="exact"/>
        <w:ind w:left="0" w:firstLine="600"/>
        <w:rPr>
          <w:rFonts w:eastAsia="方正仿宋简体"/>
          <w:sz w:val="30"/>
          <w:szCs w:val="30"/>
        </w:rPr>
      </w:pPr>
      <w:r>
        <w:rPr>
          <w:rFonts w:eastAsia="方正仿宋简体"/>
          <w:sz w:val="30"/>
          <w:szCs w:val="30"/>
        </w:rPr>
        <w:t>检验合并申报的期权合约是否均为当日到期合约。如果存在非当日到期合约，行权申报无效；</w:t>
      </w:r>
    </w:p>
    <w:p>
      <w:pPr>
        <w:pStyle w:val="58"/>
        <w:numPr>
          <w:ilvl w:val="0"/>
          <w:numId w:val="87"/>
        </w:numPr>
        <w:spacing w:line="560" w:lineRule="exact"/>
        <w:ind w:left="0" w:firstLine="600"/>
        <w:rPr>
          <w:rFonts w:eastAsia="方正仿宋简体"/>
          <w:sz w:val="30"/>
          <w:szCs w:val="30"/>
        </w:rPr>
      </w:pPr>
      <w:r>
        <w:rPr>
          <w:rFonts w:eastAsia="方正仿宋简体"/>
          <w:sz w:val="30"/>
          <w:szCs w:val="30"/>
        </w:rPr>
        <w:t>检验合并申报的期权合约中认沽期权的行权价高于认购期权的行权价。如果认沽期权的行权价小于或者等于认购期权的行权价，行权申报无效；</w:t>
      </w:r>
    </w:p>
    <w:p>
      <w:pPr>
        <w:pStyle w:val="58"/>
        <w:numPr>
          <w:ilvl w:val="0"/>
          <w:numId w:val="87"/>
        </w:numPr>
        <w:spacing w:line="560" w:lineRule="exact"/>
        <w:ind w:left="0" w:firstLine="600"/>
        <w:rPr>
          <w:rFonts w:eastAsia="方正仿宋简体"/>
          <w:sz w:val="30"/>
          <w:szCs w:val="30"/>
        </w:rPr>
      </w:pPr>
      <w:r>
        <w:rPr>
          <w:rFonts w:eastAsia="方正仿宋简体"/>
          <w:sz w:val="30"/>
          <w:szCs w:val="30"/>
        </w:rPr>
        <w:t>检验认购期权和认沽期权累计行权指令合并申报数量（扣减行权撤单后）是否超过投资者持有的相应认购期权合约权利仓净头寸及认沽期权合约权利仓净头寸的较小值。净头寸以当日到期组合策略解除后的净头寸为准。如果超过，行权无效。</w:t>
      </w:r>
    </w:p>
    <w:p>
      <w:pPr>
        <w:spacing w:line="560" w:lineRule="exact"/>
        <w:ind w:firstLine="600" w:firstLineChars="200"/>
        <w:rPr>
          <w:rFonts w:eastAsia="方正仿宋简体"/>
          <w:sz w:val="30"/>
          <w:szCs w:val="30"/>
        </w:rPr>
      </w:pPr>
      <w:r>
        <w:rPr>
          <w:rFonts w:eastAsia="方正仿宋简体"/>
          <w:sz w:val="30"/>
          <w:szCs w:val="30"/>
        </w:rPr>
        <w:t>其中，权利仓净头寸=Max[（账户持有该合约权利仓数量-账户持有该合约义务仓数量），0]。累计合并申报数量（扣减行权撤单后）&lt;=Min（认购期权合约权利仓净头寸，认沽期权合约权利仓净头寸）。</w:t>
      </w:r>
    </w:p>
    <w:p>
      <w:pPr>
        <w:spacing w:line="560" w:lineRule="exact"/>
        <w:ind w:firstLine="600" w:firstLineChars="200"/>
        <w:rPr>
          <w:rFonts w:eastAsia="方正仿宋简体"/>
          <w:sz w:val="30"/>
          <w:szCs w:val="30"/>
        </w:rPr>
      </w:pPr>
      <w:r>
        <w:rPr>
          <w:rFonts w:eastAsia="方正仿宋简体"/>
          <w:sz w:val="30"/>
          <w:szCs w:val="30"/>
        </w:rPr>
        <w:t>证券公司应按上述各项要求进行前端控制。若因证券公司前端控制失败导致投资者日终被判定合并申报行权无效而遭受损失的，由证券公司承担相应责任。</w:t>
      </w:r>
    </w:p>
    <w:p>
      <w:pPr>
        <w:pStyle w:val="5"/>
        <w:numPr>
          <w:ilvl w:val="0"/>
          <w:numId w:val="82"/>
        </w:numPr>
        <w:spacing w:before="0" w:after="0" w:line="560" w:lineRule="exact"/>
        <w:ind w:left="0" w:firstLine="601" w:firstLineChars="200"/>
        <w:rPr>
          <w:rFonts w:ascii="Times New Roman" w:hAnsi="Times New Roman" w:eastAsia="方正仿宋简体"/>
          <w:sz w:val="30"/>
          <w:szCs w:val="30"/>
        </w:rPr>
      </w:pPr>
      <w:bookmarkStart w:id="220" w:name="_Toc25049500"/>
      <w:r>
        <w:rPr>
          <w:rFonts w:ascii="Times New Roman" w:hAnsi="Times New Roman" w:eastAsia="方正仿宋简体"/>
          <w:sz w:val="30"/>
          <w:szCs w:val="30"/>
        </w:rPr>
        <w:t>投资者行权交收风险管理</w:t>
      </w:r>
      <w:bookmarkEnd w:id="220"/>
    </w:p>
    <w:p>
      <w:pPr>
        <w:pStyle w:val="7"/>
        <w:numPr>
          <w:ilvl w:val="0"/>
          <w:numId w:val="88"/>
        </w:numPr>
        <w:spacing w:before="0" w:after="0" w:line="560" w:lineRule="exact"/>
        <w:ind w:left="0" w:firstLine="601" w:firstLineChars="200"/>
        <w:rPr>
          <w:rFonts w:eastAsia="方正仿宋简体"/>
          <w:bCs w:val="0"/>
          <w:sz w:val="30"/>
          <w:szCs w:val="30"/>
        </w:rPr>
      </w:pPr>
      <w:r>
        <w:rPr>
          <w:rFonts w:eastAsia="方正仿宋简体"/>
          <w:bCs w:val="0"/>
          <w:sz w:val="30"/>
          <w:szCs w:val="30"/>
        </w:rPr>
        <w:t>行权交收应付资金管理</w:t>
      </w:r>
    </w:p>
    <w:p>
      <w:pPr>
        <w:spacing w:line="560" w:lineRule="exact"/>
        <w:ind w:firstLine="600" w:firstLineChars="200"/>
        <w:rPr>
          <w:rFonts w:eastAsia="方正仿宋简体"/>
          <w:kern w:val="0"/>
          <w:sz w:val="30"/>
          <w:szCs w:val="30"/>
        </w:rPr>
      </w:pPr>
      <w:r>
        <w:rPr>
          <w:rFonts w:eastAsia="方正仿宋简体"/>
          <w:kern w:val="0"/>
          <w:sz w:val="30"/>
          <w:szCs w:val="30"/>
        </w:rPr>
        <w:t>合约行权日的次一交易日（E+1日），对行权交收资金应付方，证券公司应监控其账户</w:t>
      </w:r>
      <w:r>
        <w:rPr>
          <w:rFonts w:hint="eastAsia" w:ascii="方正仿宋简体" w:eastAsia="方正仿宋简体"/>
          <w:kern w:val="0"/>
          <w:sz w:val="30"/>
          <w:szCs w:val="30"/>
        </w:rPr>
        <w:t>“</w:t>
      </w:r>
      <w:r>
        <w:rPr>
          <w:rFonts w:eastAsia="方正仿宋简体"/>
          <w:kern w:val="0"/>
          <w:sz w:val="30"/>
          <w:szCs w:val="30"/>
        </w:rPr>
        <w:t>行权交收资金应付方违约风险值</w:t>
      </w:r>
      <w:r>
        <w:rPr>
          <w:rFonts w:hint="eastAsia" w:ascii="方正仿宋简体" w:eastAsia="方正仿宋简体"/>
          <w:kern w:val="0"/>
          <w:sz w:val="30"/>
          <w:szCs w:val="30"/>
        </w:rPr>
        <w:t>”</w:t>
      </w:r>
      <w:r>
        <w:rPr>
          <w:rFonts w:eastAsia="方正仿宋简体"/>
          <w:kern w:val="0"/>
          <w:sz w:val="30"/>
          <w:szCs w:val="30"/>
        </w:rPr>
        <w:t>，即股票期权保证金账户中资金能否满足行权交收所需的现金。</w:t>
      </w:r>
    </w:p>
    <w:p>
      <w:pPr>
        <w:widowControl/>
        <w:spacing w:line="560" w:lineRule="exact"/>
        <w:ind w:firstLine="600" w:firstLineChars="200"/>
        <w:rPr>
          <w:rFonts w:eastAsia="方正仿宋简体"/>
          <w:kern w:val="0"/>
          <w:sz w:val="30"/>
          <w:szCs w:val="30"/>
        </w:rPr>
      </w:pPr>
      <w:r>
        <w:rPr>
          <w:rFonts w:eastAsia="方正仿宋简体"/>
          <w:kern w:val="0"/>
          <w:sz w:val="30"/>
          <w:szCs w:val="30"/>
        </w:rPr>
        <w:t>行权交收资金应付方违约风险=应付所需资金/（可用资金+行权日行权交收已冻结的资金）</w:t>
      </w:r>
    </w:p>
    <w:p>
      <w:pPr>
        <w:widowControl/>
        <w:spacing w:line="560" w:lineRule="exact"/>
        <w:ind w:firstLine="600" w:firstLineChars="200"/>
        <w:rPr>
          <w:rFonts w:eastAsia="方正仿宋简体"/>
          <w:kern w:val="0"/>
          <w:sz w:val="30"/>
          <w:szCs w:val="30"/>
        </w:rPr>
      </w:pPr>
      <w:r>
        <w:rPr>
          <w:rFonts w:eastAsia="方正仿宋简体"/>
          <w:kern w:val="0"/>
          <w:sz w:val="30"/>
          <w:szCs w:val="30"/>
        </w:rPr>
        <w:t>证券公司对</w:t>
      </w:r>
      <w:r>
        <w:rPr>
          <w:rFonts w:hint="eastAsia" w:ascii="方正仿宋简体" w:eastAsia="方正仿宋简体"/>
          <w:kern w:val="0"/>
          <w:sz w:val="30"/>
          <w:szCs w:val="30"/>
        </w:rPr>
        <w:t>“</w:t>
      </w:r>
      <w:r>
        <w:rPr>
          <w:rFonts w:eastAsia="方正仿宋简体"/>
          <w:kern w:val="0"/>
          <w:sz w:val="30"/>
          <w:szCs w:val="30"/>
        </w:rPr>
        <w:t>行权交收资金应付方违约风险</w:t>
      </w:r>
      <w:r>
        <w:rPr>
          <w:rFonts w:hint="eastAsia" w:ascii="方正仿宋简体" w:eastAsia="方正仿宋简体"/>
          <w:kern w:val="0"/>
          <w:sz w:val="30"/>
          <w:szCs w:val="30"/>
        </w:rPr>
        <w:t>”</w:t>
      </w:r>
      <w:r>
        <w:rPr>
          <w:rFonts w:eastAsia="方正仿宋简体"/>
          <w:kern w:val="0"/>
          <w:sz w:val="30"/>
          <w:szCs w:val="30"/>
        </w:rPr>
        <w:t>设定预警值，比如85%，如果超过阈值，证券公司将对客户预警，而如果大于100%，则表明该账户存在很高的违约交收风险，证券公司需采取措施，通知客户入金。</w:t>
      </w:r>
    </w:p>
    <w:p>
      <w:pPr>
        <w:spacing w:line="560" w:lineRule="exact"/>
        <w:ind w:firstLine="600" w:firstLineChars="200"/>
        <w:rPr>
          <w:rFonts w:eastAsia="方正仿宋简体"/>
          <w:sz w:val="30"/>
          <w:szCs w:val="30"/>
        </w:rPr>
      </w:pPr>
      <w:r>
        <w:rPr>
          <w:rFonts w:eastAsia="方正仿宋简体"/>
          <w:kern w:val="0"/>
          <w:sz w:val="30"/>
          <w:szCs w:val="30"/>
        </w:rPr>
        <w:t>客户认沽期权义务方被指派行权后资金不足的，证券公司可以自有资金先行垫付，并向本所及中国结算申报将相关行权所得证券划入处置证券账户。</w:t>
      </w:r>
    </w:p>
    <w:p>
      <w:pPr>
        <w:pStyle w:val="7"/>
        <w:numPr>
          <w:ilvl w:val="0"/>
          <w:numId w:val="88"/>
        </w:numPr>
        <w:spacing w:before="0" w:after="0" w:line="560" w:lineRule="exact"/>
        <w:ind w:left="0" w:firstLine="601" w:firstLineChars="200"/>
        <w:rPr>
          <w:rFonts w:eastAsia="方正仿宋简体"/>
          <w:bCs w:val="0"/>
          <w:sz w:val="30"/>
          <w:szCs w:val="30"/>
        </w:rPr>
      </w:pPr>
      <w:r>
        <w:rPr>
          <w:rFonts w:eastAsia="方正仿宋简体"/>
          <w:bCs w:val="0"/>
          <w:sz w:val="30"/>
          <w:szCs w:val="30"/>
        </w:rPr>
        <w:t>行权交收应付证券管理</w:t>
      </w:r>
    </w:p>
    <w:p>
      <w:pPr>
        <w:spacing w:line="560" w:lineRule="exact"/>
        <w:ind w:firstLine="600" w:firstLineChars="200"/>
        <w:rPr>
          <w:rFonts w:eastAsia="方正仿宋简体"/>
          <w:kern w:val="0"/>
          <w:sz w:val="30"/>
          <w:szCs w:val="30"/>
        </w:rPr>
      </w:pPr>
      <w:r>
        <w:rPr>
          <w:rFonts w:eastAsia="方正仿宋简体"/>
          <w:kern w:val="0"/>
          <w:sz w:val="30"/>
          <w:szCs w:val="30"/>
        </w:rPr>
        <w:t>合约行权日的次一交易日（E+1日），证券公司应监控行权交收应交券方的</w:t>
      </w:r>
      <w:r>
        <w:rPr>
          <w:rFonts w:hint="eastAsia" w:ascii="方正仿宋简体" w:eastAsia="方正仿宋简体"/>
          <w:kern w:val="0"/>
          <w:sz w:val="30"/>
          <w:szCs w:val="30"/>
        </w:rPr>
        <w:t>“</w:t>
      </w:r>
      <w:r>
        <w:rPr>
          <w:rFonts w:eastAsia="方正仿宋简体"/>
          <w:kern w:val="0"/>
          <w:sz w:val="30"/>
          <w:szCs w:val="30"/>
        </w:rPr>
        <w:t>行权交收应交券方违约风险1</w:t>
      </w:r>
      <w:r>
        <w:rPr>
          <w:rFonts w:hint="eastAsia" w:ascii="方正仿宋简体" w:eastAsia="方正仿宋简体"/>
          <w:kern w:val="0"/>
          <w:sz w:val="30"/>
          <w:szCs w:val="30"/>
        </w:rPr>
        <w:t>”</w:t>
      </w:r>
      <w:r>
        <w:rPr>
          <w:rFonts w:eastAsia="方正仿宋简体"/>
          <w:kern w:val="0"/>
          <w:sz w:val="30"/>
          <w:szCs w:val="30"/>
        </w:rPr>
        <w:t>和</w:t>
      </w:r>
      <w:r>
        <w:rPr>
          <w:rFonts w:hint="eastAsia" w:ascii="方正仿宋简体" w:eastAsia="方正仿宋简体"/>
          <w:kern w:val="0"/>
          <w:sz w:val="30"/>
          <w:szCs w:val="30"/>
        </w:rPr>
        <w:t>“</w:t>
      </w:r>
      <w:r>
        <w:rPr>
          <w:rFonts w:eastAsia="方正仿宋简体"/>
          <w:kern w:val="0"/>
          <w:sz w:val="30"/>
          <w:szCs w:val="30"/>
        </w:rPr>
        <w:t>行权交收应交券方违约风险2</w:t>
      </w:r>
      <w:r>
        <w:rPr>
          <w:rFonts w:hint="eastAsia" w:ascii="方正仿宋简体" w:eastAsia="方正仿宋简体"/>
          <w:kern w:val="0"/>
          <w:sz w:val="30"/>
          <w:szCs w:val="30"/>
        </w:rPr>
        <w:t>”</w:t>
      </w:r>
      <w:r>
        <w:rPr>
          <w:rFonts w:eastAsia="方正仿宋简体"/>
          <w:kern w:val="0"/>
          <w:sz w:val="30"/>
          <w:szCs w:val="30"/>
        </w:rPr>
        <w:t>，即监控投资者持有合约标的的情况，对投资者所持有的合约标的不能满足行权交收应交付数量的投资者，进行电话提醒并督促其补足应交合约标的数量。</w:t>
      </w:r>
    </w:p>
    <w:p>
      <w:pPr>
        <w:spacing w:line="560" w:lineRule="exact"/>
        <w:ind w:firstLine="600" w:firstLineChars="200"/>
        <w:rPr>
          <w:rFonts w:eastAsia="方正仿宋简体"/>
          <w:kern w:val="0"/>
          <w:sz w:val="30"/>
          <w:szCs w:val="30"/>
        </w:rPr>
      </w:pPr>
      <w:r>
        <w:rPr>
          <w:rFonts w:eastAsia="方正仿宋简体"/>
          <w:kern w:val="0"/>
          <w:sz w:val="30"/>
          <w:szCs w:val="30"/>
        </w:rPr>
        <w:t>行权交收应交券方违约风险1=应交数量/账户所持相关流通证券的数量（含备兑持仓）</w:t>
      </w:r>
    </w:p>
    <w:p>
      <w:pPr>
        <w:spacing w:line="560" w:lineRule="exact"/>
        <w:ind w:firstLine="600" w:firstLineChars="200"/>
        <w:rPr>
          <w:rFonts w:eastAsia="方正仿宋简体"/>
          <w:kern w:val="0"/>
          <w:sz w:val="30"/>
          <w:szCs w:val="30"/>
        </w:rPr>
      </w:pPr>
      <w:r>
        <w:rPr>
          <w:rFonts w:eastAsia="方正仿宋简体"/>
          <w:kern w:val="0"/>
          <w:sz w:val="30"/>
          <w:szCs w:val="30"/>
        </w:rPr>
        <w:t>行权交收应交券方违约风险2=应交数量/账户所持相关流通证券的数量（不含备兑持仓）</w:t>
      </w:r>
    </w:p>
    <w:p>
      <w:pPr>
        <w:spacing w:line="560" w:lineRule="exact"/>
        <w:ind w:firstLine="600" w:firstLineChars="200"/>
        <w:rPr>
          <w:rFonts w:eastAsia="方正仿宋简体"/>
          <w:kern w:val="0"/>
          <w:sz w:val="30"/>
          <w:szCs w:val="30"/>
        </w:rPr>
      </w:pPr>
      <w:r>
        <w:rPr>
          <w:rFonts w:eastAsia="方正仿宋简体"/>
          <w:kern w:val="0"/>
          <w:sz w:val="30"/>
          <w:szCs w:val="30"/>
        </w:rPr>
        <w:t>合约交收日约定时间内，对合约标的应付方，若准备交收的合约标的仍不足，证券公司可根据与客户在期权经纪合同中的约定，为客户买入合约标的或使用自有证券代为提供不足部分的合约标的。</w:t>
      </w:r>
    </w:p>
    <w:p>
      <w:pPr>
        <w:pStyle w:val="5"/>
        <w:numPr>
          <w:ilvl w:val="0"/>
          <w:numId w:val="82"/>
        </w:numPr>
        <w:spacing w:before="0" w:after="0" w:line="560" w:lineRule="exact"/>
        <w:ind w:left="0" w:firstLine="601" w:firstLineChars="200"/>
        <w:rPr>
          <w:rFonts w:ascii="Times New Roman" w:hAnsi="Times New Roman" w:eastAsia="方正仿宋简体"/>
          <w:b w:val="0"/>
          <w:sz w:val="30"/>
          <w:szCs w:val="30"/>
        </w:rPr>
      </w:pPr>
      <w:bookmarkStart w:id="221" w:name="_Toc25049501"/>
      <w:r>
        <w:rPr>
          <w:rFonts w:ascii="Times New Roman" w:hAnsi="Times New Roman" w:eastAsia="方正仿宋简体"/>
          <w:sz w:val="30"/>
          <w:szCs w:val="30"/>
        </w:rPr>
        <w:t>行权日前调整保证金参数水平提醒</w:t>
      </w:r>
      <w:bookmarkEnd w:id="221"/>
    </w:p>
    <w:p>
      <w:pPr>
        <w:spacing w:line="560" w:lineRule="exact"/>
        <w:ind w:firstLine="600" w:firstLineChars="200"/>
        <w:rPr>
          <w:rFonts w:eastAsia="方正仿宋简体"/>
          <w:kern w:val="0"/>
          <w:sz w:val="30"/>
          <w:szCs w:val="30"/>
        </w:rPr>
      </w:pPr>
      <w:r>
        <w:rPr>
          <w:rFonts w:eastAsia="方正仿宋简体"/>
          <w:kern w:val="0"/>
          <w:sz w:val="30"/>
          <w:szCs w:val="30"/>
        </w:rPr>
        <w:t>若证券公司按照本指南进行保证金水平参数设置（见本指南</w:t>
      </w:r>
      <w:r>
        <w:rPr>
          <w:rFonts w:hint="eastAsia" w:ascii="方正仿宋简体" w:eastAsia="方正仿宋简体"/>
          <w:kern w:val="0"/>
          <w:sz w:val="30"/>
          <w:szCs w:val="30"/>
        </w:rPr>
        <w:t>“</w:t>
      </w:r>
      <w:r>
        <w:rPr>
          <w:rFonts w:eastAsia="方正仿宋简体"/>
          <w:kern w:val="0"/>
          <w:sz w:val="30"/>
          <w:szCs w:val="30"/>
        </w:rPr>
        <w:t>保证金管理</w:t>
      </w:r>
      <w:r>
        <w:rPr>
          <w:rFonts w:hint="eastAsia" w:ascii="方正仿宋简体" w:eastAsia="方正仿宋简体"/>
          <w:kern w:val="0"/>
          <w:sz w:val="30"/>
          <w:szCs w:val="30"/>
        </w:rPr>
        <w:t>”</w:t>
      </w:r>
      <w:r>
        <w:rPr>
          <w:rFonts w:eastAsia="方正仿宋简体"/>
          <w:kern w:val="0"/>
          <w:sz w:val="30"/>
          <w:szCs w:val="30"/>
        </w:rPr>
        <w:t>中第一节</w:t>
      </w:r>
      <w:r>
        <w:rPr>
          <w:rFonts w:hint="eastAsia" w:ascii="方正仿宋简体" w:eastAsia="方正仿宋简体"/>
          <w:kern w:val="0"/>
          <w:sz w:val="30"/>
          <w:szCs w:val="30"/>
        </w:rPr>
        <w:t>“</w:t>
      </w:r>
      <w:r>
        <w:rPr>
          <w:rFonts w:eastAsia="方正仿宋简体"/>
          <w:kern w:val="0"/>
          <w:sz w:val="30"/>
          <w:szCs w:val="30"/>
        </w:rPr>
        <w:t>客户保证金管理</w:t>
      </w:r>
      <w:r>
        <w:rPr>
          <w:rFonts w:hint="eastAsia" w:ascii="方正仿宋简体" w:eastAsia="方正仿宋简体"/>
          <w:kern w:val="0"/>
          <w:sz w:val="30"/>
          <w:szCs w:val="30"/>
        </w:rPr>
        <w:t>”</w:t>
      </w:r>
      <w:r>
        <w:rPr>
          <w:rFonts w:eastAsia="方正仿宋简体"/>
          <w:kern w:val="0"/>
          <w:sz w:val="30"/>
          <w:szCs w:val="30"/>
        </w:rPr>
        <w:t>的第（一）点</w:t>
      </w:r>
      <w:r>
        <w:rPr>
          <w:rFonts w:hint="eastAsia" w:ascii="方正仿宋简体" w:eastAsia="方正仿宋简体"/>
          <w:kern w:val="0"/>
          <w:sz w:val="30"/>
          <w:szCs w:val="30"/>
        </w:rPr>
        <w:t>“</w:t>
      </w:r>
      <w:r>
        <w:rPr>
          <w:rFonts w:eastAsia="方正仿宋简体"/>
          <w:kern w:val="0"/>
          <w:sz w:val="30"/>
          <w:szCs w:val="30"/>
        </w:rPr>
        <w:t>保证金水平</w:t>
      </w:r>
      <w:r>
        <w:rPr>
          <w:rFonts w:hint="eastAsia" w:ascii="方正仿宋简体" w:eastAsia="方正仿宋简体"/>
          <w:kern w:val="0"/>
          <w:sz w:val="30"/>
          <w:szCs w:val="30"/>
        </w:rPr>
        <w:t>”</w:t>
      </w:r>
      <w:r>
        <w:rPr>
          <w:rFonts w:eastAsia="方正仿宋简体"/>
          <w:kern w:val="0"/>
          <w:sz w:val="30"/>
          <w:szCs w:val="30"/>
        </w:rPr>
        <w:t>），证券公司应在与投资者签署的期权经纪合同中，明确约定可能导致保证金参数水平调整的情形。若在临近行权日进行了参数调整，调整后，应当及时通过邮件、短信、交易客户端等渠道做好通知提醒工作。</w:t>
      </w:r>
    </w:p>
    <w:p>
      <w:pPr>
        <w:widowControl/>
        <w:spacing w:line="560" w:lineRule="exact"/>
        <w:ind w:firstLine="600" w:firstLineChars="200"/>
        <w:rPr>
          <w:rFonts w:eastAsia="方正仿宋简体"/>
          <w:kern w:val="0"/>
          <w:sz w:val="30"/>
          <w:szCs w:val="30"/>
        </w:rPr>
      </w:pPr>
      <w:r>
        <w:rPr>
          <w:rFonts w:eastAsia="方正仿宋简体"/>
          <w:kern w:val="0"/>
          <w:sz w:val="30"/>
          <w:szCs w:val="30"/>
        </w:rPr>
        <w:br w:type="page"/>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sz w:val="30"/>
          <w:szCs w:val="30"/>
        </w:rPr>
      </w:pPr>
      <w:bookmarkStart w:id="222" w:name="_Toc460944610"/>
      <w:bookmarkStart w:id="223" w:name="_Toc452017035"/>
      <w:bookmarkStart w:id="224" w:name="_Toc25049502"/>
      <w:r>
        <w:rPr>
          <w:rFonts w:ascii="黑体" w:hAnsi="黑体" w:eastAsia="黑体"/>
          <w:bCs/>
          <w:sz w:val="30"/>
          <w:szCs w:val="30"/>
        </w:rPr>
        <w:t>协议行权</w:t>
      </w:r>
      <w:bookmarkEnd w:id="222"/>
      <w:bookmarkEnd w:id="223"/>
      <w:bookmarkEnd w:id="224"/>
    </w:p>
    <w:p>
      <w:pPr>
        <w:spacing w:line="560" w:lineRule="exact"/>
        <w:ind w:firstLine="600" w:firstLineChars="200"/>
        <w:rPr>
          <w:rFonts w:eastAsia="方正仿宋简体"/>
          <w:kern w:val="0"/>
          <w:sz w:val="30"/>
          <w:szCs w:val="30"/>
        </w:rPr>
      </w:pPr>
      <w:bookmarkStart w:id="225" w:name="_Toc452017036"/>
      <w:r>
        <w:rPr>
          <w:rFonts w:eastAsia="方正仿宋简体"/>
          <w:kern w:val="0"/>
          <w:sz w:val="30"/>
          <w:szCs w:val="30"/>
        </w:rPr>
        <w:t>协议行权是指证券公司与客户通过期权经纪合同约定，证券公司借助系统为客户指定合约设置行权策略，客户在行权日不必再提交行权委托，系统会为指定合约自动提交行权委托的服务。协议行权能够降低客户在行权日忘记行权带来损失的风险。</w:t>
      </w:r>
    </w:p>
    <w:p>
      <w:pPr>
        <w:pStyle w:val="5"/>
        <w:numPr>
          <w:ilvl w:val="0"/>
          <w:numId w:val="89"/>
        </w:numPr>
        <w:spacing w:before="0" w:after="0" w:line="560" w:lineRule="exact"/>
        <w:ind w:left="0" w:firstLine="601" w:firstLineChars="200"/>
        <w:rPr>
          <w:rFonts w:ascii="Times New Roman" w:hAnsi="Times New Roman" w:eastAsia="方正仿宋简体"/>
          <w:sz w:val="30"/>
          <w:szCs w:val="30"/>
        </w:rPr>
      </w:pPr>
      <w:bookmarkStart w:id="226" w:name="_Toc460944611"/>
      <w:bookmarkStart w:id="227" w:name="_Toc25049503"/>
      <w:r>
        <w:rPr>
          <w:rFonts w:ascii="Times New Roman" w:hAnsi="Times New Roman" w:eastAsia="方正仿宋简体"/>
          <w:sz w:val="30"/>
          <w:szCs w:val="30"/>
        </w:rPr>
        <w:t>协议行权策略</w:t>
      </w:r>
      <w:bookmarkEnd w:id="225"/>
      <w:bookmarkEnd w:id="226"/>
      <w:bookmarkEnd w:id="227"/>
    </w:p>
    <w:p>
      <w:pPr>
        <w:spacing w:line="560" w:lineRule="exact"/>
        <w:ind w:firstLine="600" w:firstLineChars="200"/>
        <w:rPr>
          <w:rFonts w:eastAsia="方正仿宋简体"/>
          <w:kern w:val="0"/>
          <w:sz w:val="30"/>
          <w:szCs w:val="30"/>
        </w:rPr>
      </w:pPr>
      <w:r>
        <w:rPr>
          <w:rFonts w:eastAsia="方正仿宋简体"/>
          <w:kern w:val="0"/>
          <w:sz w:val="30"/>
          <w:szCs w:val="30"/>
        </w:rPr>
        <w:t>证券公司可为客户提供协议行权服务，客户可以自行选择策略和触发条件，以此确定策略阈值。建议证券公司将协议行权申报委托时间设定在收盘后。</w:t>
      </w:r>
    </w:p>
    <w:p>
      <w:pPr>
        <w:spacing w:line="560" w:lineRule="exact"/>
        <w:ind w:firstLine="600" w:firstLineChars="200"/>
        <w:rPr>
          <w:rFonts w:eastAsia="方正仿宋简体"/>
          <w:kern w:val="0"/>
          <w:sz w:val="30"/>
          <w:szCs w:val="30"/>
        </w:rPr>
      </w:pPr>
      <w:r>
        <w:rPr>
          <w:rFonts w:eastAsia="方正仿宋简体"/>
          <w:kern w:val="0"/>
          <w:sz w:val="30"/>
          <w:szCs w:val="30"/>
        </w:rPr>
        <w:t>以下为协议行权策略举例，仅供参考，证券公司可以根据自身情况制定协议行权策略：</w:t>
      </w:r>
    </w:p>
    <w:p>
      <w:pPr>
        <w:spacing w:line="560" w:lineRule="exact"/>
        <w:ind w:firstLine="600" w:firstLineChars="200"/>
        <w:rPr>
          <w:rFonts w:eastAsia="方正仿宋简体"/>
          <w:kern w:val="0"/>
          <w:sz w:val="30"/>
          <w:szCs w:val="30"/>
        </w:rPr>
      </w:pPr>
      <w:bookmarkStart w:id="228" w:name="_Toc452017037"/>
      <w:r>
        <w:rPr>
          <w:rFonts w:eastAsia="方正仿宋简体"/>
          <w:kern w:val="0"/>
          <w:sz w:val="30"/>
          <w:szCs w:val="30"/>
        </w:rPr>
        <w:t>（一）实值x元即行权</w:t>
      </w:r>
    </w:p>
    <w:p>
      <w:pPr>
        <w:spacing w:line="560" w:lineRule="exact"/>
        <w:ind w:firstLine="600" w:firstLineChars="200"/>
        <w:rPr>
          <w:rFonts w:eastAsia="方正仿宋简体"/>
          <w:kern w:val="0"/>
          <w:sz w:val="30"/>
          <w:szCs w:val="30"/>
        </w:rPr>
      </w:pPr>
      <w:r>
        <w:rPr>
          <w:rFonts w:eastAsia="方正仿宋简体"/>
          <w:kern w:val="0"/>
          <w:sz w:val="30"/>
          <w:szCs w:val="30"/>
        </w:rPr>
        <w:t>认购期权：收盘价 - 行权价≥策略阈值</w:t>
      </w:r>
    </w:p>
    <w:p>
      <w:pPr>
        <w:spacing w:line="560" w:lineRule="exact"/>
        <w:ind w:firstLine="600" w:firstLineChars="200"/>
        <w:rPr>
          <w:rFonts w:eastAsia="方正仿宋简体"/>
          <w:kern w:val="0"/>
          <w:sz w:val="30"/>
          <w:szCs w:val="30"/>
        </w:rPr>
      </w:pPr>
      <w:r>
        <w:rPr>
          <w:rFonts w:eastAsia="方正仿宋简体"/>
          <w:kern w:val="0"/>
          <w:sz w:val="30"/>
          <w:szCs w:val="30"/>
        </w:rPr>
        <w:t>认沽期权：行权价 - 收盘价≥策略阈值</w:t>
      </w:r>
    </w:p>
    <w:p>
      <w:pPr>
        <w:spacing w:line="560" w:lineRule="exact"/>
        <w:ind w:firstLine="600" w:firstLineChars="200"/>
        <w:rPr>
          <w:rFonts w:eastAsia="方正仿宋简体"/>
          <w:kern w:val="0"/>
          <w:sz w:val="30"/>
          <w:szCs w:val="30"/>
        </w:rPr>
      </w:pPr>
      <w:r>
        <w:rPr>
          <w:rFonts w:eastAsia="方正仿宋简体"/>
          <w:kern w:val="0"/>
          <w:sz w:val="30"/>
          <w:szCs w:val="30"/>
        </w:rPr>
        <w:t>（二）盈利x元即行权</w:t>
      </w:r>
    </w:p>
    <w:p>
      <w:pPr>
        <w:spacing w:line="560" w:lineRule="exact"/>
        <w:ind w:firstLine="600" w:firstLineChars="200"/>
        <w:rPr>
          <w:rFonts w:eastAsia="方正仿宋简体"/>
          <w:kern w:val="0"/>
          <w:sz w:val="30"/>
          <w:szCs w:val="30"/>
        </w:rPr>
      </w:pPr>
      <w:r>
        <w:rPr>
          <w:rFonts w:eastAsia="方正仿宋简体"/>
          <w:kern w:val="0"/>
          <w:sz w:val="30"/>
          <w:szCs w:val="30"/>
        </w:rPr>
        <w:t>认购期权：收盘价 - 行权价 - 折算的单份费用≥策略阈值</w:t>
      </w:r>
    </w:p>
    <w:p>
      <w:pPr>
        <w:spacing w:line="560" w:lineRule="exact"/>
        <w:ind w:firstLine="600" w:firstLineChars="200"/>
        <w:rPr>
          <w:rFonts w:eastAsia="方正仿宋简体"/>
          <w:kern w:val="0"/>
          <w:sz w:val="30"/>
          <w:szCs w:val="30"/>
        </w:rPr>
      </w:pPr>
      <w:r>
        <w:rPr>
          <w:rFonts w:eastAsia="方正仿宋简体"/>
          <w:kern w:val="0"/>
          <w:sz w:val="30"/>
          <w:szCs w:val="30"/>
        </w:rPr>
        <w:t>认沽期权：行权价 - 收盘价 - 折算的单份费用≥策略阈值</w:t>
      </w:r>
    </w:p>
    <w:p>
      <w:pPr>
        <w:spacing w:line="560" w:lineRule="exact"/>
        <w:ind w:firstLine="600" w:firstLineChars="200"/>
        <w:rPr>
          <w:rFonts w:eastAsia="方正仿宋简体"/>
          <w:kern w:val="0"/>
          <w:sz w:val="30"/>
          <w:szCs w:val="30"/>
        </w:rPr>
      </w:pPr>
      <w:r>
        <w:rPr>
          <w:rFonts w:eastAsia="方正仿宋简体"/>
          <w:kern w:val="0"/>
          <w:sz w:val="30"/>
          <w:szCs w:val="30"/>
        </w:rPr>
        <w:t>（三）实值百分比即行权</w:t>
      </w:r>
    </w:p>
    <w:p>
      <w:pPr>
        <w:spacing w:line="560" w:lineRule="exact"/>
        <w:ind w:firstLine="600" w:firstLineChars="200"/>
        <w:rPr>
          <w:rFonts w:eastAsia="方正仿宋简体"/>
          <w:kern w:val="0"/>
          <w:sz w:val="30"/>
          <w:szCs w:val="30"/>
        </w:rPr>
      </w:pPr>
      <w:r>
        <w:rPr>
          <w:rFonts w:eastAsia="方正仿宋简体"/>
          <w:kern w:val="0"/>
          <w:sz w:val="30"/>
          <w:szCs w:val="30"/>
        </w:rPr>
        <w:t>认购期权：（收盘价 - 行权价）/行权价≥策略阈值</w:t>
      </w:r>
    </w:p>
    <w:p>
      <w:pPr>
        <w:spacing w:line="560" w:lineRule="exact"/>
        <w:ind w:firstLine="600" w:firstLineChars="200"/>
        <w:rPr>
          <w:rFonts w:eastAsia="方正仿宋简体"/>
          <w:kern w:val="0"/>
          <w:sz w:val="30"/>
          <w:szCs w:val="30"/>
        </w:rPr>
      </w:pPr>
      <w:r>
        <w:rPr>
          <w:rFonts w:eastAsia="方正仿宋简体"/>
          <w:kern w:val="0"/>
          <w:sz w:val="30"/>
          <w:szCs w:val="30"/>
        </w:rPr>
        <w:t>认沽期权：（行权价 - 收盘价）/行权价≥策略阈值</w:t>
      </w:r>
    </w:p>
    <w:p>
      <w:pPr>
        <w:spacing w:line="560" w:lineRule="exact"/>
        <w:ind w:firstLine="600" w:firstLineChars="200"/>
        <w:rPr>
          <w:rFonts w:eastAsia="方正仿宋简体"/>
          <w:kern w:val="0"/>
          <w:sz w:val="30"/>
          <w:szCs w:val="30"/>
        </w:rPr>
      </w:pPr>
      <w:r>
        <w:rPr>
          <w:rFonts w:eastAsia="方正仿宋简体"/>
          <w:kern w:val="0"/>
          <w:sz w:val="30"/>
          <w:szCs w:val="30"/>
        </w:rPr>
        <w:t>（四）盈利百分比即行权</w:t>
      </w:r>
    </w:p>
    <w:p>
      <w:pPr>
        <w:spacing w:line="560" w:lineRule="exact"/>
        <w:ind w:firstLine="600" w:firstLineChars="200"/>
        <w:rPr>
          <w:rFonts w:eastAsia="方正仿宋简体"/>
          <w:kern w:val="0"/>
          <w:sz w:val="30"/>
          <w:szCs w:val="30"/>
        </w:rPr>
      </w:pPr>
      <w:r>
        <w:rPr>
          <w:rFonts w:eastAsia="方正仿宋简体"/>
          <w:kern w:val="0"/>
          <w:sz w:val="30"/>
          <w:szCs w:val="30"/>
        </w:rPr>
        <w:t>认购期权：（收盘价 - 行权价- 折算的单份费用）/（行权价 + 折算的单份费用）≥策略阈值</w:t>
      </w:r>
    </w:p>
    <w:p>
      <w:pPr>
        <w:spacing w:line="560" w:lineRule="exact"/>
        <w:ind w:firstLine="600" w:firstLineChars="200"/>
        <w:rPr>
          <w:rFonts w:eastAsia="方正仿宋简体"/>
          <w:kern w:val="0"/>
          <w:sz w:val="30"/>
          <w:szCs w:val="30"/>
        </w:rPr>
      </w:pPr>
      <w:r>
        <w:rPr>
          <w:rFonts w:eastAsia="方正仿宋简体"/>
          <w:kern w:val="0"/>
          <w:sz w:val="30"/>
          <w:szCs w:val="30"/>
        </w:rPr>
        <w:t>认沽期权：（行权价 - 收盘价- 折算的单份费用）/（行权价 + 折算的单份费用）≥策略阈值</w:t>
      </w:r>
    </w:p>
    <w:p>
      <w:pPr>
        <w:pStyle w:val="5"/>
        <w:numPr>
          <w:ilvl w:val="0"/>
          <w:numId w:val="89"/>
        </w:numPr>
        <w:spacing w:before="0" w:after="0" w:line="560" w:lineRule="exact"/>
        <w:ind w:left="0" w:firstLine="601" w:firstLineChars="200"/>
        <w:rPr>
          <w:rFonts w:ascii="Times New Roman" w:hAnsi="Times New Roman" w:eastAsia="方正仿宋简体"/>
          <w:sz w:val="30"/>
          <w:szCs w:val="30"/>
        </w:rPr>
      </w:pPr>
      <w:bookmarkStart w:id="229" w:name="_Toc25049504"/>
      <w:bookmarkStart w:id="230" w:name="_Toc460944612"/>
      <w:r>
        <w:rPr>
          <w:rFonts w:ascii="Times New Roman" w:hAnsi="Times New Roman" w:eastAsia="方正仿宋简体"/>
          <w:sz w:val="30"/>
          <w:szCs w:val="30"/>
        </w:rPr>
        <w:t>协议行权注意事项</w:t>
      </w:r>
      <w:bookmarkEnd w:id="228"/>
      <w:bookmarkEnd w:id="229"/>
      <w:bookmarkEnd w:id="230"/>
    </w:p>
    <w:p>
      <w:pPr>
        <w:spacing w:line="560" w:lineRule="exact"/>
        <w:ind w:firstLine="600" w:firstLineChars="200"/>
        <w:rPr>
          <w:rFonts w:eastAsia="方正仿宋简体"/>
          <w:kern w:val="0"/>
          <w:sz w:val="30"/>
          <w:szCs w:val="30"/>
        </w:rPr>
      </w:pPr>
      <w:r>
        <w:rPr>
          <w:rFonts w:eastAsia="方正仿宋简体"/>
          <w:kern w:val="0"/>
          <w:sz w:val="30"/>
          <w:szCs w:val="30"/>
        </w:rPr>
        <w:t>投资者可以在任意交易日的任意交易时间设置针对任意合约的协议行权策略，包括没有持仓的合约；也可以设置一条针对所有合约都适用的行权策略。</w:t>
      </w:r>
    </w:p>
    <w:p>
      <w:pPr>
        <w:spacing w:line="560" w:lineRule="exact"/>
        <w:ind w:firstLine="600" w:firstLineChars="200"/>
        <w:rPr>
          <w:rFonts w:eastAsia="方正仿宋简体"/>
          <w:kern w:val="0"/>
          <w:sz w:val="30"/>
          <w:szCs w:val="30"/>
        </w:rPr>
      </w:pPr>
      <w:r>
        <w:rPr>
          <w:rFonts w:eastAsia="方正仿宋简体"/>
          <w:kern w:val="0"/>
          <w:sz w:val="30"/>
          <w:szCs w:val="30"/>
        </w:rPr>
        <w:t>证券公司在经过客户认可后，可以为客户设置默认的协议行权策略，该策略的阈值由证券公司设定。</w:t>
      </w:r>
    </w:p>
    <w:p>
      <w:pPr>
        <w:spacing w:line="560" w:lineRule="exact"/>
        <w:ind w:firstLine="600" w:firstLineChars="200"/>
        <w:rPr>
          <w:rFonts w:eastAsia="方正仿宋简体"/>
          <w:kern w:val="0"/>
          <w:sz w:val="30"/>
          <w:szCs w:val="30"/>
        </w:rPr>
      </w:pPr>
      <w:r>
        <w:rPr>
          <w:rFonts w:eastAsia="方正仿宋简体"/>
          <w:kern w:val="0"/>
          <w:sz w:val="30"/>
          <w:szCs w:val="30"/>
        </w:rPr>
        <w:t>客户自行设置的协议行权策略优先于证券公司为客户设置的默认协议行权策略。</w:t>
      </w:r>
    </w:p>
    <w:p>
      <w:pPr>
        <w:spacing w:line="560" w:lineRule="exact"/>
        <w:ind w:firstLine="600" w:firstLineChars="200"/>
        <w:rPr>
          <w:rFonts w:eastAsia="方正仿宋简体"/>
          <w:kern w:val="0"/>
          <w:sz w:val="30"/>
          <w:szCs w:val="30"/>
        </w:rPr>
      </w:pPr>
      <w:r>
        <w:rPr>
          <w:rFonts w:eastAsia="方正仿宋简体"/>
          <w:kern w:val="0"/>
          <w:sz w:val="30"/>
          <w:szCs w:val="30"/>
        </w:rPr>
        <w:t>客户在行权日发出的手动行权委托（即客户在行权日提交的行权委托）优先于协议行权委托。</w:t>
      </w:r>
    </w:p>
    <w:p>
      <w:pPr>
        <w:widowControl/>
        <w:spacing w:line="560" w:lineRule="exact"/>
        <w:ind w:firstLine="600" w:firstLineChars="200"/>
        <w:rPr>
          <w:rFonts w:eastAsia="方正仿宋简体"/>
          <w:kern w:val="0"/>
          <w:sz w:val="30"/>
          <w:szCs w:val="30"/>
        </w:rPr>
      </w:pPr>
      <w:r>
        <w:rPr>
          <w:rFonts w:eastAsia="方正仿宋简体"/>
          <w:kern w:val="0"/>
          <w:sz w:val="30"/>
          <w:szCs w:val="30"/>
        </w:rPr>
        <w:br w:type="page"/>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sz w:val="30"/>
          <w:szCs w:val="30"/>
        </w:rPr>
      </w:pPr>
      <w:bookmarkStart w:id="231" w:name="_Toc25049505"/>
      <w:bookmarkStart w:id="232" w:name="_Toc460944613"/>
      <w:bookmarkStart w:id="233" w:name="_Toc452017038"/>
      <w:r>
        <w:rPr>
          <w:rFonts w:ascii="黑体" w:hAnsi="黑体" w:eastAsia="黑体"/>
          <w:bCs/>
          <w:sz w:val="30"/>
          <w:szCs w:val="30"/>
        </w:rPr>
        <w:t>客户结算</w:t>
      </w:r>
      <w:bookmarkEnd w:id="231"/>
      <w:bookmarkEnd w:id="232"/>
      <w:bookmarkEnd w:id="233"/>
    </w:p>
    <w:p>
      <w:pPr>
        <w:pStyle w:val="5"/>
        <w:numPr>
          <w:ilvl w:val="0"/>
          <w:numId w:val="90"/>
        </w:numPr>
        <w:spacing w:before="0" w:after="0" w:line="560" w:lineRule="exact"/>
        <w:ind w:left="0" w:firstLine="601" w:firstLineChars="200"/>
        <w:rPr>
          <w:rFonts w:ascii="Times New Roman" w:hAnsi="Times New Roman" w:eastAsia="方正仿宋简体"/>
          <w:sz w:val="30"/>
          <w:szCs w:val="30"/>
        </w:rPr>
      </w:pPr>
      <w:bookmarkStart w:id="234" w:name="_Toc25049506"/>
      <w:bookmarkStart w:id="235" w:name="_Toc460944614"/>
      <w:bookmarkStart w:id="236" w:name="_Toc452017039"/>
      <w:r>
        <w:rPr>
          <w:rFonts w:ascii="Times New Roman" w:hAnsi="Times New Roman" w:eastAsia="方正仿宋简体"/>
          <w:sz w:val="30"/>
          <w:szCs w:val="30"/>
        </w:rPr>
        <w:t>日常交易清算</w:t>
      </w:r>
      <w:bookmarkEnd w:id="234"/>
      <w:bookmarkEnd w:id="235"/>
      <w:bookmarkEnd w:id="236"/>
    </w:p>
    <w:p>
      <w:pPr>
        <w:spacing w:line="560" w:lineRule="exact"/>
        <w:ind w:firstLine="600" w:firstLineChars="200"/>
        <w:rPr>
          <w:rFonts w:eastAsia="方正仿宋简体"/>
          <w:kern w:val="0"/>
          <w:sz w:val="30"/>
          <w:szCs w:val="30"/>
        </w:rPr>
      </w:pPr>
      <w:r>
        <w:rPr>
          <w:rFonts w:eastAsia="方正仿宋简体"/>
          <w:kern w:val="0"/>
          <w:sz w:val="30"/>
          <w:szCs w:val="30"/>
        </w:rPr>
        <w:t>T日日终，证券公司根据中国结算发送的数据，对客户进行权利金和合约持仓变更的清算。当日单个客户全部股票期权交易资金清算结果以该客户股票期权保证金账户为单位进行轧差，形成该客户当日交易资金交收净应收/付额（若T日为行权交收日，资金净应收/付额中包含过户费）。</w:t>
      </w:r>
    </w:p>
    <w:p>
      <w:pPr>
        <w:spacing w:line="560" w:lineRule="exact"/>
        <w:ind w:firstLine="600" w:firstLineChars="200"/>
        <w:rPr>
          <w:rFonts w:eastAsia="方正仿宋简体"/>
          <w:kern w:val="0"/>
          <w:sz w:val="30"/>
          <w:szCs w:val="30"/>
        </w:rPr>
      </w:pPr>
      <w:r>
        <w:rPr>
          <w:rFonts w:eastAsia="方正仿宋简体"/>
          <w:kern w:val="0"/>
          <w:sz w:val="30"/>
          <w:szCs w:val="30"/>
        </w:rPr>
        <w:t>对客户各交易类型清算处理如下：</w:t>
      </w:r>
      <w:r>
        <w:rPr>
          <w:rFonts w:hint="eastAsia" w:ascii="宋体" w:hAnsi="宋体" w:cs="宋体"/>
          <w:kern w:val="0"/>
          <w:sz w:val="30"/>
          <w:szCs w:val="30"/>
        </w:rPr>
        <w:t>①</w:t>
      </w:r>
      <w:r>
        <w:rPr>
          <w:rFonts w:eastAsia="方正仿宋简体"/>
          <w:kern w:val="0"/>
          <w:sz w:val="30"/>
          <w:szCs w:val="30"/>
        </w:rPr>
        <w:t>买入开仓：增加权利仓头寸，计减权利金；</w:t>
      </w:r>
      <w:r>
        <w:rPr>
          <w:rFonts w:hint="eastAsia" w:ascii="宋体" w:hAnsi="宋体" w:cs="宋体"/>
          <w:kern w:val="0"/>
          <w:sz w:val="30"/>
          <w:szCs w:val="30"/>
        </w:rPr>
        <w:t>②</w:t>
      </w:r>
      <w:r>
        <w:rPr>
          <w:rFonts w:eastAsia="方正仿宋简体"/>
          <w:kern w:val="0"/>
          <w:sz w:val="30"/>
          <w:szCs w:val="30"/>
        </w:rPr>
        <w:t>卖出平仓：减少权利仓头寸，计增权利金；</w:t>
      </w:r>
      <w:r>
        <w:rPr>
          <w:rFonts w:hint="eastAsia" w:ascii="宋体" w:hAnsi="宋体" w:cs="宋体"/>
          <w:kern w:val="0"/>
          <w:sz w:val="30"/>
          <w:szCs w:val="30"/>
        </w:rPr>
        <w:t>③</w:t>
      </w:r>
      <w:r>
        <w:rPr>
          <w:rFonts w:eastAsia="方正仿宋简体"/>
          <w:kern w:val="0"/>
          <w:sz w:val="30"/>
          <w:szCs w:val="30"/>
        </w:rPr>
        <w:t>卖出开仓：增加义务仓头寸，计减保证金账户可用余额，计增权利金；</w:t>
      </w:r>
      <w:r>
        <w:rPr>
          <w:rFonts w:hint="eastAsia" w:ascii="宋体" w:hAnsi="宋体" w:cs="宋体"/>
          <w:kern w:val="0"/>
          <w:sz w:val="30"/>
          <w:szCs w:val="30"/>
        </w:rPr>
        <w:t>④</w:t>
      </w:r>
      <w:r>
        <w:rPr>
          <w:rFonts w:eastAsia="方正仿宋简体"/>
          <w:kern w:val="0"/>
          <w:sz w:val="30"/>
          <w:szCs w:val="30"/>
        </w:rPr>
        <w:t>买入平仓：减少义务仓头寸，计增保证金账户可用余额，计减权利金；</w:t>
      </w:r>
      <w:r>
        <w:rPr>
          <w:rFonts w:eastAsia="方正仿宋简体"/>
          <w:kern w:val="0"/>
          <w:sz w:val="30"/>
          <w:szCs w:val="30"/>
        </w:rPr>
        <w:fldChar w:fldCharType="begin"/>
      </w:r>
      <w:r>
        <w:rPr>
          <w:rFonts w:eastAsia="方正仿宋简体"/>
          <w:kern w:val="0"/>
          <w:sz w:val="30"/>
          <w:szCs w:val="30"/>
        </w:rPr>
        <w:instrText xml:space="preserve"> = 5 \* GB3 </w:instrText>
      </w:r>
      <w:r>
        <w:rPr>
          <w:rFonts w:eastAsia="方正仿宋简体"/>
          <w:kern w:val="0"/>
          <w:sz w:val="30"/>
          <w:szCs w:val="30"/>
        </w:rPr>
        <w:fldChar w:fldCharType="separate"/>
      </w:r>
      <w:r>
        <w:rPr>
          <w:rFonts w:hint="eastAsia" w:ascii="宋体" w:hAnsi="宋体" w:cs="宋体"/>
          <w:kern w:val="0"/>
          <w:sz w:val="30"/>
          <w:szCs w:val="30"/>
        </w:rPr>
        <w:t>⑤</w:t>
      </w:r>
      <w:r>
        <w:rPr>
          <w:rFonts w:eastAsia="方正仿宋简体"/>
          <w:kern w:val="0"/>
          <w:sz w:val="30"/>
          <w:szCs w:val="30"/>
        </w:rPr>
        <w:fldChar w:fldCharType="end"/>
      </w:r>
      <w:r>
        <w:rPr>
          <w:rFonts w:eastAsia="方正仿宋简体"/>
          <w:kern w:val="0"/>
          <w:sz w:val="30"/>
          <w:szCs w:val="30"/>
        </w:rPr>
        <w:t>备兑开仓：增加义务仓头寸，锁定标的证券，计增权利金；</w:t>
      </w:r>
      <w:r>
        <w:rPr>
          <w:rFonts w:eastAsia="方正仿宋简体"/>
          <w:kern w:val="0"/>
          <w:sz w:val="30"/>
          <w:szCs w:val="30"/>
        </w:rPr>
        <w:fldChar w:fldCharType="begin"/>
      </w:r>
      <w:r>
        <w:rPr>
          <w:rFonts w:eastAsia="方正仿宋简体"/>
          <w:kern w:val="0"/>
          <w:sz w:val="30"/>
          <w:szCs w:val="30"/>
        </w:rPr>
        <w:instrText xml:space="preserve"> = 6 \* GB3 </w:instrText>
      </w:r>
      <w:r>
        <w:rPr>
          <w:rFonts w:eastAsia="方正仿宋简体"/>
          <w:kern w:val="0"/>
          <w:sz w:val="30"/>
          <w:szCs w:val="30"/>
        </w:rPr>
        <w:fldChar w:fldCharType="separate"/>
      </w:r>
      <w:r>
        <w:rPr>
          <w:rFonts w:hint="eastAsia" w:ascii="宋体" w:hAnsi="宋体" w:cs="宋体"/>
          <w:kern w:val="0"/>
          <w:sz w:val="30"/>
          <w:szCs w:val="30"/>
        </w:rPr>
        <w:t>⑥</w:t>
      </w:r>
      <w:r>
        <w:rPr>
          <w:rFonts w:eastAsia="方正仿宋简体"/>
          <w:kern w:val="0"/>
          <w:sz w:val="30"/>
          <w:szCs w:val="30"/>
        </w:rPr>
        <w:fldChar w:fldCharType="end"/>
      </w:r>
      <w:r>
        <w:rPr>
          <w:rFonts w:eastAsia="方正仿宋简体"/>
          <w:kern w:val="0"/>
          <w:sz w:val="30"/>
          <w:szCs w:val="30"/>
        </w:rPr>
        <w:t>备兑平仓：减少义务仓头寸，解锁标的证券，计减权利金。</w:t>
      </w:r>
    </w:p>
    <w:p>
      <w:pPr>
        <w:spacing w:line="560" w:lineRule="exact"/>
        <w:ind w:firstLine="600" w:firstLineChars="200"/>
        <w:rPr>
          <w:rFonts w:eastAsia="方正仿宋简体"/>
          <w:kern w:val="0"/>
          <w:sz w:val="30"/>
          <w:szCs w:val="30"/>
        </w:rPr>
      </w:pPr>
      <w:bookmarkStart w:id="237" w:name="_Toc452017040"/>
      <w:r>
        <w:rPr>
          <w:rFonts w:eastAsia="方正仿宋简体"/>
          <w:kern w:val="0"/>
          <w:sz w:val="30"/>
          <w:szCs w:val="30"/>
        </w:rPr>
        <w:t>在交易时段，证券公司客户可对同一期权合约进行双向持仓（可同时持有权利仓与义务仓）。日终清算时，证券公司应根据中国结算日终清算结果对客户的双向头寸进行对冲（取净头寸，优先对冲非备兑义务仓），并调整为单向持仓，并按单向持仓计收维持保证金。</w:t>
      </w:r>
    </w:p>
    <w:p>
      <w:pPr>
        <w:pStyle w:val="5"/>
        <w:numPr>
          <w:ilvl w:val="0"/>
          <w:numId w:val="90"/>
        </w:numPr>
        <w:spacing w:before="0" w:after="0" w:line="560" w:lineRule="exact"/>
        <w:ind w:left="0" w:firstLine="601" w:firstLineChars="200"/>
        <w:rPr>
          <w:rFonts w:ascii="Times New Roman" w:hAnsi="Times New Roman" w:eastAsia="方正仿宋简体"/>
          <w:sz w:val="30"/>
          <w:szCs w:val="30"/>
        </w:rPr>
      </w:pPr>
      <w:bookmarkStart w:id="238" w:name="_Toc460944615"/>
      <w:bookmarkStart w:id="239" w:name="_Toc25049507"/>
      <w:r>
        <w:rPr>
          <w:rFonts w:ascii="Times New Roman" w:hAnsi="Times New Roman" w:eastAsia="方正仿宋简体"/>
          <w:sz w:val="30"/>
          <w:szCs w:val="30"/>
        </w:rPr>
        <w:t>清算后数据对账</w:t>
      </w:r>
      <w:bookmarkEnd w:id="237"/>
      <w:bookmarkEnd w:id="238"/>
      <w:bookmarkEnd w:id="239"/>
    </w:p>
    <w:p>
      <w:pPr>
        <w:pStyle w:val="7"/>
        <w:numPr>
          <w:ilvl w:val="0"/>
          <w:numId w:val="91"/>
        </w:numPr>
        <w:spacing w:before="0" w:after="0" w:line="560" w:lineRule="exact"/>
        <w:ind w:left="0" w:firstLine="601" w:firstLineChars="200"/>
        <w:rPr>
          <w:rFonts w:eastAsia="方正仿宋简体"/>
          <w:bCs w:val="0"/>
          <w:sz w:val="30"/>
          <w:szCs w:val="30"/>
        </w:rPr>
      </w:pPr>
      <w:r>
        <w:rPr>
          <w:rFonts w:eastAsia="方正仿宋简体"/>
          <w:bCs w:val="0"/>
          <w:sz w:val="30"/>
          <w:szCs w:val="30"/>
        </w:rPr>
        <w:t>合约与证券对账</w:t>
      </w:r>
    </w:p>
    <w:p>
      <w:pPr>
        <w:pStyle w:val="58"/>
        <w:numPr>
          <w:ilvl w:val="0"/>
          <w:numId w:val="92"/>
        </w:numPr>
        <w:spacing w:line="560" w:lineRule="exact"/>
        <w:ind w:firstLine="600"/>
        <w:rPr>
          <w:rFonts w:eastAsia="方正仿宋简体"/>
          <w:sz w:val="30"/>
          <w:szCs w:val="30"/>
        </w:rPr>
      </w:pPr>
      <w:r>
        <w:rPr>
          <w:rFonts w:eastAsia="方正仿宋简体"/>
          <w:sz w:val="30"/>
          <w:szCs w:val="30"/>
        </w:rPr>
        <w:t>合约对账</w:t>
      </w:r>
    </w:p>
    <w:p>
      <w:pPr>
        <w:spacing w:line="560" w:lineRule="exact"/>
        <w:ind w:firstLine="600" w:firstLineChars="200"/>
        <w:rPr>
          <w:rFonts w:eastAsia="方正仿宋简体"/>
          <w:kern w:val="0"/>
          <w:sz w:val="30"/>
          <w:szCs w:val="30"/>
        </w:rPr>
      </w:pPr>
      <w:r>
        <w:rPr>
          <w:rFonts w:eastAsia="方正仿宋简体"/>
          <w:kern w:val="0"/>
          <w:sz w:val="30"/>
          <w:szCs w:val="30"/>
        </w:rPr>
        <w:t>证券公司股票期权柜台系统完成交收后，将系统内客户合约持仓数据与中国结算发送的客户合约持仓数据进行对账，两者不平时须及时分析其原因，并做后续处理。</w:t>
      </w:r>
    </w:p>
    <w:p>
      <w:pPr>
        <w:pStyle w:val="58"/>
        <w:numPr>
          <w:ilvl w:val="0"/>
          <w:numId w:val="92"/>
        </w:numPr>
        <w:spacing w:line="560" w:lineRule="exact"/>
        <w:ind w:firstLine="600"/>
        <w:rPr>
          <w:rFonts w:eastAsia="方正仿宋简体"/>
          <w:sz w:val="30"/>
          <w:szCs w:val="30"/>
        </w:rPr>
      </w:pPr>
      <w:r>
        <w:rPr>
          <w:rFonts w:eastAsia="方正仿宋简体"/>
          <w:sz w:val="30"/>
          <w:szCs w:val="30"/>
        </w:rPr>
        <w:t>标的证券对账</w:t>
      </w:r>
    </w:p>
    <w:p>
      <w:pPr>
        <w:spacing w:line="560" w:lineRule="exact"/>
        <w:ind w:firstLine="600" w:firstLineChars="200"/>
        <w:rPr>
          <w:rFonts w:eastAsia="方正仿宋简体"/>
          <w:kern w:val="0"/>
          <w:sz w:val="30"/>
          <w:szCs w:val="30"/>
        </w:rPr>
      </w:pPr>
      <w:r>
        <w:rPr>
          <w:rFonts w:eastAsia="方正仿宋简体"/>
          <w:kern w:val="0"/>
          <w:sz w:val="30"/>
          <w:szCs w:val="30"/>
        </w:rPr>
        <w:t>证券公司的备兑证券由证券交易经纪业务柜台系统进行管理。该系统完成交收后，证券公司将该系统标的证券持仓数据与中国结算发送的股份数据进行对账，两者不平时须及时分析其原因，并做后续处理。</w:t>
      </w:r>
    </w:p>
    <w:p>
      <w:pPr>
        <w:pStyle w:val="7"/>
        <w:numPr>
          <w:ilvl w:val="0"/>
          <w:numId w:val="91"/>
        </w:numPr>
        <w:spacing w:before="0" w:after="0" w:line="560" w:lineRule="exact"/>
        <w:ind w:left="0" w:firstLine="601" w:firstLineChars="200"/>
        <w:rPr>
          <w:rFonts w:eastAsia="方正仿宋简体"/>
          <w:bCs w:val="0"/>
          <w:sz w:val="30"/>
          <w:szCs w:val="30"/>
        </w:rPr>
      </w:pPr>
      <w:r>
        <w:rPr>
          <w:rFonts w:eastAsia="方正仿宋简体"/>
          <w:bCs w:val="0"/>
          <w:sz w:val="30"/>
          <w:szCs w:val="30"/>
        </w:rPr>
        <w:t>资金对账</w:t>
      </w:r>
    </w:p>
    <w:p>
      <w:pPr>
        <w:pStyle w:val="58"/>
        <w:numPr>
          <w:ilvl w:val="0"/>
          <w:numId w:val="93"/>
        </w:numPr>
        <w:spacing w:line="560" w:lineRule="exact"/>
        <w:ind w:firstLine="600"/>
        <w:rPr>
          <w:rFonts w:eastAsia="方正仿宋简体"/>
          <w:sz w:val="30"/>
          <w:szCs w:val="30"/>
        </w:rPr>
      </w:pPr>
      <w:r>
        <w:rPr>
          <w:rFonts w:eastAsia="方正仿宋简体"/>
          <w:sz w:val="30"/>
          <w:szCs w:val="30"/>
        </w:rPr>
        <w:t>银行头寸账实核对</w:t>
      </w:r>
    </w:p>
    <w:p>
      <w:pPr>
        <w:spacing w:line="560" w:lineRule="exact"/>
        <w:ind w:firstLine="600" w:firstLineChars="200"/>
        <w:rPr>
          <w:rFonts w:eastAsia="方正仿宋简体"/>
          <w:kern w:val="0"/>
          <w:sz w:val="30"/>
          <w:szCs w:val="30"/>
        </w:rPr>
      </w:pPr>
      <w:r>
        <w:rPr>
          <w:rFonts w:eastAsia="方正仿宋简体"/>
          <w:kern w:val="0"/>
          <w:sz w:val="30"/>
          <w:szCs w:val="30"/>
        </w:rPr>
        <w:t>每日清算完成后，证券公司将法人结算系统的期权银行簿记余额与银行实头寸核对，两者不平时须及时分析其原因，并做后续处理。</w:t>
      </w:r>
    </w:p>
    <w:p>
      <w:pPr>
        <w:pStyle w:val="58"/>
        <w:numPr>
          <w:ilvl w:val="0"/>
          <w:numId w:val="93"/>
        </w:numPr>
        <w:spacing w:line="560" w:lineRule="exact"/>
        <w:ind w:firstLine="600"/>
        <w:rPr>
          <w:rFonts w:eastAsia="方正仿宋简体"/>
          <w:sz w:val="30"/>
          <w:szCs w:val="30"/>
        </w:rPr>
      </w:pPr>
      <w:r>
        <w:rPr>
          <w:rFonts w:eastAsia="方正仿宋简体"/>
          <w:sz w:val="30"/>
          <w:szCs w:val="30"/>
        </w:rPr>
        <w:t>中国结算保证金头寸账实核对</w:t>
      </w:r>
    </w:p>
    <w:p>
      <w:pPr>
        <w:spacing w:line="560" w:lineRule="exact"/>
        <w:ind w:firstLine="600" w:firstLineChars="200"/>
        <w:rPr>
          <w:rFonts w:eastAsia="方正仿宋简体"/>
          <w:kern w:val="0"/>
          <w:sz w:val="30"/>
          <w:szCs w:val="30"/>
        </w:rPr>
      </w:pPr>
      <w:r>
        <w:rPr>
          <w:rFonts w:eastAsia="方正仿宋简体"/>
          <w:kern w:val="0"/>
          <w:sz w:val="30"/>
          <w:szCs w:val="30"/>
        </w:rPr>
        <w:t>每日清算完成后，证券公司将法人结算系统的中国结算深圳分公司衍生品保证金簿记余额与中国结算深圳分公司的股票期权保证金账户的实头寸核对，做到账实相符，两者不平时须及时分析其原因，并做后续处理。</w:t>
      </w:r>
    </w:p>
    <w:p>
      <w:pPr>
        <w:pStyle w:val="5"/>
        <w:numPr>
          <w:ilvl w:val="0"/>
          <w:numId w:val="90"/>
        </w:numPr>
        <w:spacing w:before="0" w:after="0" w:line="560" w:lineRule="exact"/>
        <w:ind w:left="0" w:firstLine="601" w:firstLineChars="200"/>
        <w:rPr>
          <w:rFonts w:ascii="Times New Roman" w:hAnsi="Times New Roman" w:eastAsia="方正仿宋简体"/>
          <w:sz w:val="30"/>
          <w:szCs w:val="30"/>
        </w:rPr>
      </w:pPr>
      <w:bookmarkStart w:id="240" w:name="_Toc486410648"/>
      <w:bookmarkEnd w:id="240"/>
      <w:bookmarkStart w:id="241" w:name="_Toc486410649"/>
      <w:bookmarkEnd w:id="241"/>
      <w:bookmarkStart w:id="242" w:name="_Toc25049508"/>
      <w:bookmarkStart w:id="243" w:name="_Toc452017041"/>
      <w:bookmarkStart w:id="244" w:name="_Toc460944616"/>
      <w:r>
        <w:rPr>
          <w:rFonts w:ascii="Times New Roman" w:hAnsi="Times New Roman" w:eastAsia="方正仿宋简体"/>
          <w:sz w:val="30"/>
          <w:szCs w:val="30"/>
        </w:rPr>
        <w:t>日常交易交收</w:t>
      </w:r>
      <w:bookmarkEnd w:id="242"/>
      <w:bookmarkEnd w:id="243"/>
      <w:bookmarkEnd w:id="244"/>
    </w:p>
    <w:p>
      <w:pPr>
        <w:spacing w:line="560" w:lineRule="exact"/>
        <w:ind w:firstLine="600" w:firstLineChars="200"/>
        <w:rPr>
          <w:rFonts w:eastAsia="方正仿宋简体"/>
          <w:kern w:val="0"/>
          <w:sz w:val="30"/>
          <w:szCs w:val="30"/>
        </w:rPr>
      </w:pPr>
      <w:r>
        <w:rPr>
          <w:rFonts w:eastAsia="方正仿宋简体"/>
          <w:kern w:val="0"/>
          <w:sz w:val="30"/>
          <w:szCs w:val="30"/>
        </w:rPr>
        <w:t>具体内容见中国结算发布的《中国证券登记结算有限责任公司关于深圳证券交易所股票期权试点结算</w:t>
      </w:r>
      <w:r>
        <w:rPr>
          <w:rFonts w:eastAsia="方正仿宋简体"/>
          <w:sz w:val="30"/>
          <w:szCs w:val="30"/>
        </w:rPr>
        <w:t>业务实施细则</w:t>
      </w:r>
      <w:r>
        <w:rPr>
          <w:rFonts w:eastAsia="方正仿宋简体"/>
          <w:kern w:val="0"/>
          <w:sz w:val="30"/>
          <w:szCs w:val="30"/>
        </w:rPr>
        <w:t>》及相关业务指南。</w:t>
      </w:r>
    </w:p>
    <w:p>
      <w:pPr>
        <w:widowControl/>
        <w:spacing w:line="560" w:lineRule="exact"/>
        <w:ind w:firstLine="600" w:firstLineChars="200"/>
        <w:rPr>
          <w:rFonts w:eastAsia="方正仿宋简体"/>
          <w:kern w:val="0"/>
          <w:sz w:val="30"/>
          <w:szCs w:val="30"/>
        </w:rPr>
      </w:pPr>
      <w:r>
        <w:rPr>
          <w:rFonts w:eastAsia="方正仿宋简体"/>
          <w:kern w:val="0"/>
          <w:sz w:val="30"/>
          <w:szCs w:val="30"/>
        </w:rPr>
        <w:br w:type="page"/>
      </w: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245" w:name="_Toc465345835"/>
      <w:bookmarkEnd w:id="245"/>
      <w:bookmarkStart w:id="246" w:name="_Toc466021059"/>
      <w:bookmarkEnd w:id="246"/>
      <w:bookmarkStart w:id="247" w:name="_Toc465340821"/>
      <w:bookmarkEnd w:id="247"/>
      <w:bookmarkStart w:id="248" w:name="_Toc467059031"/>
      <w:bookmarkEnd w:id="248"/>
      <w:bookmarkStart w:id="249" w:name="_Toc465340934"/>
      <w:bookmarkEnd w:id="249"/>
      <w:bookmarkStart w:id="250" w:name="_Toc25049509"/>
      <w:r>
        <w:rPr>
          <w:rFonts w:ascii="黑体" w:hAnsi="黑体" w:eastAsia="黑体"/>
          <w:bCs/>
          <w:sz w:val="30"/>
          <w:szCs w:val="30"/>
        </w:rPr>
        <w:t>投资者数据报备</w:t>
      </w:r>
      <w:bookmarkEnd w:id="250"/>
    </w:p>
    <w:p>
      <w:pPr>
        <w:spacing w:line="560" w:lineRule="exact"/>
        <w:ind w:firstLine="600" w:firstLineChars="200"/>
        <w:rPr>
          <w:rFonts w:eastAsia="方正仿宋简体"/>
          <w:kern w:val="0"/>
          <w:sz w:val="30"/>
          <w:szCs w:val="30"/>
        </w:rPr>
      </w:pPr>
      <w:r>
        <w:rPr>
          <w:rFonts w:eastAsia="方正仿宋简体"/>
          <w:kern w:val="0"/>
          <w:sz w:val="30"/>
          <w:szCs w:val="30"/>
        </w:rPr>
        <w:t>为满足交易所对期权业务合格投资者资格准入、分级交易、限购检查、压力测试等监管与风控需要，证券公司应当建立期权合格投资者数据报送制度，指定专人负责有关数据的统计与复核，确保向本所报送的数据信息真实、准确、完整、及时。</w:t>
      </w:r>
    </w:p>
    <w:p>
      <w:pPr>
        <w:pStyle w:val="5"/>
        <w:numPr>
          <w:ilvl w:val="0"/>
          <w:numId w:val="94"/>
        </w:numPr>
        <w:spacing w:before="0" w:after="0" w:line="560" w:lineRule="exact"/>
        <w:ind w:left="0" w:firstLine="601" w:firstLineChars="200"/>
        <w:rPr>
          <w:rFonts w:ascii="Times New Roman" w:hAnsi="Times New Roman" w:eastAsia="方正仿宋简体"/>
          <w:sz w:val="30"/>
          <w:szCs w:val="30"/>
        </w:rPr>
      </w:pPr>
      <w:bookmarkStart w:id="251" w:name="_Toc25049510"/>
      <w:r>
        <w:rPr>
          <w:rFonts w:ascii="Times New Roman" w:hAnsi="Times New Roman" w:eastAsia="方正仿宋简体"/>
          <w:sz w:val="30"/>
          <w:szCs w:val="30"/>
        </w:rPr>
        <w:t>总体要求</w:t>
      </w:r>
      <w:bookmarkEnd w:id="251"/>
    </w:p>
    <w:p>
      <w:pPr>
        <w:spacing w:line="560" w:lineRule="exact"/>
        <w:ind w:firstLine="600" w:firstLineChars="200"/>
        <w:rPr>
          <w:rFonts w:eastAsia="方正仿宋简体"/>
          <w:kern w:val="0"/>
          <w:sz w:val="30"/>
          <w:szCs w:val="30"/>
        </w:rPr>
      </w:pPr>
      <w:r>
        <w:rPr>
          <w:rFonts w:eastAsia="方正仿宋简体"/>
          <w:kern w:val="0"/>
          <w:sz w:val="30"/>
          <w:szCs w:val="30"/>
        </w:rPr>
        <w:t>证券公司应在每个交易日结束之后向本所报备所有客户（仅经纪业务，不含自营业务）的相关信息，包括可买入额度、资金相关信息（主要用于交易所风险控制需要，包括风险压力测试等）等。如果当日投资者未发生期权交易、持仓，也需报送对应的投资者存量资金数据。期权衍生品合约账户注销或休眠的投资者数据不需报送。本所将根据证券公司报备数据核查交易情况，可能会进一步要求证券公司报告其他相关情况。数据报备时间为当日16:30之前。</w:t>
      </w:r>
    </w:p>
    <w:p>
      <w:pPr>
        <w:pStyle w:val="5"/>
        <w:numPr>
          <w:ilvl w:val="0"/>
          <w:numId w:val="94"/>
        </w:numPr>
        <w:spacing w:before="0" w:after="0" w:line="560" w:lineRule="exact"/>
        <w:ind w:left="0" w:firstLine="601" w:firstLineChars="200"/>
        <w:rPr>
          <w:rFonts w:ascii="Times New Roman" w:hAnsi="Times New Roman" w:eastAsia="方正仿宋简体"/>
          <w:sz w:val="30"/>
          <w:szCs w:val="30"/>
        </w:rPr>
      </w:pPr>
      <w:bookmarkStart w:id="252" w:name="_Toc25049511"/>
      <w:r>
        <w:rPr>
          <w:rFonts w:ascii="Times New Roman" w:hAnsi="Times New Roman" w:eastAsia="方正仿宋简体"/>
          <w:sz w:val="30"/>
          <w:szCs w:val="30"/>
        </w:rPr>
        <w:t>数据内容</w:t>
      </w:r>
      <w:bookmarkEnd w:id="252"/>
    </w:p>
    <w:p>
      <w:pPr>
        <w:spacing w:line="560" w:lineRule="exact"/>
        <w:ind w:firstLine="600" w:firstLineChars="200"/>
        <w:rPr>
          <w:rFonts w:eastAsia="方正仿宋简体"/>
          <w:kern w:val="0"/>
          <w:sz w:val="30"/>
          <w:szCs w:val="30"/>
        </w:rPr>
      </w:pPr>
      <w:r>
        <w:rPr>
          <w:rFonts w:eastAsia="方正仿宋简体"/>
          <w:kern w:val="0"/>
          <w:sz w:val="30"/>
          <w:szCs w:val="30"/>
        </w:rPr>
        <w:t>证券公司应按每个投资者一条数录的形式报送，数据报送内容包括：日期、投资者名称、衍生品合约账户、对应深市衍生品结算账户、对应深市A股证券账户、投资者深市信用证券账户、当日衍生品资金账户保证金总额（结算前数据）、当日资金划入划出净额（日间转账数据）、上一交易日衍生品可用保证金余额、上一交易日深市衍生品维持保证金金额（按证券公司保证金水平计算）、上一交易日衍生品合约市值权益（深沪合计）、上一交易日证券市值总额（不含港股通、B股外的所有证券市值，持有证券按收盘价计算）、上一交易日证券资金账户可用资金余额（所有人民币资金）、上一交易日融资融券账户证券总市值（深沪合计，持有证券按收盘价计算）、上一交易日融资融券账户资金总额、上一交易日融资融券账户融入资金总额、上一交易日融资融券账户融券总市值（含深沪，持有证券按收盘价计算）、当日分级级别（自然人账户需填写）、当日可买入额度。</w:t>
      </w:r>
    </w:p>
    <w:p>
      <w:pPr>
        <w:spacing w:line="560" w:lineRule="exact"/>
        <w:ind w:firstLine="600" w:firstLineChars="200"/>
        <w:rPr>
          <w:rFonts w:eastAsia="方正仿宋简体"/>
          <w:kern w:val="0"/>
          <w:sz w:val="30"/>
          <w:szCs w:val="30"/>
        </w:rPr>
      </w:pPr>
      <w:r>
        <w:rPr>
          <w:rFonts w:eastAsia="方正仿宋简体"/>
          <w:kern w:val="0"/>
          <w:sz w:val="30"/>
          <w:szCs w:val="30"/>
        </w:rPr>
        <w:t>上一交易日是指上一交易日结算后的相关数据。具体见数据接口定义。相关指标计算公式如下：</w:t>
      </w:r>
    </w:p>
    <w:p>
      <w:pPr>
        <w:pStyle w:val="58"/>
        <w:numPr>
          <w:ilvl w:val="0"/>
          <w:numId w:val="95"/>
        </w:numPr>
        <w:spacing w:line="560" w:lineRule="exact"/>
        <w:ind w:left="0" w:firstLine="600"/>
        <w:rPr>
          <w:rFonts w:eastAsia="方正仿宋简体"/>
          <w:sz w:val="30"/>
          <w:szCs w:val="30"/>
        </w:rPr>
      </w:pPr>
      <w:r>
        <w:rPr>
          <w:rFonts w:eastAsia="方正仿宋简体"/>
          <w:sz w:val="30"/>
          <w:szCs w:val="30"/>
        </w:rPr>
        <w:t>当日资金划入划出净额=当日总资金划入金额-当日总资金划出金额。涉及多家银行的应合并计算。</w:t>
      </w:r>
    </w:p>
    <w:p>
      <w:pPr>
        <w:pStyle w:val="58"/>
        <w:numPr>
          <w:ilvl w:val="0"/>
          <w:numId w:val="95"/>
        </w:numPr>
        <w:spacing w:line="560" w:lineRule="exact"/>
        <w:ind w:left="0" w:firstLine="600"/>
        <w:rPr>
          <w:rFonts w:eastAsia="方正仿宋简体"/>
          <w:sz w:val="30"/>
          <w:szCs w:val="30"/>
        </w:rPr>
      </w:pPr>
      <w:r>
        <w:rPr>
          <w:rFonts w:eastAsia="方正仿宋简体"/>
          <w:sz w:val="30"/>
          <w:szCs w:val="30"/>
        </w:rPr>
        <w:t>上一交易日衍生品资金账户可用保证金余额=上一交易日衍生品资金账户保证金总额-上一交易日衍生品维持保证金金额（深、沪证券市场及其他市场维持保证金合计）-其他原因冻结的保证金（如行权交收等）。</w:t>
      </w:r>
    </w:p>
    <w:p>
      <w:pPr>
        <w:pStyle w:val="58"/>
        <w:numPr>
          <w:ilvl w:val="0"/>
          <w:numId w:val="95"/>
        </w:numPr>
        <w:spacing w:line="560" w:lineRule="exact"/>
        <w:ind w:left="0" w:firstLine="600"/>
        <w:rPr>
          <w:rFonts w:eastAsia="方正仿宋简体"/>
          <w:kern w:val="0"/>
          <w:sz w:val="30"/>
          <w:szCs w:val="30"/>
        </w:rPr>
      </w:pPr>
      <w:r>
        <w:rPr>
          <w:rFonts w:eastAsia="方正仿宋简体"/>
          <w:sz w:val="30"/>
          <w:szCs w:val="30"/>
        </w:rPr>
        <w:t>衍生品合约市值权益=∑（合约结算价×权利仓张数×合约单位）-∑[合约结算价×义务仓张数（含备兑）×合约单位]。按所持有合约汇总；单位：元；结果保留两位小数。</w:t>
      </w:r>
    </w:p>
    <w:p>
      <w:pPr>
        <w:pStyle w:val="58"/>
        <w:numPr>
          <w:ilvl w:val="0"/>
          <w:numId w:val="95"/>
        </w:numPr>
        <w:spacing w:line="560" w:lineRule="exact"/>
        <w:ind w:left="0" w:firstLine="600"/>
        <w:rPr>
          <w:rFonts w:eastAsia="方正仿宋简体"/>
          <w:kern w:val="0"/>
          <w:sz w:val="30"/>
          <w:szCs w:val="30"/>
        </w:rPr>
      </w:pPr>
      <w:r>
        <w:rPr>
          <w:rFonts w:eastAsia="方正仿宋简体"/>
          <w:sz w:val="30"/>
          <w:szCs w:val="30"/>
        </w:rPr>
        <w:t>衍生品账户当日开户的，应在当日清算完成后，于下一交易日起进行报送；当日销户的，应于下一交易日起停止报送。</w:t>
      </w:r>
    </w:p>
    <w:p>
      <w:pPr>
        <w:pStyle w:val="5"/>
        <w:numPr>
          <w:ilvl w:val="0"/>
          <w:numId w:val="94"/>
        </w:numPr>
        <w:spacing w:before="0" w:after="0" w:line="560" w:lineRule="exact"/>
        <w:ind w:left="0" w:firstLine="601" w:firstLineChars="200"/>
        <w:rPr>
          <w:rFonts w:ascii="Times New Roman" w:hAnsi="Times New Roman" w:eastAsia="方正仿宋简体"/>
          <w:sz w:val="30"/>
          <w:szCs w:val="30"/>
        </w:rPr>
      </w:pPr>
      <w:bookmarkStart w:id="253" w:name="_Toc25049512"/>
      <w:r>
        <w:rPr>
          <w:rFonts w:ascii="Times New Roman" w:hAnsi="Times New Roman" w:eastAsia="方正仿宋简体"/>
          <w:sz w:val="30"/>
          <w:szCs w:val="30"/>
        </w:rPr>
        <w:t>报送渠道</w:t>
      </w:r>
      <w:bookmarkEnd w:id="253"/>
    </w:p>
    <w:p>
      <w:pPr>
        <w:pStyle w:val="7"/>
        <w:numPr>
          <w:ilvl w:val="0"/>
          <w:numId w:val="96"/>
        </w:numPr>
        <w:spacing w:before="0" w:after="0" w:line="560" w:lineRule="exact"/>
        <w:ind w:left="0" w:firstLine="601" w:firstLineChars="200"/>
        <w:rPr>
          <w:rFonts w:eastAsia="方正仿宋简体"/>
          <w:bCs w:val="0"/>
          <w:sz w:val="30"/>
          <w:szCs w:val="30"/>
        </w:rPr>
      </w:pPr>
      <w:r>
        <w:rPr>
          <w:rFonts w:eastAsia="方正仿宋简体"/>
          <w:bCs w:val="0"/>
          <w:sz w:val="30"/>
          <w:szCs w:val="30"/>
        </w:rPr>
        <w:t>正常报送</w:t>
      </w:r>
    </w:p>
    <w:p>
      <w:pPr>
        <w:spacing w:line="560" w:lineRule="exact"/>
        <w:ind w:firstLine="600" w:firstLineChars="200"/>
        <w:rPr>
          <w:rFonts w:eastAsia="方正仿宋简体"/>
          <w:kern w:val="0"/>
          <w:sz w:val="30"/>
          <w:szCs w:val="30"/>
        </w:rPr>
      </w:pPr>
      <w:r>
        <w:rPr>
          <w:rFonts w:eastAsia="方正仿宋简体"/>
          <w:kern w:val="0"/>
          <w:sz w:val="30"/>
          <w:szCs w:val="30"/>
        </w:rPr>
        <w:t>正常情况下，证券公司通过深圳证券通信有限公司（以下简称深证通）本所文件传输系统（基于金融数据交换平台FDEP）向本所发送期权合格投资者数据文件，要求一次性报送全量数据。</w:t>
      </w:r>
    </w:p>
    <w:p>
      <w:pPr>
        <w:spacing w:line="560" w:lineRule="exact"/>
        <w:ind w:firstLine="600" w:firstLineChars="200"/>
        <w:rPr>
          <w:rFonts w:eastAsia="方正仿宋简体"/>
          <w:kern w:val="0"/>
          <w:sz w:val="30"/>
          <w:szCs w:val="30"/>
        </w:rPr>
      </w:pPr>
      <w:r>
        <w:rPr>
          <w:rFonts w:eastAsia="方正仿宋简体"/>
          <w:sz w:val="30"/>
          <w:szCs w:val="30"/>
        </w:rPr>
        <w:t>证券公司应按</w:t>
      </w:r>
      <w:r>
        <w:rPr>
          <w:rFonts w:hint="eastAsia" w:ascii="方正仿宋简体" w:eastAsia="方正仿宋简体"/>
          <w:sz w:val="30"/>
          <w:szCs w:val="30"/>
        </w:rPr>
        <w:t>“</w:t>
      </w:r>
      <w:r>
        <w:rPr>
          <w:rFonts w:eastAsia="方正仿宋简体"/>
          <w:sz w:val="30"/>
          <w:szCs w:val="30"/>
        </w:rPr>
        <w:t>szse_riskcontrol_xxxxxx</w:t>
      </w:r>
      <w:r>
        <w:rPr>
          <w:rFonts w:hint="eastAsia" w:ascii="方正仿宋简体" w:eastAsia="方正仿宋简体"/>
          <w:sz w:val="30"/>
          <w:szCs w:val="30"/>
        </w:rPr>
        <w:t>”</w:t>
      </w:r>
      <w:r>
        <w:rPr>
          <w:rFonts w:eastAsia="方正仿宋简体"/>
          <w:sz w:val="30"/>
          <w:szCs w:val="30"/>
        </w:rPr>
        <w:t>（xxxxxx指各证券公司的6位数字本所会员代码，不足6位时左补0）的业务规则配置经营机构端SZSEFTS，对端用户配置到交易所指定文件网关（编号</w:t>
      </w:r>
      <w:r>
        <w:rPr>
          <w:rFonts w:hint="eastAsia" w:ascii="方正仿宋简体" w:eastAsia="方正仿宋简体"/>
          <w:sz w:val="30"/>
          <w:szCs w:val="30"/>
        </w:rPr>
        <w:t>“</w:t>
      </w:r>
      <w:r>
        <w:rPr>
          <w:rFonts w:eastAsia="方正仿宋简体"/>
          <w:sz w:val="30"/>
          <w:szCs w:val="30"/>
        </w:rPr>
        <w:t>F000000X0002</w:t>
      </w:r>
      <w:r>
        <w:rPr>
          <w:rFonts w:hint="eastAsia" w:ascii="方正仿宋简体" w:eastAsia="方正仿宋简体"/>
          <w:sz w:val="30"/>
          <w:szCs w:val="30"/>
        </w:rPr>
        <w:t>”</w:t>
      </w:r>
      <w:r>
        <w:rPr>
          <w:rFonts w:eastAsia="方正仿宋简体"/>
          <w:sz w:val="30"/>
          <w:szCs w:val="30"/>
        </w:rPr>
        <w:t>）。相关技术说明见《深圳证券交易所数据文件交换接口规范》（参见本所网站新一代交易系统专栏接口规范）及《SSCC-FDEP文件传输系统用户手册》（参见</w:t>
      </w:r>
      <w:r>
        <w:fldChar w:fldCharType="begin"/>
      </w:r>
      <w:r>
        <w:instrText xml:space="preserve"> HYPERLINK "http://www.ssscc.com.cn/common/dtree/download.jsp?catalogId=14616" </w:instrText>
      </w:r>
      <w:r>
        <w:fldChar w:fldCharType="separate"/>
      </w:r>
      <w:r>
        <w:rPr>
          <w:rStyle w:val="39"/>
          <w:rFonts w:eastAsia="方正仿宋简体"/>
          <w:sz w:val="30"/>
          <w:szCs w:val="30"/>
        </w:rPr>
        <w:t>深证通网站下载专区深交所文件传输系统</w:t>
      </w:r>
      <w:r>
        <w:rPr>
          <w:rStyle w:val="39"/>
          <w:rFonts w:eastAsia="方正仿宋简体"/>
          <w:sz w:val="30"/>
          <w:szCs w:val="30"/>
        </w:rPr>
        <w:fldChar w:fldCharType="end"/>
      </w:r>
      <w:r>
        <w:rPr>
          <w:rFonts w:eastAsia="方正仿宋简体"/>
          <w:sz w:val="30"/>
          <w:szCs w:val="30"/>
        </w:rPr>
        <w:t>）。</w:t>
      </w:r>
    </w:p>
    <w:p>
      <w:pPr>
        <w:spacing w:line="560" w:lineRule="exact"/>
        <w:ind w:firstLine="600" w:firstLineChars="200"/>
        <w:rPr>
          <w:rFonts w:eastAsia="方正仿宋简体"/>
          <w:kern w:val="0"/>
          <w:sz w:val="30"/>
          <w:szCs w:val="30"/>
        </w:rPr>
      </w:pPr>
      <w:r>
        <w:rPr>
          <w:rFonts w:eastAsia="方正仿宋简体"/>
          <w:kern w:val="0"/>
          <w:sz w:val="30"/>
          <w:szCs w:val="30"/>
        </w:rPr>
        <w:t>如发生报送错误，可在规定的时间段内（15:30至16:30）重复报送，交易所以16:30之前收到的最后一次报送为准。</w:t>
      </w:r>
    </w:p>
    <w:p>
      <w:pPr>
        <w:pStyle w:val="7"/>
        <w:numPr>
          <w:ilvl w:val="0"/>
          <w:numId w:val="96"/>
        </w:numPr>
        <w:spacing w:before="0" w:after="0" w:line="560" w:lineRule="exact"/>
        <w:ind w:left="0" w:firstLine="601" w:firstLineChars="200"/>
        <w:rPr>
          <w:rFonts w:eastAsia="方正仿宋简体"/>
          <w:bCs w:val="0"/>
          <w:sz w:val="30"/>
          <w:szCs w:val="30"/>
        </w:rPr>
      </w:pPr>
      <w:r>
        <w:rPr>
          <w:rFonts w:eastAsia="方正仿宋简体"/>
          <w:bCs w:val="0"/>
          <w:sz w:val="30"/>
          <w:szCs w:val="30"/>
        </w:rPr>
        <w:t>应急报送</w:t>
      </w:r>
    </w:p>
    <w:p>
      <w:pPr>
        <w:spacing w:line="560" w:lineRule="exact"/>
        <w:ind w:firstLine="600" w:firstLineChars="200"/>
        <w:rPr>
          <w:rFonts w:eastAsia="方正仿宋简体"/>
          <w:kern w:val="0"/>
          <w:sz w:val="30"/>
          <w:szCs w:val="30"/>
        </w:rPr>
      </w:pPr>
      <w:r>
        <w:rPr>
          <w:rFonts w:eastAsia="方正仿宋简体"/>
          <w:kern w:val="0"/>
          <w:sz w:val="30"/>
          <w:szCs w:val="30"/>
        </w:rPr>
        <w:t>因技术系统、通信系统故障等特殊原因，导致当日无法在规定时间报送数据，或报送数据存在重大错误，需要在规定时间外报送数据的，证券公司须联系本所期权业务相关工作人员，并通过本所期权业务专区</w:t>
      </w:r>
      <w:r>
        <w:rPr>
          <w:rFonts w:hint="eastAsia" w:ascii="方正仿宋简体" w:eastAsia="方正仿宋简体"/>
          <w:kern w:val="0"/>
          <w:sz w:val="30"/>
          <w:szCs w:val="30"/>
        </w:rPr>
        <w:t>“</w:t>
      </w:r>
      <w:r>
        <w:rPr>
          <w:rFonts w:eastAsia="方正仿宋简体"/>
          <w:kern w:val="0"/>
          <w:sz w:val="30"/>
          <w:szCs w:val="30"/>
        </w:rPr>
        <w:t>期权合格投资者数据报送</w:t>
      </w:r>
      <w:r>
        <w:rPr>
          <w:rFonts w:hint="eastAsia" w:ascii="方正仿宋简体" w:eastAsia="方正仿宋简体"/>
          <w:kern w:val="0"/>
          <w:sz w:val="30"/>
          <w:szCs w:val="30"/>
        </w:rPr>
        <w:t>”</w:t>
      </w:r>
      <w:r>
        <w:rPr>
          <w:rFonts w:eastAsia="方正仿宋简体"/>
          <w:kern w:val="0"/>
          <w:sz w:val="30"/>
          <w:szCs w:val="30"/>
        </w:rPr>
        <w:t>功能或FDEP渠道，按规定格式报送数据文件。</w:t>
      </w:r>
    </w:p>
    <w:p>
      <w:pPr>
        <w:pStyle w:val="5"/>
        <w:numPr>
          <w:ilvl w:val="0"/>
          <w:numId w:val="94"/>
        </w:numPr>
        <w:spacing w:before="0" w:after="0" w:line="560" w:lineRule="exact"/>
        <w:ind w:left="0" w:firstLine="601" w:firstLineChars="200"/>
        <w:rPr>
          <w:rFonts w:ascii="Times New Roman" w:hAnsi="Times New Roman" w:eastAsia="方正仿宋简体"/>
          <w:sz w:val="30"/>
          <w:szCs w:val="30"/>
        </w:rPr>
      </w:pPr>
      <w:bookmarkStart w:id="254" w:name="_Toc25049513"/>
      <w:r>
        <w:rPr>
          <w:rFonts w:ascii="Times New Roman" w:hAnsi="Times New Roman" w:eastAsia="方正仿宋简体"/>
          <w:sz w:val="30"/>
          <w:szCs w:val="30"/>
        </w:rPr>
        <w:t>格式要求</w:t>
      </w:r>
      <w:bookmarkEnd w:id="254"/>
    </w:p>
    <w:p>
      <w:pPr>
        <w:spacing w:line="560" w:lineRule="exact"/>
        <w:ind w:firstLine="600" w:firstLineChars="200"/>
        <w:rPr>
          <w:rFonts w:eastAsia="方正仿宋简体"/>
          <w:kern w:val="0"/>
          <w:sz w:val="30"/>
          <w:szCs w:val="30"/>
        </w:rPr>
      </w:pPr>
      <w:r>
        <w:rPr>
          <w:rFonts w:eastAsia="方正仿宋简体"/>
          <w:kern w:val="0"/>
          <w:sz w:val="30"/>
          <w:szCs w:val="30"/>
        </w:rPr>
        <w:t>期权合格投资者数据报送格式要求如下：</w:t>
      </w:r>
    </w:p>
    <w:p>
      <w:pPr>
        <w:pStyle w:val="58"/>
        <w:numPr>
          <w:ilvl w:val="0"/>
          <w:numId w:val="97"/>
        </w:numPr>
        <w:spacing w:line="560" w:lineRule="exact"/>
        <w:ind w:left="0" w:firstLine="600"/>
        <w:rPr>
          <w:rFonts w:eastAsia="方正仿宋简体"/>
          <w:sz w:val="30"/>
          <w:szCs w:val="30"/>
        </w:rPr>
      </w:pPr>
      <w:r>
        <w:rPr>
          <w:rFonts w:eastAsia="方正仿宋简体"/>
          <w:sz w:val="30"/>
          <w:szCs w:val="30"/>
        </w:rPr>
        <w:t>数据文件采用DBF文件格式；</w:t>
      </w:r>
    </w:p>
    <w:p>
      <w:pPr>
        <w:pStyle w:val="58"/>
        <w:numPr>
          <w:ilvl w:val="0"/>
          <w:numId w:val="97"/>
        </w:numPr>
        <w:spacing w:line="560" w:lineRule="exact"/>
        <w:ind w:left="0" w:firstLine="600"/>
        <w:rPr>
          <w:rFonts w:eastAsia="方正仿宋简体"/>
          <w:sz w:val="30"/>
          <w:szCs w:val="30"/>
        </w:rPr>
      </w:pPr>
      <w:r>
        <w:rPr>
          <w:rFonts w:eastAsia="方正仿宋简体"/>
          <w:sz w:val="30"/>
          <w:szCs w:val="30"/>
        </w:rPr>
        <w:t>报送文件中，字段名称、字段间顺序和字段内容格式须与下文接口定义保持一致；</w:t>
      </w:r>
    </w:p>
    <w:p>
      <w:pPr>
        <w:pStyle w:val="58"/>
        <w:numPr>
          <w:ilvl w:val="0"/>
          <w:numId w:val="97"/>
        </w:numPr>
        <w:spacing w:line="560" w:lineRule="exact"/>
        <w:ind w:left="0" w:firstLine="600"/>
        <w:rPr>
          <w:rFonts w:eastAsia="方正仿宋简体"/>
          <w:sz w:val="30"/>
          <w:szCs w:val="30"/>
        </w:rPr>
      </w:pPr>
      <w:r>
        <w:rPr>
          <w:rFonts w:eastAsia="方正仿宋简体"/>
          <w:sz w:val="30"/>
          <w:szCs w:val="30"/>
        </w:rPr>
        <w:t>对于数值型字段，如果含小数部分，则字段长度包含小数点位；对于字符型字段，如无特别说明，字段内容要求左对齐，字段长度不得超过规定长度；</w:t>
      </w:r>
    </w:p>
    <w:p>
      <w:pPr>
        <w:pStyle w:val="58"/>
        <w:numPr>
          <w:ilvl w:val="0"/>
          <w:numId w:val="97"/>
        </w:numPr>
        <w:spacing w:line="560" w:lineRule="exact"/>
        <w:ind w:left="0" w:firstLine="600"/>
        <w:rPr>
          <w:rFonts w:eastAsia="方正仿宋简体"/>
          <w:sz w:val="30"/>
          <w:szCs w:val="30"/>
        </w:rPr>
      </w:pPr>
      <w:r>
        <w:rPr>
          <w:rFonts w:eastAsia="方正仿宋简体"/>
          <w:sz w:val="30"/>
          <w:szCs w:val="30"/>
        </w:rPr>
        <w:t>数据文件名采用形如</w:t>
      </w:r>
      <w:r>
        <w:rPr>
          <w:rFonts w:hint="eastAsia" w:ascii="方正仿宋简体" w:eastAsia="方正仿宋简体"/>
          <w:sz w:val="30"/>
          <w:szCs w:val="30"/>
        </w:rPr>
        <w:t>“</w:t>
      </w:r>
      <w:r>
        <w:rPr>
          <w:rFonts w:eastAsia="方正仿宋简体"/>
          <w:sz w:val="30"/>
          <w:szCs w:val="30"/>
        </w:rPr>
        <w:t>QQHGBS_XXXXXX_CCYYMMDD.dbf</w:t>
      </w:r>
      <w:r>
        <w:rPr>
          <w:rFonts w:hint="eastAsia" w:ascii="方正仿宋简体" w:eastAsia="方正仿宋简体"/>
          <w:sz w:val="30"/>
          <w:szCs w:val="30"/>
        </w:rPr>
        <w:t>”</w:t>
      </w:r>
      <w:r>
        <w:rPr>
          <w:rFonts w:eastAsia="方正仿宋简体"/>
          <w:sz w:val="30"/>
          <w:szCs w:val="30"/>
        </w:rPr>
        <w:t>的命名规范，其中XXXXXX为证券公司的本所会员代号（与期权业务专区登陆账户后6位保持一致）；CCYY、MM、DD对应报送日期的年、月、日；</w:t>
      </w:r>
      <w:r>
        <w:rPr>
          <w:rFonts w:hint="eastAsia" w:ascii="方正仿宋简体" w:eastAsia="方正仿宋简体"/>
          <w:sz w:val="30"/>
          <w:szCs w:val="30"/>
        </w:rPr>
        <w:t>”</w:t>
      </w:r>
      <w:r>
        <w:rPr>
          <w:rFonts w:eastAsia="方正仿宋简体"/>
          <w:sz w:val="30"/>
          <w:szCs w:val="30"/>
        </w:rPr>
        <w:t>.dbf</w:t>
      </w:r>
      <w:r>
        <w:rPr>
          <w:rFonts w:hint="eastAsia" w:ascii="方正仿宋简体" w:eastAsia="方正仿宋简体"/>
          <w:sz w:val="30"/>
          <w:szCs w:val="30"/>
        </w:rPr>
        <w:t>”</w:t>
      </w:r>
      <w:r>
        <w:rPr>
          <w:rFonts w:eastAsia="方正仿宋简体"/>
          <w:sz w:val="30"/>
          <w:szCs w:val="30"/>
        </w:rPr>
        <w:t>为文件扩展名。例如:报送日期为2015年6月1日，则对应报送的数据文件名为</w:t>
      </w:r>
      <w:r>
        <w:rPr>
          <w:rFonts w:hint="eastAsia" w:ascii="方正仿宋简体" w:eastAsia="方正仿宋简体"/>
          <w:sz w:val="30"/>
          <w:szCs w:val="30"/>
        </w:rPr>
        <w:t>“</w:t>
      </w:r>
      <w:r>
        <w:rPr>
          <w:rFonts w:eastAsia="方正仿宋简体"/>
          <w:sz w:val="30"/>
          <w:szCs w:val="30"/>
        </w:rPr>
        <w:t>QQHGBS_000100_20150601.dbf</w:t>
      </w:r>
      <w:r>
        <w:rPr>
          <w:rFonts w:hint="eastAsia" w:ascii="方正仿宋简体" w:eastAsia="方正仿宋简体"/>
          <w:sz w:val="30"/>
          <w:szCs w:val="30"/>
        </w:rPr>
        <w:t>”</w:t>
      </w:r>
      <w:r>
        <w:rPr>
          <w:rFonts w:eastAsia="方正仿宋简体"/>
          <w:sz w:val="30"/>
          <w:szCs w:val="30"/>
        </w:rPr>
        <w:t>。</w:t>
      </w:r>
    </w:p>
    <w:p>
      <w:pPr>
        <w:pStyle w:val="58"/>
        <w:numPr>
          <w:ilvl w:val="0"/>
          <w:numId w:val="97"/>
        </w:numPr>
        <w:spacing w:line="560" w:lineRule="exact"/>
        <w:ind w:left="0" w:firstLine="600"/>
        <w:rPr>
          <w:rFonts w:eastAsia="方正仿宋简体"/>
          <w:kern w:val="0"/>
          <w:sz w:val="30"/>
          <w:szCs w:val="30"/>
        </w:rPr>
      </w:pPr>
      <w:r>
        <w:rPr>
          <w:rFonts w:eastAsia="方正仿宋简体"/>
          <w:sz w:val="30"/>
          <w:szCs w:val="30"/>
        </w:rPr>
        <w:t>具体数据接口参见</w:t>
      </w:r>
      <w:r>
        <w:rPr>
          <w:rFonts w:hint="eastAsia" w:ascii="方正仿宋简体" w:eastAsia="方正仿宋简体"/>
          <w:sz w:val="30"/>
          <w:szCs w:val="30"/>
        </w:rPr>
        <w:t>“</w:t>
      </w:r>
      <w:r>
        <w:rPr>
          <w:rFonts w:eastAsia="方正仿宋简体"/>
          <w:sz w:val="30"/>
          <w:szCs w:val="30"/>
        </w:rPr>
        <w:t>附件9：期权合格投资者数据报送接口定义表</w:t>
      </w:r>
      <w:r>
        <w:rPr>
          <w:rFonts w:hint="eastAsia" w:ascii="方正仿宋简体" w:eastAsia="方正仿宋简体"/>
          <w:sz w:val="30"/>
          <w:szCs w:val="30"/>
        </w:rPr>
        <w:t>”</w:t>
      </w:r>
      <w:r>
        <w:rPr>
          <w:rFonts w:eastAsia="方正仿宋简体"/>
          <w:sz w:val="30"/>
          <w:szCs w:val="30"/>
        </w:rPr>
        <w:t>。</w:t>
      </w: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r>
        <w:rPr>
          <w:rFonts w:eastAsia="方正仿宋简体"/>
          <w:kern w:val="0"/>
          <w:sz w:val="30"/>
          <w:szCs w:val="30"/>
        </w:rPr>
        <w:br w:type="page"/>
      </w:r>
      <w:bookmarkStart w:id="255" w:name="_Toc25049514"/>
      <w:r>
        <w:rPr>
          <w:rFonts w:ascii="黑体" w:hAnsi="黑体" w:eastAsia="黑体"/>
          <w:bCs/>
          <w:sz w:val="30"/>
          <w:szCs w:val="30"/>
        </w:rPr>
        <w:t>程序化交易报备</w:t>
      </w:r>
      <w:bookmarkEnd w:id="255"/>
    </w:p>
    <w:p>
      <w:pPr>
        <w:spacing w:line="560" w:lineRule="exact"/>
        <w:ind w:firstLine="600" w:firstLineChars="200"/>
        <w:rPr>
          <w:rFonts w:eastAsia="方正仿宋简体"/>
          <w:kern w:val="0"/>
          <w:sz w:val="30"/>
          <w:szCs w:val="30"/>
        </w:rPr>
      </w:pPr>
      <w:r>
        <w:rPr>
          <w:rFonts w:eastAsia="方正仿宋简体"/>
          <w:sz w:val="30"/>
          <w:szCs w:val="30"/>
        </w:rPr>
        <w:t>本所对程序化交易账户实行报备制度，要求证券公司事先向本所上报客户计划使用的程序化交易软件及账户相关信息。证券公司客户使用交易软件实现自动下单或者快速下单等功能，即非通过人工界面逐笔或逐个组合操作的，即被视为程序化交易</w:t>
      </w:r>
      <w:r>
        <w:rPr>
          <w:rFonts w:eastAsia="方正仿宋简体"/>
          <w:kern w:val="0"/>
          <w:sz w:val="30"/>
          <w:szCs w:val="30"/>
        </w:rPr>
        <w:t>。</w:t>
      </w:r>
    </w:p>
    <w:p>
      <w:pPr>
        <w:pStyle w:val="5"/>
        <w:numPr>
          <w:ilvl w:val="0"/>
          <w:numId w:val="98"/>
        </w:numPr>
        <w:spacing w:before="0" w:after="0" w:line="560" w:lineRule="exact"/>
        <w:ind w:left="0" w:firstLine="601" w:firstLineChars="200"/>
        <w:rPr>
          <w:rFonts w:ascii="Times New Roman" w:hAnsi="Times New Roman" w:eastAsia="方正仿宋简体"/>
          <w:sz w:val="30"/>
          <w:szCs w:val="30"/>
        </w:rPr>
      </w:pPr>
      <w:bookmarkStart w:id="256" w:name="_Toc25049515"/>
      <w:r>
        <w:rPr>
          <w:rFonts w:ascii="Times New Roman" w:hAnsi="Times New Roman" w:eastAsia="方正仿宋简体"/>
          <w:sz w:val="30"/>
          <w:szCs w:val="30"/>
        </w:rPr>
        <w:t>程序化交易接入管理要求</w:t>
      </w:r>
      <w:bookmarkEnd w:id="256"/>
    </w:p>
    <w:p>
      <w:pPr>
        <w:spacing w:line="560" w:lineRule="exact"/>
        <w:ind w:firstLine="600" w:firstLineChars="200"/>
        <w:rPr>
          <w:rFonts w:eastAsia="方正仿宋简体"/>
          <w:sz w:val="30"/>
          <w:szCs w:val="30"/>
        </w:rPr>
      </w:pPr>
      <w:r>
        <w:rPr>
          <w:rFonts w:eastAsia="方正仿宋简体"/>
          <w:sz w:val="30"/>
          <w:szCs w:val="30"/>
        </w:rPr>
        <w:t>证券公司应当建立程序化交易接入管理制度，明确客户进行程序化交易的相关要求和管理机制，对客户进行程序化交易实行严格的接入和认证管理。期权经营机构应当根据程序化交易管理制度，对客户使用自有、第三方提供或者期权经营机构提供的交易软件或者接口进行程序化交易的申请，进行审核、测试及认证，对符合条件的客户开通程序化交易权限，并与客户签署程序化交易业务协议，明确各自的权利、义务。客户未提出程序化交易申请或者未通过认证的，证券公司不得为其开通程序化交易权限。客户未开通程序化交易权限即自行开展程序化交易的，证券公司发现后应当及时予以制止，并向本所报告。</w:t>
      </w:r>
    </w:p>
    <w:p>
      <w:pPr>
        <w:spacing w:line="560" w:lineRule="exact"/>
        <w:ind w:firstLine="600" w:firstLineChars="200"/>
        <w:rPr>
          <w:rFonts w:eastAsia="方正仿宋简体"/>
          <w:kern w:val="0"/>
          <w:sz w:val="30"/>
          <w:szCs w:val="30"/>
        </w:rPr>
      </w:pPr>
      <w:r>
        <w:rPr>
          <w:rFonts w:eastAsia="方正仿宋简体"/>
          <w:sz w:val="30"/>
          <w:szCs w:val="30"/>
        </w:rPr>
        <w:t>证券公司应当为已开通程序化交易权限的客户设置专门的接入柜台系统的委托通道，并和未开通程序化交易权限的客户接入柜台系统的委托通道实行隔离管理</w:t>
      </w:r>
      <w:r>
        <w:rPr>
          <w:rFonts w:eastAsia="方正仿宋简体"/>
          <w:kern w:val="0"/>
          <w:sz w:val="30"/>
          <w:szCs w:val="30"/>
        </w:rPr>
        <w:t>。</w:t>
      </w:r>
    </w:p>
    <w:p>
      <w:pPr>
        <w:pStyle w:val="5"/>
        <w:numPr>
          <w:ilvl w:val="0"/>
          <w:numId w:val="98"/>
        </w:numPr>
        <w:spacing w:before="0" w:after="0" w:line="560" w:lineRule="exact"/>
        <w:ind w:left="0" w:firstLine="601" w:firstLineChars="200"/>
        <w:rPr>
          <w:rFonts w:ascii="Times New Roman" w:hAnsi="Times New Roman" w:eastAsia="方正仿宋简体"/>
          <w:sz w:val="30"/>
          <w:szCs w:val="30"/>
        </w:rPr>
      </w:pPr>
      <w:bookmarkStart w:id="257" w:name="_Toc25049516"/>
      <w:r>
        <w:rPr>
          <w:rFonts w:ascii="Times New Roman" w:hAnsi="Times New Roman" w:eastAsia="方正仿宋简体"/>
          <w:sz w:val="30"/>
          <w:szCs w:val="30"/>
        </w:rPr>
        <w:t>程序化交易报备管理要求</w:t>
      </w:r>
      <w:bookmarkEnd w:id="257"/>
    </w:p>
    <w:p>
      <w:pPr>
        <w:spacing w:line="560" w:lineRule="exact"/>
        <w:ind w:firstLine="600" w:firstLineChars="200"/>
        <w:rPr>
          <w:rFonts w:eastAsia="方正仿宋简体"/>
          <w:kern w:val="0"/>
          <w:sz w:val="30"/>
          <w:szCs w:val="30"/>
        </w:rPr>
      </w:pPr>
      <w:r>
        <w:rPr>
          <w:rFonts w:eastAsia="方正仿宋简体"/>
          <w:kern w:val="0"/>
          <w:sz w:val="30"/>
          <w:szCs w:val="30"/>
        </w:rPr>
        <w:t>客户申请使用自有、第三方或者期权经营机构提供的交易软件或者接口进行程序化交易，证券公司经审核、认证后拟为其开通程序化交易权限的，应当严格落实程序化交易的备案要求，提前5个交易日向本所进行报备，提交《股票期权业务程序化交易报备表》（详见附件10），本所根据情况可要求补充投资者尽职调查报告、系统测试报告、业务部门审批意见、合规部门或风控部门审批意见、业务协议等材料。</w:t>
      </w:r>
    </w:p>
    <w:p>
      <w:pPr>
        <w:spacing w:line="560" w:lineRule="exact"/>
        <w:ind w:firstLine="600" w:firstLineChars="200"/>
        <w:rPr>
          <w:rFonts w:eastAsia="方正仿宋简体"/>
          <w:kern w:val="0"/>
          <w:sz w:val="30"/>
          <w:szCs w:val="30"/>
        </w:rPr>
      </w:pPr>
      <w:r>
        <w:rPr>
          <w:rFonts w:eastAsia="方正仿宋简体"/>
          <w:kern w:val="0"/>
          <w:sz w:val="30"/>
          <w:szCs w:val="30"/>
        </w:rPr>
        <w:t>证券公司应将所有满足程序化交易认定条件的账户及时通过本所期权业务专区向本所报备。证券公司可在每个交易日17:00前向交易所进行报备，迟于此时间报备的视同下一交易日报备。</w:t>
      </w:r>
    </w:p>
    <w:p>
      <w:pPr>
        <w:spacing w:line="560" w:lineRule="exact"/>
        <w:ind w:firstLine="600" w:firstLineChars="200"/>
        <w:rPr>
          <w:rFonts w:eastAsia="方正仿宋简体"/>
          <w:kern w:val="0"/>
          <w:sz w:val="30"/>
          <w:szCs w:val="30"/>
        </w:rPr>
      </w:pPr>
      <w:r>
        <w:rPr>
          <w:rFonts w:eastAsia="方正仿宋简体"/>
          <w:kern w:val="0"/>
          <w:sz w:val="30"/>
          <w:szCs w:val="30"/>
        </w:rPr>
        <w:t>证券公司报备的程序化交易应当基于真实交易需求，材料应当真实、准确、完整。</w:t>
      </w:r>
    </w:p>
    <w:p>
      <w:pPr>
        <w:spacing w:line="560" w:lineRule="exact"/>
        <w:ind w:firstLine="600" w:firstLineChars="200"/>
        <w:rPr>
          <w:rFonts w:eastAsia="方正仿宋简体"/>
          <w:kern w:val="0"/>
          <w:sz w:val="30"/>
          <w:szCs w:val="30"/>
        </w:rPr>
      </w:pPr>
      <w:r>
        <w:rPr>
          <w:rFonts w:eastAsia="方正仿宋简体"/>
          <w:kern w:val="0"/>
          <w:sz w:val="30"/>
          <w:szCs w:val="30"/>
        </w:rPr>
        <w:t>对于证券公司存在不报、漏报、未及时报备程序化交易等情况的，本所可根据情节轻重，采取书面警示、监管谈话等监管措施或者纪律处分措施</w:t>
      </w:r>
      <w:r>
        <w:rPr>
          <w:rFonts w:eastAsia="方正仿宋简体"/>
          <w:sz w:val="30"/>
          <w:szCs w:val="30"/>
        </w:rPr>
        <w:t>。</w:t>
      </w:r>
    </w:p>
    <w:p>
      <w:pPr>
        <w:pStyle w:val="5"/>
        <w:numPr>
          <w:ilvl w:val="0"/>
          <w:numId w:val="98"/>
        </w:numPr>
        <w:spacing w:before="0" w:after="0" w:line="560" w:lineRule="exact"/>
        <w:ind w:left="0" w:firstLine="601" w:firstLineChars="200"/>
        <w:rPr>
          <w:rFonts w:ascii="Times New Roman" w:hAnsi="Times New Roman" w:eastAsia="方正仿宋简体"/>
          <w:sz w:val="30"/>
          <w:szCs w:val="30"/>
        </w:rPr>
      </w:pPr>
      <w:bookmarkStart w:id="258" w:name="_Toc25049517"/>
      <w:r>
        <w:rPr>
          <w:rFonts w:ascii="Times New Roman" w:hAnsi="Times New Roman" w:eastAsia="方正仿宋简体"/>
          <w:sz w:val="30"/>
          <w:szCs w:val="30"/>
        </w:rPr>
        <w:t>程序化交易升级报备</w:t>
      </w:r>
      <w:bookmarkEnd w:id="258"/>
    </w:p>
    <w:p>
      <w:pPr>
        <w:spacing w:line="560" w:lineRule="exact"/>
        <w:ind w:firstLine="600" w:firstLineChars="200"/>
        <w:rPr>
          <w:rFonts w:eastAsia="方正仿宋简体"/>
          <w:kern w:val="0"/>
          <w:sz w:val="30"/>
          <w:szCs w:val="30"/>
        </w:rPr>
      </w:pPr>
      <w:r>
        <w:rPr>
          <w:rFonts w:eastAsia="方正仿宋简体"/>
          <w:kern w:val="0"/>
          <w:sz w:val="30"/>
          <w:szCs w:val="30"/>
        </w:rPr>
        <w:t>已报备的程序化交易账户发生以下信息变更时，证券公司应当提前2个交易日向本所进行信息变更报备：</w:t>
      </w:r>
    </w:p>
    <w:p>
      <w:pPr>
        <w:pStyle w:val="58"/>
        <w:numPr>
          <w:ilvl w:val="0"/>
          <w:numId w:val="99"/>
        </w:numPr>
        <w:spacing w:line="560" w:lineRule="exact"/>
        <w:ind w:left="0" w:firstLine="600"/>
        <w:rPr>
          <w:rFonts w:eastAsia="方正仿宋简体"/>
          <w:sz w:val="30"/>
          <w:szCs w:val="30"/>
        </w:rPr>
      </w:pPr>
      <w:r>
        <w:rPr>
          <w:rFonts w:eastAsia="方正仿宋简体"/>
          <w:sz w:val="30"/>
          <w:szCs w:val="30"/>
        </w:rPr>
        <w:t>账户资金来源发生变更；</w:t>
      </w:r>
    </w:p>
    <w:p>
      <w:pPr>
        <w:pStyle w:val="58"/>
        <w:numPr>
          <w:ilvl w:val="0"/>
          <w:numId w:val="99"/>
        </w:numPr>
        <w:spacing w:line="560" w:lineRule="exact"/>
        <w:ind w:left="0" w:firstLine="600"/>
        <w:rPr>
          <w:rFonts w:eastAsia="方正仿宋简体"/>
          <w:sz w:val="30"/>
          <w:szCs w:val="30"/>
        </w:rPr>
      </w:pPr>
      <w:r>
        <w:rPr>
          <w:rFonts w:eastAsia="方正仿宋简体"/>
          <w:sz w:val="30"/>
          <w:szCs w:val="30"/>
        </w:rPr>
        <w:t>账户实际控制人发生变更；</w:t>
      </w:r>
    </w:p>
    <w:p>
      <w:pPr>
        <w:pStyle w:val="58"/>
        <w:numPr>
          <w:ilvl w:val="0"/>
          <w:numId w:val="99"/>
        </w:numPr>
        <w:spacing w:line="560" w:lineRule="exact"/>
        <w:ind w:left="0" w:firstLine="600"/>
        <w:rPr>
          <w:rFonts w:eastAsia="方正仿宋简体"/>
          <w:sz w:val="30"/>
          <w:szCs w:val="30"/>
        </w:rPr>
      </w:pPr>
      <w:r>
        <w:rPr>
          <w:rFonts w:eastAsia="方正仿宋简体"/>
          <w:sz w:val="30"/>
          <w:szCs w:val="30"/>
        </w:rPr>
        <w:t>账户主要交易员信息发生变更；</w:t>
      </w:r>
    </w:p>
    <w:p>
      <w:pPr>
        <w:pStyle w:val="58"/>
        <w:numPr>
          <w:ilvl w:val="0"/>
          <w:numId w:val="99"/>
        </w:numPr>
        <w:spacing w:line="560" w:lineRule="exact"/>
        <w:ind w:left="0" w:firstLine="600"/>
        <w:rPr>
          <w:rFonts w:eastAsia="方正仿宋简体"/>
          <w:sz w:val="30"/>
          <w:szCs w:val="30"/>
        </w:rPr>
      </w:pPr>
      <w:r>
        <w:rPr>
          <w:rFonts w:eastAsia="方正仿宋简体"/>
          <w:sz w:val="30"/>
          <w:szCs w:val="30"/>
        </w:rPr>
        <w:t>交易系统或下单系统服务器所在城市发生变更；</w:t>
      </w:r>
    </w:p>
    <w:p>
      <w:pPr>
        <w:pStyle w:val="58"/>
        <w:numPr>
          <w:ilvl w:val="0"/>
          <w:numId w:val="99"/>
        </w:numPr>
        <w:spacing w:line="560" w:lineRule="exact"/>
        <w:ind w:left="0" w:firstLine="600"/>
        <w:rPr>
          <w:rFonts w:eastAsia="方正仿宋简体"/>
          <w:sz w:val="30"/>
          <w:szCs w:val="30"/>
        </w:rPr>
      </w:pPr>
      <w:r>
        <w:rPr>
          <w:rFonts w:eastAsia="方正仿宋简体"/>
          <w:sz w:val="30"/>
          <w:szCs w:val="30"/>
        </w:rPr>
        <w:t>程序交易软件信息发生重大变更；</w:t>
      </w:r>
    </w:p>
    <w:p>
      <w:pPr>
        <w:pStyle w:val="58"/>
        <w:numPr>
          <w:ilvl w:val="0"/>
          <w:numId w:val="99"/>
        </w:numPr>
        <w:spacing w:line="560" w:lineRule="exact"/>
        <w:ind w:left="0" w:firstLine="600"/>
        <w:rPr>
          <w:rFonts w:eastAsia="方正仿宋简体"/>
          <w:sz w:val="30"/>
          <w:szCs w:val="30"/>
        </w:rPr>
      </w:pPr>
      <w:r>
        <w:rPr>
          <w:rFonts w:eastAsia="方正仿宋简体"/>
          <w:sz w:val="30"/>
          <w:szCs w:val="30"/>
        </w:rPr>
        <w:t>其他重大信息变更。</w:t>
      </w:r>
    </w:p>
    <w:p>
      <w:pPr>
        <w:pStyle w:val="5"/>
        <w:numPr>
          <w:ilvl w:val="0"/>
          <w:numId w:val="98"/>
        </w:numPr>
        <w:spacing w:before="0" w:after="0" w:line="560" w:lineRule="exact"/>
        <w:ind w:left="0" w:firstLine="601" w:firstLineChars="200"/>
        <w:rPr>
          <w:rFonts w:ascii="Times New Roman" w:hAnsi="Times New Roman" w:eastAsia="方正仿宋简体"/>
          <w:sz w:val="30"/>
          <w:szCs w:val="30"/>
        </w:rPr>
      </w:pPr>
      <w:bookmarkStart w:id="259" w:name="_Toc25049518"/>
      <w:r>
        <w:rPr>
          <w:rFonts w:ascii="Times New Roman" w:hAnsi="Times New Roman" w:eastAsia="方正仿宋简体"/>
          <w:sz w:val="30"/>
          <w:szCs w:val="30"/>
        </w:rPr>
        <w:t>程序化交易的监督</w:t>
      </w:r>
      <w:bookmarkEnd w:id="259"/>
    </w:p>
    <w:p>
      <w:pPr>
        <w:spacing w:line="560" w:lineRule="exact"/>
        <w:ind w:firstLine="600" w:firstLineChars="200"/>
        <w:rPr>
          <w:rFonts w:eastAsia="方正仿宋简体"/>
          <w:kern w:val="0"/>
          <w:sz w:val="30"/>
          <w:szCs w:val="30"/>
        </w:rPr>
      </w:pPr>
      <w:r>
        <w:rPr>
          <w:rFonts w:eastAsia="方正仿宋简体"/>
          <w:kern w:val="0"/>
          <w:sz w:val="30"/>
          <w:szCs w:val="30"/>
        </w:rPr>
        <w:t>本所对证券公司提交的报备材料进行核查，发现信息不全或存有疑义的，将在收到报备材料的5个交易日内向证券公司进行反馈，要求补充材料或进行相关解释。证券公司在5个交易日内未收到本所反馈的，报备账户可于报送之日起5个交易日后进行股票期权程序化交易。</w:t>
      </w:r>
    </w:p>
    <w:p>
      <w:pPr>
        <w:spacing w:line="560" w:lineRule="exact"/>
        <w:ind w:firstLine="600" w:firstLineChars="200"/>
        <w:rPr>
          <w:rFonts w:eastAsia="方正仿宋简体"/>
          <w:kern w:val="0"/>
          <w:sz w:val="30"/>
          <w:szCs w:val="30"/>
        </w:rPr>
      </w:pPr>
      <w:r>
        <w:rPr>
          <w:rFonts w:eastAsia="方正仿宋简体"/>
          <w:kern w:val="0"/>
          <w:sz w:val="30"/>
          <w:szCs w:val="30"/>
        </w:rPr>
        <w:t>投资者可以通过证券公司向本所申请撤销程序化交易账户报备，撤销报备后的账户在再次报备前不得进行程序化交易。</w:t>
      </w:r>
    </w:p>
    <w:p>
      <w:pPr>
        <w:spacing w:line="560" w:lineRule="exact"/>
        <w:ind w:firstLine="600" w:firstLineChars="200"/>
        <w:rPr>
          <w:rFonts w:eastAsia="方正仿宋简体"/>
          <w:kern w:val="0"/>
          <w:sz w:val="30"/>
          <w:szCs w:val="30"/>
        </w:rPr>
      </w:pPr>
      <w:r>
        <w:rPr>
          <w:rFonts w:eastAsia="方正仿宋简体"/>
          <w:kern w:val="0"/>
          <w:sz w:val="30"/>
          <w:szCs w:val="30"/>
        </w:rPr>
        <w:t>证券公司应当加强对程序化交易的运行监控，并针对客户程序化交易可能发生的异常情况，建立预防、发现与处置机制，自觉维护期权交易的正常秩序。</w:t>
      </w:r>
    </w:p>
    <w:p>
      <w:pPr>
        <w:spacing w:line="560" w:lineRule="exact"/>
        <w:ind w:firstLine="600" w:firstLineChars="200"/>
        <w:rPr>
          <w:rFonts w:eastAsia="方正仿宋简体"/>
          <w:kern w:val="0"/>
          <w:sz w:val="30"/>
          <w:szCs w:val="30"/>
        </w:rPr>
      </w:pPr>
      <w:r>
        <w:rPr>
          <w:rFonts w:eastAsia="方正仿宋简体"/>
          <w:kern w:val="0"/>
          <w:sz w:val="30"/>
          <w:szCs w:val="30"/>
        </w:rPr>
        <w:t>客户进行程序化交易出现或者可能出现异常的，期权经营机构应当按照与客户的约定，及时采取应急处置措施，包括但不限于限制客户交易权限、为客户提供紧急撤单服务等。</w:t>
      </w:r>
    </w:p>
    <w:p>
      <w:pPr>
        <w:widowControl/>
        <w:spacing w:line="560" w:lineRule="exact"/>
        <w:ind w:firstLine="600" w:firstLineChars="200"/>
        <w:rPr>
          <w:rFonts w:eastAsia="方正仿宋简体"/>
          <w:kern w:val="0"/>
          <w:sz w:val="30"/>
          <w:szCs w:val="30"/>
        </w:rPr>
      </w:pPr>
      <w:r>
        <w:rPr>
          <w:rFonts w:eastAsia="方正仿宋简体"/>
          <w:kern w:val="0"/>
          <w:sz w:val="30"/>
          <w:szCs w:val="30"/>
        </w:rPr>
        <w:br w:type="page"/>
      </w:r>
    </w:p>
    <w:p>
      <w:pPr>
        <w:pStyle w:val="58"/>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bCs/>
          <w:sz w:val="30"/>
          <w:szCs w:val="30"/>
        </w:rPr>
      </w:pPr>
      <w:bookmarkStart w:id="260" w:name="_Toc465345900"/>
      <w:bookmarkEnd w:id="260"/>
      <w:bookmarkStart w:id="261" w:name="_Toc465345949"/>
      <w:bookmarkEnd w:id="261"/>
      <w:bookmarkStart w:id="262" w:name="_Toc467059111"/>
      <w:bookmarkEnd w:id="262"/>
      <w:bookmarkStart w:id="263" w:name="_Toc467059143"/>
      <w:bookmarkEnd w:id="263"/>
      <w:bookmarkStart w:id="264" w:name="_Toc467059141"/>
      <w:bookmarkEnd w:id="264"/>
      <w:bookmarkStart w:id="265" w:name="_Toc465345895"/>
      <w:bookmarkEnd w:id="265"/>
      <w:bookmarkStart w:id="266" w:name="_Toc467059144"/>
      <w:bookmarkEnd w:id="266"/>
      <w:bookmarkStart w:id="267" w:name="_Toc467059142"/>
      <w:bookmarkEnd w:id="267"/>
      <w:bookmarkStart w:id="268" w:name="_Toc467059044"/>
      <w:bookmarkEnd w:id="268"/>
      <w:bookmarkStart w:id="269" w:name="_Toc467059091"/>
      <w:bookmarkEnd w:id="269"/>
      <w:bookmarkStart w:id="270" w:name="_Toc467059145"/>
      <w:bookmarkEnd w:id="270"/>
      <w:bookmarkStart w:id="271" w:name="_Toc465345945"/>
      <w:bookmarkEnd w:id="271"/>
      <w:bookmarkStart w:id="272" w:name="_Toc467059043"/>
      <w:bookmarkEnd w:id="272"/>
      <w:bookmarkStart w:id="273" w:name="_Toc467059096"/>
      <w:bookmarkEnd w:id="273"/>
      <w:bookmarkStart w:id="274" w:name="_Toc466021124"/>
      <w:bookmarkEnd w:id="274"/>
      <w:bookmarkStart w:id="275" w:name="_Toc466021129"/>
      <w:bookmarkEnd w:id="275"/>
      <w:bookmarkStart w:id="276" w:name="_Toc466021173"/>
      <w:bookmarkEnd w:id="276"/>
      <w:bookmarkStart w:id="277" w:name="_Toc465345915"/>
      <w:bookmarkEnd w:id="277"/>
      <w:bookmarkStart w:id="278" w:name="_Toc465345905"/>
      <w:bookmarkEnd w:id="278"/>
      <w:bookmarkStart w:id="279" w:name="_Toc466021170"/>
      <w:bookmarkEnd w:id="279"/>
      <w:bookmarkStart w:id="280" w:name="_Toc466021119"/>
      <w:bookmarkEnd w:id="280"/>
      <w:bookmarkStart w:id="281" w:name="_Toc467059106"/>
      <w:bookmarkEnd w:id="281"/>
      <w:bookmarkStart w:id="282" w:name="_Toc466021169"/>
      <w:bookmarkEnd w:id="282"/>
      <w:bookmarkStart w:id="283" w:name="_Toc466021071"/>
      <w:bookmarkEnd w:id="283"/>
      <w:bookmarkStart w:id="284" w:name="_Toc467059101"/>
      <w:bookmarkEnd w:id="284"/>
      <w:bookmarkStart w:id="285" w:name="_Toc466021139"/>
      <w:bookmarkEnd w:id="285"/>
      <w:bookmarkStart w:id="286" w:name="_Toc466021172"/>
      <w:bookmarkEnd w:id="286"/>
      <w:bookmarkStart w:id="287" w:name="_Toc465345910"/>
      <w:bookmarkEnd w:id="287"/>
      <w:bookmarkStart w:id="288" w:name="_Toc465345848"/>
      <w:bookmarkEnd w:id="288"/>
      <w:bookmarkStart w:id="289" w:name="_Toc465345847"/>
      <w:bookmarkEnd w:id="289"/>
      <w:bookmarkStart w:id="290" w:name="_Toc466021072"/>
      <w:bookmarkEnd w:id="290"/>
      <w:bookmarkStart w:id="291" w:name="_Toc466021134"/>
      <w:bookmarkEnd w:id="291"/>
      <w:bookmarkStart w:id="292" w:name="_Toc465345947"/>
      <w:bookmarkEnd w:id="292"/>
      <w:bookmarkStart w:id="293" w:name="_Toc465345948"/>
      <w:bookmarkEnd w:id="293"/>
      <w:bookmarkStart w:id="294" w:name="_Toc466021171"/>
      <w:bookmarkEnd w:id="294"/>
      <w:bookmarkStart w:id="295" w:name="_Toc465345946"/>
      <w:bookmarkEnd w:id="295"/>
      <w:bookmarkStart w:id="296" w:name="_Toc25049519"/>
      <w:r>
        <w:rPr>
          <w:rFonts w:ascii="黑体" w:hAnsi="黑体" w:eastAsia="黑体"/>
          <w:bCs/>
          <w:sz w:val="30"/>
          <w:szCs w:val="30"/>
        </w:rPr>
        <w:t>大户报告</w:t>
      </w:r>
      <w:bookmarkEnd w:id="296"/>
    </w:p>
    <w:p>
      <w:pPr>
        <w:spacing w:line="560" w:lineRule="exact"/>
        <w:ind w:firstLine="600" w:firstLineChars="200"/>
        <w:rPr>
          <w:rFonts w:eastAsia="方正仿宋简体"/>
          <w:sz w:val="30"/>
          <w:szCs w:val="30"/>
        </w:rPr>
      </w:pPr>
      <w:r>
        <w:rPr>
          <w:rFonts w:eastAsia="方正仿宋简体"/>
          <w:sz w:val="30"/>
          <w:szCs w:val="30"/>
        </w:rPr>
        <w:t>期权交易实行大户持仓报告制度。本所可根据市场风险状况要求证券公司或投资者进行报告。</w:t>
      </w:r>
    </w:p>
    <w:p>
      <w:pPr>
        <w:pStyle w:val="5"/>
        <w:numPr>
          <w:ilvl w:val="0"/>
          <w:numId w:val="100"/>
        </w:numPr>
        <w:spacing w:before="0" w:after="0" w:line="560" w:lineRule="exact"/>
        <w:ind w:left="0" w:firstLine="601" w:firstLineChars="200"/>
        <w:rPr>
          <w:rFonts w:ascii="Times New Roman" w:hAnsi="Times New Roman" w:eastAsia="方正仿宋简体"/>
          <w:sz w:val="30"/>
          <w:szCs w:val="30"/>
        </w:rPr>
      </w:pPr>
      <w:bookmarkStart w:id="297" w:name="_Toc25049520"/>
      <w:r>
        <w:rPr>
          <w:rFonts w:ascii="Times New Roman" w:hAnsi="Times New Roman" w:eastAsia="方正仿宋简体"/>
          <w:sz w:val="30"/>
          <w:szCs w:val="30"/>
        </w:rPr>
        <w:t>报告要求和报告材料</w:t>
      </w:r>
      <w:bookmarkEnd w:id="297"/>
    </w:p>
    <w:p>
      <w:pPr>
        <w:spacing w:line="560" w:lineRule="exact"/>
        <w:ind w:firstLine="600" w:firstLineChars="200"/>
        <w:rPr>
          <w:rFonts w:eastAsia="方正仿宋简体"/>
          <w:sz w:val="30"/>
          <w:szCs w:val="30"/>
        </w:rPr>
      </w:pPr>
      <w:r>
        <w:rPr>
          <w:rFonts w:eastAsia="方正仿宋简体"/>
          <w:sz w:val="30"/>
          <w:szCs w:val="30"/>
        </w:rPr>
        <w:t>当投资者、证券公司对某一合约持仓达到交易所规定的持仓报告标准或者本所认为有必要时，有权要求证券公司或投资者向本所报告其资金情况、头寸情况、交易用途等。此外，本所可以根据大户报告审查大户是否有过度投机和操纵市场行为以便监控大户的交易风险情况。</w:t>
      </w:r>
    </w:p>
    <w:p>
      <w:pPr>
        <w:spacing w:line="560" w:lineRule="exact"/>
        <w:ind w:firstLine="600" w:firstLineChars="200"/>
        <w:rPr>
          <w:rFonts w:eastAsia="方正仿宋简体"/>
          <w:sz w:val="30"/>
          <w:szCs w:val="30"/>
        </w:rPr>
      </w:pPr>
      <w:r>
        <w:rPr>
          <w:rFonts w:eastAsia="方正仿宋简体"/>
          <w:sz w:val="30"/>
          <w:szCs w:val="30"/>
        </w:rPr>
        <w:t>投资者、证券公司报告持仓情况，应当提供以下材料：</w:t>
      </w:r>
    </w:p>
    <w:p>
      <w:pPr>
        <w:pStyle w:val="58"/>
        <w:numPr>
          <w:ilvl w:val="0"/>
          <w:numId w:val="101"/>
        </w:numPr>
        <w:spacing w:line="560" w:lineRule="exact"/>
        <w:ind w:left="0" w:firstLine="600"/>
        <w:rPr>
          <w:rFonts w:eastAsia="方正仿宋简体"/>
          <w:sz w:val="30"/>
          <w:szCs w:val="30"/>
        </w:rPr>
      </w:pPr>
      <w:r>
        <w:rPr>
          <w:rFonts w:eastAsia="方正仿宋简体"/>
          <w:sz w:val="30"/>
          <w:szCs w:val="30"/>
        </w:rPr>
        <w:t>《股票期权大户持仓报告表》（见附件11），内容包括：证券公司名称、投资者名称和投资者合约账户、持仓量最大的三个合约持仓信息（合约编码、持仓量等）、维持保证金、可动用资金等；</w:t>
      </w:r>
    </w:p>
    <w:p>
      <w:pPr>
        <w:pStyle w:val="58"/>
        <w:numPr>
          <w:ilvl w:val="0"/>
          <w:numId w:val="101"/>
        </w:numPr>
        <w:spacing w:line="560" w:lineRule="exact"/>
        <w:ind w:left="0" w:firstLine="600"/>
        <w:rPr>
          <w:rFonts w:eastAsia="方正仿宋简体"/>
          <w:sz w:val="30"/>
          <w:szCs w:val="30"/>
        </w:rPr>
      </w:pPr>
      <w:r>
        <w:rPr>
          <w:rFonts w:eastAsia="方正仿宋简体"/>
          <w:sz w:val="30"/>
          <w:szCs w:val="30"/>
        </w:rPr>
        <w:t>资金来源说明；</w:t>
      </w:r>
    </w:p>
    <w:p>
      <w:pPr>
        <w:pStyle w:val="58"/>
        <w:numPr>
          <w:ilvl w:val="0"/>
          <w:numId w:val="101"/>
        </w:numPr>
        <w:spacing w:line="560" w:lineRule="exact"/>
        <w:ind w:left="0" w:firstLine="600"/>
        <w:rPr>
          <w:rFonts w:eastAsia="方正仿宋简体"/>
          <w:sz w:val="30"/>
          <w:szCs w:val="30"/>
        </w:rPr>
      </w:pPr>
      <w:r>
        <w:rPr>
          <w:rFonts w:eastAsia="方正仿宋简体"/>
          <w:sz w:val="30"/>
          <w:szCs w:val="30"/>
        </w:rPr>
        <w:t>法人投资者的实际控制人资料；</w:t>
      </w:r>
    </w:p>
    <w:p>
      <w:pPr>
        <w:pStyle w:val="58"/>
        <w:numPr>
          <w:ilvl w:val="0"/>
          <w:numId w:val="101"/>
        </w:numPr>
        <w:spacing w:line="560" w:lineRule="exact"/>
        <w:ind w:left="0" w:firstLine="600"/>
        <w:rPr>
          <w:rFonts w:eastAsia="方正仿宋简体"/>
          <w:sz w:val="30"/>
          <w:szCs w:val="30"/>
        </w:rPr>
      </w:pPr>
      <w:r>
        <w:rPr>
          <w:rFonts w:eastAsia="方正仿宋简体"/>
          <w:sz w:val="30"/>
          <w:szCs w:val="30"/>
        </w:rPr>
        <w:t>开户资料及当日结算单据；</w:t>
      </w:r>
    </w:p>
    <w:p>
      <w:pPr>
        <w:pStyle w:val="58"/>
        <w:numPr>
          <w:ilvl w:val="0"/>
          <w:numId w:val="101"/>
        </w:numPr>
        <w:spacing w:line="560" w:lineRule="exact"/>
        <w:ind w:left="0" w:firstLine="600"/>
        <w:rPr>
          <w:rFonts w:eastAsia="方正仿宋简体"/>
          <w:sz w:val="30"/>
          <w:szCs w:val="30"/>
        </w:rPr>
      </w:pPr>
      <w:r>
        <w:rPr>
          <w:rFonts w:eastAsia="方正仿宋简体"/>
          <w:sz w:val="30"/>
          <w:szCs w:val="30"/>
        </w:rPr>
        <w:t>持仓意向，包括行权意愿与可能被行权准备情况说明；</w:t>
      </w:r>
    </w:p>
    <w:p>
      <w:pPr>
        <w:pStyle w:val="58"/>
        <w:numPr>
          <w:ilvl w:val="0"/>
          <w:numId w:val="101"/>
        </w:numPr>
        <w:spacing w:line="560" w:lineRule="exact"/>
        <w:ind w:left="0" w:firstLine="600"/>
        <w:rPr>
          <w:rFonts w:eastAsia="方正仿宋简体"/>
          <w:sz w:val="30"/>
          <w:szCs w:val="30"/>
        </w:rPr>
      </w:pPr>
      <w:r>
        <w:rPr>
          <w:rFonts w:eastAsia="方正仿宋简体"/>
          <w:sz w:val="30"/>
          <w:szCs w:val="30"/>
        </w:rPr>
        <w:t>本所要求提供的其他资料。</w:t>
      </w:r>
    </w:p>
    <w:p>
      <w:pPr>
        <w:pStyle w:val="5"/>
        <w:numPr>
          <w:ilvl w:val="0"/>
          <w:numId w:val="100"/>
        </w:numPr>
        <w:spacing w:before="0" w:after="0" w:line="560" w:lineRule="exact"/>
        <w:ind w:left="0" w:firstLine="601" w:firstLineChars="200"/>
        <w:rPr>
          <w:rFonts w:ascii="Times New Roman" w:hAnsi="Times New Roman" w:eastAsia="方正仿宋简体"/>
          <w:sz w:val="30"/>
          <w:szCs w:val="30"/>
        </w:rPr>
      </w:pPr>
      <w:bookmarkStart w:id="298" w:name="_Toc25049521"/>
      <w:r>
        <w:rPr>
          <w:rFonts w:ascii="Times New Roman" w:hAnsi="Times New Roman" w:eastAsia="方正仿宋简体"/>
          <w:sz w:val="30"/>
          <w:szCs w:val="30"/>
        </w:rPr>
        <w:t>报送业务流程</w:t>
      </w:r>
      <w:bookmarkEnd w:id="298"/>
    </w:p>
    <w:p>
      <w:pPr>
        <w:spacing w:line="560" w:lineRule="exact"/>
        <w:ind w:firstLine="600" w:firstLineChars="200"/>
        <w:rPr>
          <w:rFonts w:eastAsia="方正仿宋简体"/>
          <w:sz w:val="30"/>
          <w:szCs w:val="30"/>
        </w:rPr>
      </w:pPr>
      <w:r>
        <w:rPr>
          <w:rFonts w:eastAsia="方正仿宋简体"/>
          <w:sz w:val="30"/>
          <w:szCs w:val="30"/>
        </w:rPr>
        <w:t>本所通过期权业务专区下发《大户持仓报告通知书》，并通过短信、邮件等方式提醒证券公司期权经纪业务风控负责人和联系人。</w:t>
      </w:r>
    </w:p>
    <w:p>
      <w:pPr>
        <w:spacing w:line="560" w:lineRule="exact"/>
        <w:ind w:firstLine="600" w:firstLineChars="200"/>
        <w:rPr>
          <w:rFonts w:eastAsia="方正仿宋简体"/>
          <w:sz w:val="30"/>
          <w:szCs w:val="30"/>
        </w:rPr>
      </w:pPr>
      <w:r>
        <w:rPr>
          <w:rFonts w:eastAsia="方正仿宋简体"/>
          <w:sz w:val="30"/>
          <w:szCs w:val="30"/>
        </w:rPr>
        <w:t>证券公司通过本所期权业务专区大户持仓报告功能（业务办理-&gt;大户报告上报），填写投资者账户及持仓信息，保存后下载《大户持仓报告表》。</w:t>
      </w:r>
    </w:p>
    <w:p>
      <w:pPr>
        <w:spacing w:line="560" w:lineRule="exact"/>
        <w:ind w:firstLine="600" w:firstLineChars="200"/>
        <w:rPr>
          <w:rFonts w:eastAsia="方正仿宋简体"/>
          <w:sz w:val="30"/>
          <w:szCs w:val="30"/>
        </w:rPr>
      </w:pPr>
      <w:r>
        <w:rPr>
          <w:rFonts w:eastAsia="方正仿宋简体"/>
          <w:sz w:val="30"/>
          <w:szCs w:val="30"/>
        </w:rPr>
        <w:t>证券公司按要求准备《大户持仓报告表》及相关需要上报的材料，上传PDF格式扫描件作为附件，提交交易所审核。</w:t>
      </w:r>
    </w:p>
    <w:p>
      <w:pPr>
        <w:spacing w:line="560" w:lineRule="exact"/>
        <w:ind w:firstLine="600" w:firstLineChars="200"/>
        <w:rPr>
          <w:rFonts w:eastAsia="方正仿宋简体"/>
          <w:sz w:val="30"/>
          <w:szCs w:val="30"/>
        </w:rPr>
      </w:pPr>
      <w:r>
        <w:rPr>
          <w:rFonts w:eastAsia="方正仿宋简体"/>
          <w:sz w:val="30"/>
          <w:szCs w:val="30"/>
        </w:rPr>
        <w:t>本所检查核对证券公司上报材料，证券公司按交易所反馈结果进行修订重报或结束业务流程。</w:t>
      </w:r>
    </w:p>
    <w:p>
      <w:pPr>
        <w:pStyle w:val="5"/>
        <w:numPr>
          <w:ilvl w:val="0"/>
          <w:numId w:val="100"/>
        </w:numPr>
        <w:spacing w:before="0" w:after="0" w:line="560" w:lineRule="exact"/>
        <w:ind w:left="0" w:firstLine="601" w:firstLineChars="200"/>
        <w:rPr>
          <w:rFonts w:ascii="Times New Roman" w:hAnsi="Times New Roman" w:eastAsia="方正仿宋简体"/>
          <w:sz w:val="30"/>
          <w:szCs w:val="30"/>
        </w:rPr>
      </w:pPr>
      <w:bookmarkStart w:id="299" w:name="_Toc25049522"/>
      <w:r>
        <w:rPr>
          <w:rFonts w:ascii="Times New Roman" w:hAnsi="Times New Roman" w:eastAsia="方正仿宋简体"/>
          <w:sz w:val="30"/>
          <w:szCs w:val="30"/>
        </w:rPr>
        <w:t>报告注意事项</w:t>
      </w:r>
      <w:bookmarkEnd w:id="299"/>
    </w:p>
    <w:p>
      <w:pPr>
        <w:pStyle w:val="58"/>
        <w:numPr>
          <w:ilvl w:val="0"/>
          <w:numId w:val="102"/>
        </w:numPr>
        <w:spacing w:line="560" w:lineRule="exact"/>
        <w:ind w:left="0" w:firstLine="600"/>
        <w:rPr>
          <w:rFonts w:eastAsia="方正仿宋简体"/>
          <w:sz w:val="30"/>
          <w:szCs w:val="30"/>
        </w:rPr>
      </w:pPr>
      <w:r>
        <w:rPr>
          <w:rFonts w:eastAsia="方正仿宋简体"/>
          <w:sz w:val="30"/>
          <w:szCs w:val="30"/>
        </w:rPr>
        <w:t>计算大户持仓报告标准时，对同一个投资者、证券公司持有的一个或多个合约账户中的所有持仓进行合并计算。</w:t>
      </w:r>
    </w:p>
    <w:p>
      <w:pPr>
        <w:pStyle w:val="58"/>
        <w:numPr>
          <w:ilvl w:val="0"/>
          <w:numId w:val="102"/>
        </w:numPr>
        <w:spacing w:line="560" w:lineRule="exact"/>
        <w:ind w:left="0" w:firstLine="600"/>
        <w:rPr>
          <w:rFonts w:eastAsia="方正仿宋简体"/>
          <w:sz w:val="30"/>
          <w:szCs w:val="30"/>
        </w:rPr>
      </w:pPr>
      <w:r>
        <w:rPr>
          <w:rFonts w:eastAsia="方正仿宋简体"/>
          <w:sz w:val="30"/>
          <w:szCs w:val="30"/>
        </w:rPr>
        <w:t>投资者、证券公司被交易所要求报告的，交易所将大户报告表发送至证券公司和专业机构投资者（如基金等）。若报告主体是投资者，由证券公司发送至客户（对同一投资者在多家证券公司开立合约账户的，本所根据投资者持仓大小选择证券公司）。投资者、证券公司应当于下一交易日15:00前及时向交易所报告。</w:t>
      </w:r>
    </w:p>
    <w:p>
      <w:pPr>
        <w:pStyle w:val="58"/>
        <w:numPr>
          <w:ilvl w:val="0"/>
          <w:numId w:val="102"/>
        </w:numPr>
        <w:spacing w:line="560" w:lineRule="exact"/>
        <w:ind w:left="0" w:firstLine="600"/>
        <w:rPr>
          <w:rFonts w:eastAsia="方正仿宋简体"/>
          <w:sz w:val="30"/>
          <w:szCs w:val="30"/>
        </w:rPr>
      </w:pPr>
      <w:r>
        <w:rPr>
          <w:rFonts w:eastAsia="方正仿宋简体"/>
          <w:sz w:val="30"/>
          <w:szCs w:val="30"/>
        </w:rPr>
        <w:t>专业机构投资者（如基金等）可直接向交易所报告，其他客户由证券公司代为向交易所报告，证券公司应对客户提供的资料进行审核，并保证客户所提供资料的真实性和准确性。客户未按要求报告的，证券公司应当向交易所报告该客户持仓情况。</w:t>
      </w:r>
    </w:p>
    <w:p>
      <w:pPr>
        <w:pStyle w:val="58"/>
        <w:numPr>
          <w:ilvl w:val="0"/>
          <w:numId w:val="102"/>
        </w:numPr>
        <w:spacing w:line="560" w:lineRule="exact"/>
        <w:ind w:left="0" w:firstLine="600"/>
        <w:rPr>
          <w:rFonts w:eastAsia="方正仿宋简体"/>
          <w:sz w:val="30"/>
          <w:szCs w:val="30"/>
        </w:rPr>
      </w:pPr>
      <w:r>
        <w:rPr>
          <w:rFonts w:eastAsia="方正仿宋简体"/>
          <w:sz w:val="30"/>
          <w:szCs w:val="30"/>
        </w:rPr>
        <w:t>投资者在多个证券公司有持仓的，由本所指定证券公司负责汇总、整理客户信息并向本所进行报告。</w:t>
      </w:r>
    </w:p>
    <w:p>
      <w:pPr>
        <w:pStyle w:val="58"/>
        <w:numPr>
          <w:ilvl w:val="0"/>
          <w:numId w:val="102"/>
        </w:numPr>
        <w:spacing w:line="560" w:lineRule="exact"/>
        <w:ind w:left="0" w:firstLine="600"/>
        <w:rPr>
          <w:rFonts w:eastAsia="方正仿宋简体"/>
          <w:sz w:val="30"/>
          <w:szCs w:val="30"/>
        </w:rPr>
      </w:pPr>
      <w:r>
        <w:rPr>
          <w:rFonts w:eastAsia="方正仿宋简体"/>
          <w:sz w:val="30"/>
          <w:szCs w:val="30"/>
        </w:rPr>
        <w:t>交易所对证券公司或者投资者提供的资料进行核查后，将视情况通知证券公司或客户再次报告或者补充报告。</w:t>
      </w:r>
    </w:p>
    <w:p>
      <w:pPr>
        <w:pStyle w:val="58"/>
        <w:spacing w:line="560" w:lineRule="exact"/>
        <w:ind w:left="601" w:firstLine="0" w:firstLineChars="0"/>
        <w:outlineLvl w:val="0"/>
        <w:rPr>
          <w:rFonts w:eastAsia="方正仿宋简体"/>
          <w:sz w:val="30"/>
          <w:szCs w:val="30"/>
        </w:rPr>
      </w:pPr>
      <w:r>
        <w:rPr>
          <w:rFonts w:eastAsia="方正仿宋简体"/>
          <w:b/>
          <w:bCs/>
          <w:sz w:val="30"/>
          <w:szCs w:val="30"/>
        </w:rPr>
        <w:br w:type="page"/>
      </w:r>
      <w:bookmarkStart w:id="300" w:name="_Toc390789546"/>
    </w:p>
    <w:p>
      <w:pPr>
        <w:keepNext w:val="0"/>
        <w:keepLines w:val="0"/>
        <w:pageBreakBefore w:val="0"/>
        <w:widowControl w:val="0"/>
        <w:numPr>
          <w:ilvl w:val="0"/>
          <w:numId w:val="103"/>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sz w:val="30"/>
          <w:szCs w:val="30"/>
        </w:rPr>
      </w:pPr>
      <w:bookmarkStart w:id="301" w:name="_Toc406438952"/>
      <w:bookmarkStart w:id="302" w:name="_Toc406439137"/>
      <w:bookmarkStart w:id="303" w:name="_Toc406436503"/>
      <w:bookmarkStart w:id="304" w:name="_Toc452017052"/>
      <w:bookmarkStart w:id="305" w:name="_Toc406438912"/>
      <w:bookmarkStart w:id="306" w:name="_Toc25049523"/>
      <w:bookmarkStart w:id="307" w:name="_Toc408749996"/>
      <w:bookmarkStart w:id="308" w:name="_Toc460944628"/>
      <w:bookmarkStart w:id="309" w:name="第十四章交易信息提醒及期权基础信息接口文件说明"/>
      <w:r>
        <w:rPr>
          <w:rFonts w:ascii="黑体" w:hAnsi="黑体" w:eastAsia="黑体"/>
          <w:bCs/>
          <w:sz w:val="30"/>
          <w:szCs w:val="30"/>
        </w:rPr>
        <w:t>交易信息提醒</w:t>
      </w:r>
      <w:bookmarkEnd w:id="301"/>
      <w:bookmarkEnd w:id="302"/>
      <w:bookmarkEnd w:id="303"/>
      <w:bookmarkEnd w:id="304"/>
      <w:bookmarkEnd w:id="305"/>
      <w:bookmarkEnd w:id="306"/>
      <w:bookmarkEnd w:id="307"/>
      <w:bookmarkEnd w:id="308"/>
    </w:p>
    <w:bookmarkEnd w:id="309"/>
    <w:p>
      <w:pPr>
        <w:pStyle w:val="5"/>
        <w:numPr>
          <w:ilvl w:val="0"/>
          <w:numId w:val="104"/>
        </w:numPr>
        <w:spacing w:before="0" w:after="0" w:line="560" w:lineRule="exact"/>
        <w:ind w:left="0" w:firstLine="601" w:firstLineChars="200"/>
        <w:rPr>
          <w:rFonts w:ascii="Times New Roman" w:hAnsi="Times New Roman" w:eastAsia="方正仿宋简体"/>
          <w:sz w:val="30"/>
          <w:szCs w:val="30"/>
        </w:rPr>
      </w:pPr>
      <w:bookmarkStart w:id="310" w:name="一、交易信息内容"/>
      <w:bookmarkStart w:id="311" w:name="_Toc406438913"/>
      <w:bookmarkStart w:id="312" w:name="_Toc20561"/>
      <w:bookmarkStart w:id="313" w:name="_Toc408749997"/>
      <w:bookmarkStart w:id="314" w:name="_Toc406100171"/>
      <w:bookmarkStart w:id="315" w:name="_Toc25049524"/>
      <w:bookmarkStart w:id="316" w:name="_Toc460944629"/>
      <w:bookmarkStart w:id="317" w:name="_Toc16035"/>
      <w:bookmarkStart w:id="318" w:name="_Toc452017054"/>
      <w:bookmarkStart w:id="319" w:name="_Toc23675"/>
      <w:r>
        <w:rPr>
          <w:rFonts w:ascii="Times New Roman" w:hAnsi="Times New Roman" w:eastAsia="方正仿宋简体"/>
          <w:sz w:val="30"/>
          <w:szCs w:val="30"/>
        </w:rPr>
        <w:t>交易信息内容</w:t>
      </w:r>
      <w:bookmarkEnd w:id="310"/>
      <w:bookmarkEnd w:id="311"/>
      <w:bookmarkEnd w:id="312"/>
      <w:bookmarkEnd w:id="313"/>
      <w:bookmarkEnd w:id="314"/>
      <w:bookmarkEnd w:id="315"/>
      <w:bookmarkEnd w:id="316"/>
      <w:bookmarkEnd w:id="317"/>
      <w:bookmarkEnd w:id="318"/>
      <w:bookmarkEnd w:id="319"/>
    </w:p>
    <w:p>
      <w:pPr>
        <w:spacing w:line="560" w:lineRule="exact"/>
        <w:ind w:firstLine="600" w:firstLineChars="200"/>
        <w:rPr>
          <w:rFonts w:eastAsia="方正仿宋简体"/>
          <w:sz w:val="30"/>
          <w:szCs w:val="30"/>
        </w:rPr>
      </w:pPr>
      <w:r>
        <w:rPr>
          <w:rFonts w:eastAsia="方正仿宋简体"/>
          <w:sz w:val="30"/>
          <w:szCs w:val="30"/>
        </w:rPr>
        <w:t>本所每个交易日发布衍生品合约相关交易信息，包括交易前信息、即时行情、盘后信息、行权信息等。证券公司应及时接收本所向其发送的相关交易信息，并通过行情交易终端、公司门户网站或经纪合同约定的方式向投资者转发。</w:t>
      </w:r>
    </w:p>
    <w:p>
      <w:pPr>
        <w:spacing w:line="560" w:lineRule="exact"/>
        <w:ind w:firstLine="600" w:firstLineChars="200"/>
        <w:rPr>
          <w:rFonts w:eastAsia="方正仿宋简体"/>
          <w:sz w:val="30"/>
          <w:szCs w:val="30"/>
        </w:rPr>
      </w:pPr>
      <w:bookmarkStart w:id="320" w:name="_Toc460944630"/>
      <w:bookmarkStart w:id="321" w:name="_Toc26669"/>
      <w:bookmarkStart w:id="322" w:name="_Toc406438914"/>
      <w:bookmarkStart w:id="323" w:name="_Toc452017055"/>
      <w:bookmarkStart w:id="324" w:name="二、信息公告与提醒"/>
      <w:bookmarkStart w:id="325" w:name="_Toc408749998"/>
      <w:bookmarkStart w:id="326" w:name="_Toc406100172"/>
      <w:bookmarkStart w:id="327" w:name="_Toc14548"/>
      <w:bookmarkStart w:id="328" w:name="_Toc2271"/>
      <w:r>
        <w:rPr>
          <w:rFonts w:eastAsia="方正仿宋简体"/>
          <w:sz w:val="30"/>
          <w:szCs w:val="30"/>
        </w:rPr>
        <w:t>证券公司可结合本所公开发布的衍生品合约相关交易信息，向投资者提供诸如期权计算器、期权杠杆比率、期权希腊字母值等个性化交易信息。证券公司应当对个性化信息的真实性、准确性负责。</w:t>
      </w:r>
    </w:p>
    <w:p>
      <w:pPr>
        <w:pStyle w:val="5"/>
        <w:numPr>
          <w:ilvl w:val="0"/>
          <w:numId w:val="104"/>
        </w:numPr>
        <w:spacing w:before="0" w:after="0" w:line="560" w:lineRule="exact"/>
        <w:ind w:left="0" w:firstLine="601" w:firstLineChars="200"/>
        <w:rPr>
          <w:rFonts w:ascii="Times New Roman" w:hAnsi="Times New Roman" w:eastAsia="方正仿宋简体"/>
          <w:sz w:val="30"/>
          <w:szCs w:val="30"/>
        </w:rPr>
      </w:pPr>
      <w:bookmarkStart w:id="329" w:name="_Toc25049525"/>
      <w:r>
        <w:rPr>
          <w:rFonts w:ascii="Times New Roman" w:hAnsi="Times New Roman" w:eastAsia="方正仿宋简体"/>
          <w:sz w:val="30"/>
          <w:szCs w:val="30"/>
        </w:rPr>
        <w:t>信息公告与提醒</w:t>
      </w:r>
      <w:bookmarkEnd w:id="320"/>
      <w:bookmarkEnd w:id="321"/>
      <w:bookmarkEnd w:id="322"/>
      <w:bookmarkEnd w:id="323"/>
      <w:bookmarkEnd w:id="324"/>
      <w:bookmarkEnd w:id="325"/>
      <w:bookmarkEnd w:id="326"/>
      <w:bookmarkEnd w:id="327"/>
      <w:bookmarkEnd w:id="328"/>
      <w:bookmarkEnd w:id="329"/>
    </w:p>
    <w:p>
      <w:pPr>
        <w:pStyle w:val="7"/>
        <w:numPr>
          <w:ilvl w:val="0"/>
          <w:numId w:val="105"/>
        </w:numPr>
        <w:spacing w:before="0" w:after="0" w:line="560" w:lineRule="exact"/>
        <w:ind w:left="0" w:firstLine="601" w:firstLineChars="200"/>
        <w:rPr>
          <w:rFonts w:eastAsia="方正仿宋简体"/>
          <w:bCs w:val="0"/>
          <w:sz w:val="30"/>
          <w:szCs w:val="30"/>
        </w:rPr>
      </w:pPr>
      <w:r>
        <w:rPr>
          <w:rFonts w:eastAsia="方正仿宋简体"/>
          <w:bCs w:val="0"/>
          <w:sz w:val="30"/>
          <w:szCs w:val="30"/>
        </w:rPr>
        <w:t>信息公告</w:t>
      </w:r>
    </w:p>
    <w:p>
      <w:pPr>
        <w:spacing w:line="560" w:lineRule="exact"/>
        <w:ind w:firstLine="600" w:firstLineChars="200"/>
        <w:rPr>
          <w:rFonts w:eastAsia="方正仿宋简体"/>
          <w:sz w:val="30"/>
          <w:szCs w:val="30"/>
        </w:rPr>
      </w:pPr>
      <w:r>
        <w:rPr>
          <w:rFonts w:eastAsia="方正仿宋简体"/>
          <w:sz w:val="30"/>
          <w:szCs w:val="30"/>
        </w:rPr>
        <w:t>证券公司应当及时接收本所通过通讯系统、本所网站等渠道发布的股票期权相关通知和公告（包括但不限于股票期权合约运作管理相关公告、股票期权风险控制相关公告等），并向投资者转发或推送，转发、推送形式可以是公司网站公示、客户交易终端提示、邮件或经纪合同约定的方式等。</w:t>
      </w:r>
    </w:p>
    <w:p>
      <w:pPr>
        <w:spacing w:line="560" w:lineRule="exact"/>
        <w:ind w:firstLine="600" w:firstLineChars="200"/>
        <w:rPr>
          <w:rFonts w:eastAsia="方正仿宋简体"/>
          <w:sz w:val="30"/>
          <w:szCs w:val="30"/>
        </w:rPr>
      </w:pPr>
      <w:r>
        <w:rPr>
          <w:rFonts w:eastAsia="方正仿宋简体"/>
          <w:sz w:val="30"/>
          <w:szCs w:val="30"/>
        </w:rPr>
        <w:t>证券公司应发布与其自身期权业务相关的公告信息，如公司保证金调整、期权交易手续费调整等。公告形式可以是证券公司公司网站公示、客户交易终端提示、邮件或经纪合同约定的方式等。</w:t>
      </w:r>
    </w:p>
    <w:p>
      <w:pPr>
        <w:pStyle w:val="7"/>
        <w:numPr>
          <w:ilvl w:val="0"/>
          <w:numId w:val="105"/>
        </w:numPr>
        <w:spacing w:before="0" w:after="0" w:line="560" w:lineRule="exact"/>
        <w:ind w:left="0" w:firstLine="601" w:firstLineChars="200"/>
        <w:rPr>
          <w:rFonts w:eastAsia="方正仿宋简体"/>
          <w:bCs w:val="0"/>
          <w:sz w:val="30"/>
          <w:szCs w:val="30"/>
        </w:rPr>
      </w:pPr>
      <w:r>
        <w:rPr>
          <w:rFonts w:eastAsia="方正仿宋简体"/>
          <w:bCs w:val="0"/>
          <w:sz w:val="30"/>
          <w:szCs w:val="30"/>
        </w:rPr>
        <w:t>信息提醒</w:t>
      </w:r>
    </w:p>
    <w:p>
      <w:pPr>
        <w:spacing w:line="560" w:lineRule="exact"/>
        <w:ind w:firstLine="600" w:firstLineChars="200"/>
        <w:rPr>
          <w:rFonts w:eastAsia="方正仿宋简体"/>
          <w:sz w:val="30"/>
          <w:szCs w:val="30"/>
        </w:rPr>
      </w:pPr>
      <w:r>
        <w:rPr>
          <w:rFonts w:eastAsia="方正仿宋简体"/>
          <w:sz w:val="30"/>
          <w:szCs w:val="30"/>
        </w:rPr>
        <w:t>1. 证券公司应对客户参与股票期权交易有关事项进行提醒，内容包括但不限于：距离到期日不足3个交易日的期权合约信息；合约运作管理；近期进行合约调整的期权合约信息（持续到调整后5个交易日或摘牌）；保证金参数水平调整；期权手续费调整；重点监控期权合约交易风险；其他本所或证券公司认为有必要向投资者进行提醒的事项。</w:t>
      </w:r>
    </w:p>
    <w:p>
      <w:pPr>
        <w:spacing w:line="560" w:lineRule="exact"/>
        <w:ind w:firstLine="600" w:firstLineChars="200"/>
        <w:rPr>
          <w:rFonts w:eastAsia="方正仿宋简体"/>
          <w:sz w:val="30"/>
          <w:szCs w:val="30"/>
        </w:rPr>
      </w:pPr>
      <w:r>
        <w:rPr>
          <w:rFonts w:eastAsia="方正仿宋简体"/>
          <w:sz w:val="30"/>
          <w:szCs w:val="30"/>
        </w:rPr>
        <w:t>2. 证券公司应对相关持仓客户进行如下提醒（提醒方式可以是客户交易终端提醒、电子邮件、短信、电话等）：备兑持仓标的证券不足提醒；持有快到期或到期合约的临近行权提醒；持有快到期合约的被行权可能提醒；被指派行权提醒；证券交收日交收证券不足提醒（电话提醒并督促其补足应交标的证券数量）；其他本所或证券公司认为有必要向投资者进行提醒的事项。</w:t>
      </w:r>
    </w:p>
    <w:p>
      <w:pPr>
        <w:spacing w:line="560" w:lineRule="exact"/>
        <w:ind w:firstLine="600" w:firstLineChars="200"/>
        <w:rPr>
          <w:rFonts w:eastAsia="方正仿宋简体"/>
          <w:sz w:val="30"/>
          <w:szCs w:val="30"/>
        </w:rPr>
      </w:pPr>
      <w:r>
        <w:rPr>
          <w:rFonts w:eastAsia="方正仿宋简体"/>
          <w:sz w:val="30"/>
          <w:szCs w:val="30"/>
        </w:rPr>
        <w:t>3. 交易委托提醒：证券公司的客户交易终端应支持在客户提交包括但不限于以下交易委托时，弹出窗口（对同一合约交易可设置只提醒一次）进行提醒：严重虚值期权买入开仓委托；临近到期期权买入开仓委托；合约调整过的期权买入开仓委托；合约为虚值的行权委托；标的证券不足的备兑开仓委托；其他本所或证券公司认为有必要向投资者进行提醒的事项。</w:t>
      </w:r>
    </w:p>
    <w:p>
      <w:pPr>
        <w:spacing w:line="560" w:lineRule="exact"/>
        <w:ind w:firstLine="600" w:firstLineChars="200"/>
        <w:rPr>
          <w:rFonts w:eastAsia="方正仿宋简体"/>
          <w:sz w:val="30"/>
          <w:szCs w:val="30"/>
        </w:rPr>
      </w:pPr>
      <w:r>
        <w:rPr>
          <w:rFonts w:eastAsia="方正仿宋简体"/>
          <w:sz w:val="30"/>
          <w:szCs w:val="30"/>
        </w:rPr>
        <w:t>4. 证券公司可根据投资者的资金状况、交易活跃程度、异常交易结算行为发生频率、收到本所警示次数以及是否为本所重点监控账户等情况，对投资者进行分类管理，在市场出现期权价格大幅波动时，及时向投资者提示投资风险。</w:t>
      </w:r>
    </w:p>
    <w:p>
      <w:pPr>
        <w:spacing w:line="560" w:lineRule="exact"/>
        <w:ind w:firstLine="600" w:firstLineChars="200"/>
        <w:rPr>
          <w:rFonts w:eastAsia="方正仿宋简体"/>
          <w:sz w:val="30"/>
          <w:szCs w:val="30"/>
        </w:rPr>
      </w:pPr>
      <w:r>
        <w:rPr>
          <w:rFonts w:eastAsia="方正仿宋简体"/>
          <w:sz w:val="30"/>
          <w:szCs w:val="30"/>
        </w:rPr>
        <w:t>5. 建议证券公司在信息技术系统突发事件应急处置方案中，制定股票期权合约信息相关突发故障的处理措施，确保投资者在突发事件时能够及时知晓股票期权交易与提醒信息。</w:t>
      </w:r>
    </w:p>
    <w:p>
      <w:pPr>
        <w:pStyle w:val="58"/>
        <w:spacing w:line="560" w:lineRule="exact"/>
        <w:ind w:left="600" w:firstLine="600" w:firstLineChars="0"/>
        <w:rPr>
          <w:rFonts w:eastAsia="方正仿宋简体"/>
          <w:sz w:val="30"/>
          <w:szCs w:val="30"/>
        </w:rPr>
      </w:pPr>
      <w:r>
        <w:rPr>
          <w:rFonts w:eastAsia="方正仿宋简体"/>
          <w:sz w:val="30"/>
          <w:szCs w:val="30"/>
        </w:rPr>
        <w:br w:type="page"/>
      </w:r>
    </w:p>
    <w:p>
      <w:pPr>
        <w:keepNext w:val="0"/>
        <w:keepLines w:val="0"/>
        <w:pageBreakBefore w:val="0"/>
        <w:widowControl w:val="0"/>
        <w:numPr>
          <w:ilvl w:val="0"/>
          <w:numId w:val="103"/>
        </w:numPr>
        <w:kinsoku/>
        <w:wordWrap/>
        <w:overflowPunct/>
        <w:topLinePunct w:val="0"/>
        <w:autoSpaceDE/>
        <w:autoSpaceDN/>
        <w:bidi w:val="0"/>
        <w:adjustRightInd/>
        <w:snapToGrid/>
        <w:spacing w:line="560" w:lineRule="exact"/>
        <w:ind w:left="0" w:firstLine="0" w:firstLineChars="0"/>
        <w:jc w:val="center"/>
        <w:textAlignment w:val="auto"/>
        <w:outlineLvl w:val="0"/>
        <w:rPr>
          <w:rFonts w:ascii="黑体" w:hAnsi="黑体" w:eastAsia="黑体"/>
          <w:sz w:val="30"/>
          <w:szCs w:val="30"/>
        </w:rPr>
      </w:pPr>
      <w:bookmarkStart w:id="330" w:name="_Toc408750006"/>
      <w:bookmarkStart w:id="331" w:name="_Toc23432"/>
      <w:bookmarkStart w:id="332" w:name="_Toc406438955"/>
      <w:bookmarkStart w:id="333" w:name="_Toc406439140"/>
      <w:bookmarkStart w:id="334" w:name="_Toc406436506"/>
      <w:bookmarkStart w:id="335" w:name="_Toc25049526"/>
      <w:bookmarkStart w:id="336" w:name="_Toc460944632"/>
      <w:bookmarkStart w:id="337" w:name="_Toc452017057"/>
      <w:bookmarkStart w:id="338" w:name="第十七章投资者教育与客户投诉处理"/>
      <w:bookmarkStart w:id="339" w:name="_Toc20182"/>
      <w:bookmarkStart w:id="340" w:name="_Toc8959"/>
      <w:bookmarkStart w:id="341" w:name="_Toc406438923"/>
      <w:r>
        <w:rPr>
          <w:rFonts w:ascii="黑体" w:hAnsi="黑体" w:eastAsia="黑体"/>
          <w:bCs/>
          <w:sz w:val="30"/>
          <w:szCs w:val="30"/>
        </w:rPr>
        <w:t>投资者教育与客户投诉处理</w:t>
      </w:r>
      <w:bookmarkEnd w:id="330"/>
      <w:bookmarkEnd w:id="331"/>
      <w:bookmarkEnd w:id="332"/>
      <w:bookmarkEnd w:id="333"/>
      <w:bookmarkEnd w:id="334"/>
      <w:bookmarkEnd w:id="335"/>
      <w:bookmarkEnd w:id="336"/>
      <w:bookmarkEnd w:id="337"/>
      <w:bookmarkEnd w:id="338"/>
      <w:bookmarkEnd w:id="339"/>
      <w:bookmarkEnd w:id="340"/>
      <w:bookmarkEnd w:id="341"/>
    </w:p>
    <w:p>
      <w:pPr>
        <w:pStyle w:val="5"/>
        <w:numPr>
          <w:ilvl w:val="0"/>
          <w:numId w:val="106"/>
        </w:numPr>
        <w:spacing w:before="0" w:after="0" w:line="560" w:lineRule="exact"/>
        <w:ind w:left="0" w:firstLine="601" w:firstLineChars="200"/>
        <w:rPr>
          <w:rFonts w:ascii="Times New Roman" w:hAnsi="Times New Roman" w:eastAsia="方正仿宋简体"/>
          <w:sz w:val="30"/>
          <w:szCs w:val="30"/>
        </w:rPr>
      </w:pPr>
      <w:bookmarkStart w:id="342" w:name="_Toc25049527"/>
      <w:bookmarkStart w:id="343" w:name="_Toc2742"/>
      <w:bookmarkStart w:id="344" w:name="_Toc408750007"/>
      <w:bookmarkStart w:id="345" w:name="_Toc19450"/>
      <w:bookmarkStart w:id="346" w:name="_Toc452017058"/>
      <w:bookmarkStart w:id="347" w:name="_Toc460944633"/>
      <w:bookmarkStart w:id="348" w:name="_Toc406438924"/>
      <w:bookmarkStart w:id="349" w:name="一、投资者教育"/>
      <w:bookmarkStart w:id="350" w:name="_Toc28065"/>
      <w:r>
        <w:rPr>
          <w:rFonts w:ascii="Times New Roman" w:hAnsi="Times New Roman" w:eastAsia="方正仿宋简体"/>
          <w:sz w:val="30"/>
          <w:szCs w:val="30"/>
        </w:rPr>
        <w:t>投资者教育</w:t>
      </w:r>
      <w:bookmarkEnd w:id="342"/>
      <w:bookmarkEnd w:id="343"/>
      <w:bookmarkEnd w:id="344"/>
      <w:bookmarkEnd w:id="345"/>
      <w:bookmarkEnd w:id="346"/>
      <w:bookmarkEnd w:id="347"/>
      <w:bookmarkEnd w:id="348"/>
      <w:bookmarkEnd w:id="349"/>
      <w:bookmarkEnd w:id="350"/>
    </w:p>
    <w:p>
      <w:pPr>
        <w:spacing w:line="560" w:lineRule="exact"/>
        <w:ind w:firstLine="600" w:firstLineChars="200"/>
        <w:rPr>
          <w:rFonts w:eastAsia="方正仿宋简体"/>
          <w:sz w:val="30"/>
          <w:szCs w:val="30"/>
        </w:rPr>
      </w:pPr>
      <w:r>
        <w:rPr>
          <w:rFonts w:eastAsia="方正仿宋简体"/>
          <w:sz w:val="30"/>
          <w:szCs w:val="30"/>
        </w:rPr>
        <w:t>股票期权业务投资者教育工作的目的是使客户掌握股票期权业务知识、交易规则，了解股票期权业务风险，树立正确的投资理念，理性参与股票期权交易，增强风险防范意识，依法维护自身权益，自觉维护市场秩序，促进股票期权市场的规范发展。</w:t>
      </w:r>
    </w:p>
    <w:p>
      <w:pPr>
        <w:pStyle w:val="7"/>
        <w:numPr>
          <w:ilvl w:val="0"/>
          <w:numId w:val="107"/>
        </w:numPr>
        <w:spacing w:before="0" w:after="0" w:line="560" w:lineRule="exact"/>
        <w:ind w:left="0" w:firstLine="601" w:firstLineChars="200"/>
        <w:rPr>
          <w:rFonts w:eastAsia="方正仿宋简体"/>
          <w:bCs w:val="0"/>
          <w:sz w:val="30"/>
          <w:szCs w:val="30"/>
        </w:rPr>
      </w:pPr>
      <w:bookmarkStart w:id="351" w:name="_Toc406438925"/>
      <w:r>
        <w:rPr>
          <w:rFonts w:eastAsia="方正仿宋简体"/>
          <w:bCs w:val="0"/>
          <w:sz w:val="30"/>
          <w:szCs w:val="30"/>
        </w:rPr>
        <w:t>投资者教育工作内容</w:t>
      </w:r>
      <w:bookmarkEnd w:id="351"/>
    </w:p>
    <w:p>
      <w:pPr>
        <w:spacing w:line="560" w:lineRule="exact"/>
        <w:ind w:firstLine="600" w:firstLineChars="200"/>
        <w:rPr>
          <w:rFonts w:eastAsia="方正仿宋简体"/>
          <w:sz w:val="30"/>
          <w:szCs w:val="30"/>
        </w:rPr>
      </w:pPr>
      <w:r>
        <w:rPr>
          <w:rFonts w:eastAsia="方正仿宋简体"/>
          <w:sz w:val="30"/>
          <w:szCs w:val="30"/>
        </w:rPr>
        <w:t>股票期权业务投资者教育的主要内容包括股票期权业务基础知识、相关法律法规、股票期权业务规则、股票期权业务风险、投资者适当性管理标准、股票期权经纪合同的主要条款、股票期权开户流程等。</w:t>
      </w:r>
    </w:p>
    <w:p>
      <w:pPr>
        <w:pStyle w:val="7"/>
        <w:numPr>
          <w:ilvl w:val="0"/>
          <w:numId w:val="107"/>
        </w:numPr>
        <w:spacing w:before="0" w:after="0" w:line="560" w:lineRule="exact"/>
        <w:ind w:left="0" w:firstLine="601" w:firstLineChars="200"/>
        <w:rPr>
          <w:rFonts w:eastAsia="方正仿宋简体"/>
          <w:bCs w:val="0"/>
          <w:sz w:val="30"/>
          <w:szCs w:val="30"/>
        </w:rPr>
      </w:pPr>
      <w:bookmarkStart w:id="352" w:name="_Toc406438926"/>
      <w:r>
        <w:rPr>
          <w:rFonts w:eastAsia="方正仿宋简体"/>
          <w:bCs w:val="0"/>
          <w:sz w:val="30"/>
          <w:szCs w:val="30"/>
        </w:rPr>
        <w:t>投资者教育工作要求及工作形式</w:t>
      </w:r>
      <w:bookmarkEnd w:id="352"/>
    </w:p>
    <w:p>
      <w:pPr>
        <w:spacing w:line="560" w:lineRule="exact"/>
        <w:ind w:firstLine="600" w:firstLineChars="200"/>
        <w:rPr>
          <w:rFonts w:eastAsia="方正仿宋简体"/>
          <w:sz w:val="30"/>
          <w:szCs w:val="30"/>
        </w:rPr>
      </w:pPr>
      <w:r>
        <w:rPr>
          <w:rFonts w:eastAsia="方正仿宋简体"/>
          <w:sz w:val="30"/>
          <w:szCs w:val="30"/>
        </w:rPr>
        <w:t>1．股票期权经纪业务部门应制定本公司股票期权投资者教育工作制度，设置股票期权投资者教育专岗，制定并落实股票期权投资者教育工作方案的各项内容。股票期权经纪业务部门可以采取如下形式开展投资者教育活动：集中授课、制作和发放投资者教育材料、设置公司网站投资者教育专栏、利用行情交易系统等揭示股票期权交易风险、组织开展股票期权模拟交易、与监管部门及宣传机构等合作开展投资者教育活动等。</w:t>
      </w:r>
    </w:p>
    <w:p>
      <w:pPr>
        <w:spacing w:line="560" w:lineRule="exact"/>
        <w:ind w:firstLine="600" w:firstLineChars="200"/>
        <w:rPr>
          <w:rFonts w:eastAsia="方正仿宋简体"/>
          <w:sz w:val="30"/>
          <w:szCs w:val="30"/>
        </w:rPr>
      </w:pPr>
      <w:r>
        <w:rPr>
          <w:rFonts w:eastAsia="方正仿宋简体"/>
          <w:sz w:val="30"/>
          <w:szCs w:val="30"/>
        </w:rPr>
        <w:t>证券公司应当在公司网站建立与本所官网期权子网站 （www.szse.cn/option/）的链接，并根据需要或本所要求，及时向客户发布本所提供的有关期权投资者教育的资料。建议证券公司有效利用微信、微博等新媒体开展股票期权投教工作，比如设立微信公众号、服务号等。</w:t>
      </w:r>
    </w:p>
    <w:p>
      <w:pPr>
        <w:spacing w:line="560" w:lineRule="exact"/>
        <w:ind w:firstLine="600" w:firstLineChars="200"/>
        <w:rPr>
          <w:rFonts w:eastAsia="方正仿宋简体"/>
          <w:sz w:val="30"/>
          <w:szCs w:val="30"/>
        </w:rPr>
      </w:pPr>
      <w:r>
        <w:rPr>
          <w:rFonts w:eastAsia="方正仿宋简体"/>
          <w:sz w:val="30"/>
          <w:szCs w:val="30"/>
        </w:rPr>
        <w:t>2．分支机构在总部统一部署下开展股票期权投资者教育工作，也可根据自身实际情况，适时开展投资者教育工作，形式包括集中授课、分发股票期权业务投资者教育资料、设立股票期权业务投资者教育专栏、组织客户参加股票期权模拟交易等。</w:t>
      </w:r>
    </w:p>
    <w:p>
      <w:pPr>
        <w:spacing w:line="560" w:lineRule="exact"/>
        <w:ind w:firstLine="600" w:firstLineChars="200"/>
        <w:rPr>
          <w:rFonts w:eastAsia="方正仿宋简体"/>
          <w:sz w:val="30"/>
          <w:szCs w:val="30"/>
        </w:rPr>
      </w:pPr>
      <w:r>
        <w:rPr>
          <w:rFonts w:eastAsia="方正仿宋简体"/>
          <w:sz w:val="30"/>
          <w:szCs w:val="30"/>
        </w:rPr>
        <w:t>开展股票期权业务的分支机构应当在营业场所建立投资者园地，展示内容可以包括：股票期权投资风险揭示书、股票期权业务法律及行政法规知识、股票期权业务基础知识、股票期权风险收益特点、股票期权交易流程、股票期权知识测试流程及安排等。</w:t>
      </w:r>
    </w:p>
    <w:p>
      <w:pPr>
        <w:spacing w:line="560" w:lineRule="exact"/>
        <w:ind w:firstLine="600" w:firstLineChars="200"/>
        <w:rPr>
          <w:rFonts w:eastAsia="方正仿宋简体"/>
          <w:sz w:val="30"/>
          <w:szCs w:val="30"/>
        </w:rPr>
      </w:pPr>
      <w:bookmarkStart w:id="353" w:name="二、客户投诉处理"/>
      <w:bookmarkStart w:id="354" w:name="_Toc22818"/>
      <w:bookmarkStart w:id="355" w:name="_Toc2906"/>
      <w:bookmarkStart w:id="356" w:name="_Toc452017059"/>
      <w:bookmarkStart w:id="357" w:name="_Toc2328"/>
      <w:bookmarkStart w:id="358" w:name="_Toc408750008"/>
      <w:bookmarkStart w:id="359" w:name="_Toc406438927"/>
      <w:r>
        <w:rPr>
          <w:rFonts w:eastAsia="方正仿宋简体"/>
          <w:sz w:val="30"/>
          <w:szCs w:val="30"/>
        </w:rPr>
        <w:t>分支机构应当配备具备股票期权业务相关知识的工作人员，持续开展股票期权投资者培训，向申请开展股票期权业务的客户讲解股票期权业务规则、合同主要条款并提示交易风险，向客户告知股票期权标的证券名单、开仓保证金比例、维持保证金比例、股票期权交易合约收费标准等，并及时为客户解答常见问题。</w:t>
      </w:r>
    </w:p>
    <w:p>
      <w:pPr>
        <w:pStyle w:val="5"/>
        <w:numPr>
          <w:ilvl w:val="0"/>
          <w:numId w:val="106"/>
        </w:numPr>
        <w:spacing w:before="0" w:after="0" w:line="560" w:lineRule="exact"/>
        <w:ind w:left="0" w:firstLine="601" w:firstLineChars="200"/>
        <w:rPr>
          <w:rFonts w:ascii="Times New Roman" w:hAnsi="Times New Roman" w:eastAsia="方正仿宋简体"/>
          <w:sz w:val="30"/>
          <w:szCs w:val="30"/>
        </w:rPr>
      </w:pPr>
      <w:bookmarkStart w:id="360" w:name="_Toc460944634"/>
      <w:bookmarkStart w:id="361" w:name="_Toc25049528"/>
      <w:r>
        <w:rPr>
          <w:rFonts w:ascii="Times New Roman" w:hAnsi="Times New Roman" w:eastAsia="方正仿宋简体"/>
          <w:sz w:val="30"/>
          <w:szCs w:val="30"/>
        </w:rPr>
        <w:t>客户投诉处理</w:t>
      </w:r>
      <w:bookmarkEnd w:id="353"/>
      <w:bookmarkEnd w:id="354"/>
      <w:bookmarkEnd w:id="355"/>
      <w:bookmarkEnd w:id="356"/>
      <w:bookmarkEnd w:id="357"/>
      <w:bookmarkEnd w:id="358"/>
      <w:bookmarkEnd w:id="359"/>
      <w:bookmarkEnd w:id="360"/>
      <w:bookmarkEnd w:id="361"/>
    </w:p>
    <w:p>
      <w:pPr>
        <w:widowControl/>
        <w:spacing w:line="560" w:lineRule="exact"/>
        <w:ind w:firstLine="600" w:firstLineChars="200"/>
        <w:rPr>
          <w:rFonts w:eastAsia="方正仿宋简体"/>
          <w:bCs/>
          <w:sz w:val="30"/>
          <w:szCs w:val="30"/>
        </w:rPr>
      </w:pPr>
      <w:r>
        <w:rPr>
          <w:rFonts w:eastAsia="方正仿宋简体"/>
          <w:sz w:val="30"/>
          <w:szCs w:val="30"/>
        </w:rPr>
        <w:t>为保护投资者合法权益，及时消除或化解客户因股票期权业务而发生的矛盾纠纷，保证股票期权业务有序开展。证券公司应当建立健全投诉处理制度，通过官方网站、APP、营业场所的投资者园地或公告栏等多种渠道对外公示投诉受理渠道和处理流程。证券公司应当建立投诉处理书面或电子档案，保存期限不少于3年。</w:t>
      </w:r>
      <w:r>
        <w:rPr>
          <w:rFonts w:eastAsia="仿宋_GB2312"/>
          <w:sz w:val="28"/>
          <w:szCs w:val="28"/>
        </w:rPr>
        <w:br w:type="page"/>
      </w:r>
      <w:bookmarkEnd w:id="300"/>
      <w:bookmarkStart w:id="362" w:name="_Toc25049529"/>
      <w:bookmarkStart w:id="363" w:name="_Toc406496808"/>
      <w:r>
        <w:rPr>
          <w:rFonts w:eastAsia="方正仿宋简体"/>
          <w:bCs/>
          <w:sz w:val="30"/>
          <w:szCs w:val="30"/>
        </w:rPr>
        <w:t>附件1：股票期权合格投资者适当性综合评估样表</w:t>
      </w:r>
      <w:bookmarkEnd w:id="362"/>
    </w:p>
    <w:p>
      <w:pPr>
        <w:widowControl/>
        <w:spacing w:line="560" w:lineRule="exact"/>
        <w:ind w:firstLine="420" w:firstLineChars="200"/>
        <w:rPr>
          <w:rFonts w:eastAsia="方正仿宋简体"/>
        </w:rPr>
      </w:pPr>
    </w:p>
    <w:p>
      <w:pPr>
        <w:spacing w:line="560" w:lineRule="exact"/>
        <w:ind w:firstLine="600" w:firstLineChars="200"/>
        <w:rPr>
          <w:rFonts w:eastAsia="方正仿宋简体"/>
          <w:sz w:val="30"/>
          <w:szCs w:val="30"/>
        </w:rPr>
      </w:pPr>
      <w:r>
        <w:rPr>
          <w:rFonts w:eastAsia="方正仿宋简体"/>
          <w:sz w:val="30"/>
          <w:szCs w:val="30"/>
        </w:rPr>
        <w:t>本样表仅供各期权经营机构参考，各期权经营机构可以根据自身实际情况和投资者特点，制定各自的适当性综合评估表。</w:t>
      </w:r>
    </w:p>
    <w:tbl>
      <w:tblPr>
        <w:tblStyle w:val="34"/>
        <w:tblW w:w="8600" w:type="dxa"/>
        <w:tblInd w:w="96" w:type="dxa"/>
        <w:tblLayout w:type="autofit"/>
        <w:tblCellMar>
          <w:top w:w="0" w:type="dxa"/>
          <w:left w:w="108" w:type="dxa"/>
          <w:bottom w:w="0" w:type="dxa"/>
          <w:right w:w="108" w:type="dxa"/>
        </w:tblCellMar>
      </w:tblPr>
      <w:tblGrid>
        <w:gridCol w:w="4800"/>
        <w:gridCol w:w="2200"/>
        <w:gridCol w:w="1600"/>
      </w:tblGrid>
      <w:tr>
        <w:tblPrEx>
          <w:tblCellMar>
            <w:top w:w="0" w:type="dxa"/>
            <w:left w:w="108" w:type="dxa"/>
            <w:bottom w:w="0" w:type="dxa"/>
            <w:right w:w="108" w:type="dxa"/>
          </w:tblCellMar>
        </w:tblPrEx>
        <w:trPr>
          <w:trHeight w:val="51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 xml:space="preserve">客户资金帐号：                             客户姓名：                </w:t>
            </w:r>
          </w:p>
        </w:tc>
      </w:tr>
      <w:tr>
        <w:tblPrEx>
          <w:tblCellMar>
            <w:top w:w="0" w:type="dxa"/>
            <w:left w:w="108" w:type="dxa"/>
            <w:bottom w:w="0" w:type="dxa"/>
            <w:right w:w="108" w:type="dxa"/>
          </w:tblCellMar>
        </w:tblPrEx>
        <w:trPr>
          <w:trHeight w:val="51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jc w:val="center"/>
              <w:rPr>
                <w:rFonts w:eastAsia="方正仿宋简体"/>
                <w:b/>
                <w:kern w:val="0"/>
                <w:sz w:val="24"/>
                <w:szCs w:val="24"/>
              </w:rPr>
            </w:pPr>
            <w:r>
              <w:rPr>
                <w:rFonts w:eastAsia="方正仿宋简体"/>
                <w:b/>
                <w:kern w:val="0"/>
                <w:sz w:val="24"/>
                <w:szCs w:val="24"/>
              </w:rPr>
              <w:t>指标项目</w:t>
            </w:r>
          </w:p>
        </w:tc>
        <w:tc>
          <w:tcPr>
            <w:tcW w:w="1600" w:type="dxa"/>
            <w:tcBorders>
              <w:top w:val="single" w:color="auto" w:sz="4" w:space="0"/>
              <w:left w:val="nil"/>
              <w:bottom w:val="single" w:color="auto" w:sz="4" w:space="0"/>
              <w:right w:val="single" w:color="auto" w:sz="4" w:space="0"/>
            </w:tcBorders>
          </w:tcPr>
          <w:p>
            <w:pPr>
              <w:jc w:val="center"/>
              <w:rPr>
                <w:rFonts w:eastAsia="方正仿宋简体"/>
                <w:b/>
                <w:kern w:val="0"/>
                <w:sz w:val="24"/>
                <w:szCs w:val="24"/>
              </w:rPr>
            </w:pPr>
            <w:r>
              <w:rPr>
                <w:rFonts w:eastAsia="方正仿宋简体"/>
                <w:b/>
                <w:kern w:val="0"/>
                <w:sz w:val="24"/>
                <w:szCs w:val="24"/>
              </w:rPr>
              <w:t>是否达到要求（勾选）</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b/>
                <w:kern w:val="0"/>
                <w:sz w:val="24"/>
                <w:szCs w:val="24"/>
              </w:rPr>
            </w:pPr>
            <w:r>
              <w:rPr>
                <w:rFonts w:eastAsia="方正仿宋简体"/>
                <w:b/>
                <w:kern w:val="0"/>
                <w:sz w:val="24"/>
                <w:szCs w:val="24"/>
              </w:rPr>
              <w:t>一、相关投资经历</w:t>
            </w:r>
          </w:p>
        </w:tc>
      </w:tr>
      <w:tr>
        <w:tblPrEx>
          <w:tblCellMar>
            <w:top w:w="0" w:type="dxa"/>
            <w:left w:w="108" w:type="dxa"/>
            <w:bottom w:w="0" w:type="dxa"/>
            <w:right w:w="108" w:type="dxa"/>
          </w:tblCellMar>
        </w:tblPrEx>
        <w:trPr>
          <w:trHeight w:val="27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具备拟申请交易权限要求的期权模拟交易经历</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深市或沪市A股账户开立6个月以上</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具备融资融券业务参与资格或者金融期货交易经历</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b/>
                <w:kern w:val="0"/>
                <w:sz w:val="24"/>
                <w:szCs w:val="24"/>
              </w:rPr>
            </w:pPr>
            <w:r>
              <w:rPr>
                <w:rFonts w:eastAsia="方正仿宋简体"/>
                <w:b/>
                <w:kern w:val="0"/>
                <w:sz w:val="24"/>
                <w:szCs w:val="24"/>
              </w:rPr>
              <w:t>二、金融类资产状况</w:t>
            </w:r>
          </w:p>
        </w:tc>
      </w:tr>
      <w:tr>
        <w:tblPrEx>
          <w:tblCellMar>
            <w:top w:w="0" w:type="dxa"/>
            <w:left w:w="108" w:type="dxa"/>
            <w:bottom w:w="0" w:type="dxa"/>
            <w:right w:w="108" w:type="dxa"/>
          </w:tblCellMar>
        </w:tblPrEx>
        <w:trPr>
          <w:trHeight w:val="585" w:hRule="atLeast"/>
        </w:trPr>
        <w:tc>
          <w:tcPr>
            <w:tcW w:w="7000" w:type="dxa"/>
            <w:gridSpan w:val="2"/>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申请开户前20个交易日证券市值与资金账户日均可用余额（不含融资融券客户信用证券账户内的证券市值和信用资金账户内的资金）人民币50万元以上</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kern w:val="0"/>
                <w:sz w:val="24"/>
                <w:szCs w:val="24"/>
              </w:rPr>
            </w:pPr>
            <w:r>
              <w:rPr>
                <w:rFonts w:eastAsia="方正仿宋简体"/>
                <w:b/>
                <w:kern w:val="0"/>
                <w:sz w:val="24"/>
                <w:szCs w:val="24"/>
              </w:rPr>
              <w:t>三、期权基础知识水平</w:t>
            </w:r>
          </w:p>
        </w:tc>
      </w:tr>
      <w:tr>
        <w:tblPrEx>
          <w:tblCellMar>
            <w:top w:w="0" w:type="dxa"/>
            <w:left w:w="108" w:type="dxa"/>
            <w:bottom w:w="0" w:type="dxa"/>
            <w:right w:w="108" w:type="dxa"/>
          </w:tblCellMar>
        </w:tblPrEx>
        <w:trPr>
          <w:trHeight w:val="270" w:hRule="atLeast"/>
        </w:trPr>
        <w:tc>
          <w:tcPr>
            <w:tcW w:w="4800" w:type="dxa"/>
            <w:vMerge w:val="restart"/>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r>
              <w:rPr>
                <w:rFonts w:eastAsia="方正仿宋简体"/>
                <w:kern w:val="0"/>
                <w:sz w:val="24"/>
                <w:szCs w:val="24"/>
              </w:rPr>
              <w:t>期权知识测试成绩</w:t>
            </w: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一级知识测试通过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0" w:type="auto"/>
            <w:vMerge w:val="continue"/>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二级知识测试通过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0" w:type="auto"/>
            <w:vMerge w:val="continue"/>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三级知识测试通过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0" w:type="auto"/>
            <w:vMerge w:val="continue"/>
            <w:tcBorders>
              <w:top w:val="nil"/>
              <w:left w:val="single" w:color="auto" w:sz="4" w:space="0"/>
              <w:bottom w:val="single" w:color="000000" w:sz="4" w:space="0"/>
              <w:right w:val="single" w:color="auto" w:sz="4" w:space="0"/>
            </w:tcBorders>
            <w:vAlign w:val="center"/>
          </w:tcPr>
          <w:p>
            <w:pPr>
              <w:rPr>
                <w:rFonts w:eastAsia="方正仿宋简体"/>
                <w:kern w:val="0"/>
                <w:sz w:val="24"/>
                <w:szCs w:val="24"/>
              </w:rPr>
            </w:pPr>
          </w:p>
        </w:tc>
        <w:tc>
          <w:tcPr>
            <w:tcW w:w="2200" w:type="dxa"/>
            <w:tcBorders>
              <w:top w:val="nil"/>
              <w:left w:val="nil"/>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综合知识测试通过</w:t>
            </w:r>
          </w:p>
        </w:tc>
        <w:tc>
          <w:tcPr>
            <w:tcW w:w="1600" w:type="dxa"/>
            <w:tcBorders>
              <w:top w:val="nil"/>
              <w:left w:val="nil"/>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kern w:val="0"/>
                <w:sz w:val="24"/>
                <w:szCs w:val="24"/>
              </w:rPr>
            </w:pPr>
            <w:r>
              <w:rPr>
                <w:rFonts w:eastAsia="方正仿宋简体"/>
                <w:b/>
                <w:kern w:val="0"/>
                <w:sz w:val="24"/>
                <w:szCs w:val="24"/>
              </w:rPr>
              <w:t>四、风险评估</w:t>
            </w:r>
          </w:p>
        </w:tc>
      </w:tr>
      <w:tr>
        <w:tblPrEx>
          <w:tblCellMar>
            <w:top w:w="0" w:type="dxa"/>
            <w:left w:w="108" w:type="dxa"/>
            <w:bottom w:w="0" w:type="dxa"/>
            <w:right w:w="108" w:type="dxa"/>
          </w:tblCellMar>
        </w:tblPrEx>
        <w:trPr>
          <w:trHeight w:val="377" w:hRule="atLeast"/>
        </w:trPr>
        <w:tc>
          <w:tcPr>
            <w:tcW w:w="7000" w:type="dxa"/>
            <w:gridSpan w:val="2"/>
            <w:tcBorders>
              <w:top w:val="nil"/>
              <w:left w:val="single" w:color="auto" w:sz="4" w:space="0"/>
              <w:bottom w:val="nil"/>
              <w:right w:val="single" w:color="auto" w:sz="4" w:space="0"/>
            </w:tcBorders>
            <w:vAlign w:val="center"/>
          </w:tcPr>
          <w:p>
            <w:pPr>
              <w:jc w:val="center"/>
              <w:rPr>
                <w:rFonts w:eastAsia="方正仿宋简体"/>
                <w:kern w:val="0"/>
                <w:sz w:val="24"/>
                <w:szCs w:val="24"/>
              </w:rPr>
            </w:pPr>
            <w:r>
              <w:rPr>
                <w:rFonts w:eastAsia="方正仿宋简体"/>
                <w:kern w:val="0"/>
                <w:sz w:val="24"/>
                <w:szCs w:val="24"/>
              </w:rPr>
              <w:t>通过风险承受能力评估</w:t>
            </w:r>
          </w:p>
        </w:tc>
        <w:tc>
          <w:tcPr>
            <w:tcW w:w="1600" w:type="dxa"/>
            <w:tcBorders>
              <w:top w:val="nil"/>
              <w:left w:val="nil"/>
              <w:bottom w:val="nil"/>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noWrap/>
            <w:vAlign w:val="center"/>
          </w:tcPr>
          <w:p>
            <w:pPr>
              <w:rPr>
                <w:rFonts w:eastAsia="方正仿宋简体"/>
                <w:b/>
                <w:kern w:val="0"/>
                <w:sz w:val="24"/>
                <w:szCs w:val="24"/>
              </w:rPr>
            </w:pPr>
            <w:r>
              <w:rPr>
                <w:rFonts w:eastAsia="方正仿宋简体"/>
                <w:b/>
                <w:kern w:val="0"/>
                <w:sz w:val="24"/>
                <w:szCs w:val="24"/>
              </w:rPr>
              <w:t>五、不良诚信记录</w:t>
            </w:r>
          </w:p>
        </w:tc>
      </w:tr>
      <w:tr>
        <w:tblPrEx>
          <w:tblCellMar>
            <w:top w:w="0" w:type="dxa"/>
            <w:left w:w="108" w:type="dxa"/>
            <w:bottom w:w="0" w:type="dxa"/>
            <w:right w:w="108" w:type="dxa"/>
          </w:tblCellMar>
        </w:tblPrEx>
        <w:trPr>
          <w:trHeight w:val="373" w:hRule="atLeast"/>
        </w:trPr>
        <w:tc>
          <w:tcPr>
            <w:tcW w:w="7000" w:type="dxa"/>
            <w:gridSpan w:val="2"/>
            <w:tcBorders>
              <w:top w:val="nil"/>
              <w:left w:val="single" w:color="auto" w:sz="4" w:space="0"/>
              <w:bottom w:val="nil"/>
              <w:right w:val="single" w:color="auto" w:sz="4" w:space="0"/>
            </w:tcBorders>
            <w:vAlign w:val="center"/>
          </w:tcPr>
          <w:p>
            <w:pPr>
              <w:jc w:val="center"/>
              <w:rPr>
                <w:rFonts w:eastAsia="方正仿宋简体"/>
                <w:kern w:val="0"/>
                <w:sz w:val="24"/>
                <w:szCs w:val="24"/>
              </w:rPr>
            </w:pPr>
            <w:r>
              <w:rPr>
                <w:rFonts w:eastAsia="方正仿宋简体"/>
                <w:kern w:val="0"/>
                <w:sz w:val="24"/>
                <w:szCs w:val="24"/>
              </w:rPr>
              <w:t>无不良诚信记录</w:t>
            </w:r>
          </w:p>
        </w:tc>
        <w:tc>
          <w:tcPr>
            <w:tcW w:w="1600" w:type="dxa"/>
            <w:tcBorders>
              <w:top w:val="nil"/>
              <w:left w:val="nil"/>
              <w:bottom w:val="nil"/>
              <w:right w:val="single" w:color="auto" w:sz="4" w:space="0"/>
            </w:tcBorders>
            <w:noWrap/>
            <w:vAlign w:val="center"/>
          </w:tcPr>
          <w:p>
            <w:pPr>
              <w:rPr>
                <w:rFonts w:eastAsia="方正仿宋简体"/>
                <w:kern w:val="0"/>
                <w:sz w:val="24"/>
                <w:szCs w:val="24"/>
              </w:rPr>
            </w:pPr>
            <w:r>
              <w:rPr>
                <w:rFonts w:eastAsia="方正仿宋简体"/>
                <w:kern w:val="0"/>
                <w:sz w:val="24"/>
                <w:szCs w:val="24"/>
              </w:rPr>
              <w:t>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jc w:val="center"/>
              <w:rPr>
                <w:rFonts w:eastAsia="方正仿宋简体"/>
                <w:b/>
                <w:kern w:val="0"/>
                <w:sz w:val="24"/>
                <w:szCs w:val="24"/>
              </w:rPr>
            </w:pPr>
            <w:r>
              <w:rPr>
                <w:rFonts w:eastAsia="方正仿宋简体"/>
                <w:b/>
                <w:kern w:val="0"/>
                <w:sz w:val="24"/>
                <w:szCs w:val="24"/>
              </w:rPr>
              <w:t>本人承诺</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000000" w:sz="4" w:space="0"/>
            </w:tcBorders>
            <w:vAlign w:val="center"/>
          </w:tcPr>
          <w:p>
            <w:pPr>
              <w:rPr>
                <w:rFonts w:eastAsia="方正仿宋简体"/>
                <w:kern w:val="0"/>
                <w:sz w:val="24"/>
                <w:szCs w:val="24"/>
              </w:rPr>
            </w:pPr>
            <w:r>
              <w:rPr>
                <w:rFonts w:eastAsia="方正仿宋简体"/>
                <w:kern w:val="0"/>
                <w:sz w:val="24"/>
                <w:szCs w:val="24"/>
              </w:rPr>
              <w:t>1．本人对所提供相关证明材料的真实性负责，并自愿承担因材料不实导致的一切后果。</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2．本人不存在重大未申报的不良信用记录。</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3．本人不存在证券市场禁入以及法律、行政法规、规章和深圳证券交易所业务规则禁止从事期权交易的情形。</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4．本人身体健康，不存在不适宜从事期权交易的情形。</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noWrap/>
            <w:vAlign w:val="center"/>
          </w:tcPr>
          <w:p>
            <w:pPr>
              <w:rPr>
                <w:rFonts w:eastAsia="方正仿宋简体"/>
                <w:kern w:val="0"/>
                <w:sz w:val="24"/>
                <w:szCs w:val="24"/>
              </w:rPr>
            </w:pPr>
            <w:r>
              <w:rPr>
                <w:rFonts w:eastAsia="方正仿宋简体"/>
                <w:kern w:val="0"/>
                <w:sz w:val="24"/>
                <w:szCs w:val="24"/>
              </w:rPr>
              <w:t>*5.（对于已开立沪市衍生品合约账户的投资者）本人已了解深沪两市股票期权交易制度的区别。</w:t>
            </w:r>
          </w:p>
        </w:tc>
      </w:tr>
      <w:tr>
        <w:tblPrEx>
          <w:tblCellMar>
            <w:top w:w="0" w:type="dxa"/>
            <w:left w:w="108" w:type="dxa"/>
            <w:bottom w:w="0" w:type="dxa"/>
            <w:right w:w="108" w:type="dxa"/>
          </w:tblCellMar>
        </w:tblPrEx>
        <w:trPr>
          <w:trHeight w:val="285"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投资者（签字）：                             日期：</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 xml:space="preserve">分支机构开户经办人（签字）：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日期：</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 xml:space="preserve">分支机构负责人或其授权人（签字）：              </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b/>
                <w:kern w:val="0"/>
                <w:sz w:val="24"/>
                <w:szCs w:val="24"/>
              </w:rPr>
            </w:pPr>
            <w:r>
              <w:rPr>
                <w:rFonts w:eastAsia="方正仿宋简体"/>
                <w:b/>
                <w:kern w:val="0"/>
                <w:sz w:val="24"/>
                <w:szCs w:val="24"/>
              </w:rPr>
              <w:t>日期：</w:t>
            </w:r>
          </w:p>
        </w:tc>
      </w:tr>
      <w:tr>
        <w:tblPrEx>
          <w:tblCellMar>
            <w:top w:w="0" w:type="dxa"/>
            <w:left w:w="108" w:type="dxa"/>
            <w:bottom w:w="0" w:type="dxa"/>
            <w:right w:w="108" w:type="dxa"/>
          </w:tblCellMar>
        </w:tblPrEx>
        <w:trPr>
          <w:trHeight w:val="270" w:hRule="atLeast"/>
        </w:trPr>
        <w:tc>
          <w:tcPr>
            <w:tcW w:w="8600" w:type="dxa"/>
            <w:gridSpan w:val="3"/>
            <w:tcBorders>
              <w:top w:val="single" w:color="auto" w:sz="4" w:space="0"/>
              <w:left w:val="single" w:color="auto" w:sz="4" w:space="0"/>
              <w:bottom w:val="single" w:color="auto" w:sz="4" w:space="0"/>
              <w:right w:val="single" w:color="auto" w:sz="4" w:space="0"/>
            </w:tcBorders>
          </w:tcPr>
          <w:p>
            <w:pPr>
              <w:rPr>
                <w:rFonts w:eastAsia="方正仿宋简体"/>
                <w:b/>
                <w:kern w:val="0"/>
                <w:sz w:val="24"/>
                <w:szCs w:val="24"/>
              </w:rPr>
            </w:pPr>
            <w:r>
              <w:rPr>
                <w:rFonts w:eastAsia="方正仿宋简体"/>
                <w:b/>
                <w:kern w:val="0"/>
                <w:sz w:val="24"/>
                <w:szCs w:val="24"/>
              </w:rPr>
              <w:t>评估意见：</w:t>
            </w:r>
          </w:p>
        </w:tc>
      </w:tr>
      <w:tr>
        <w:tblPrEx>
          <w:tblCellMar>
            <w:top w:w="0" w:type="dxa"/>
            <w:left w:w="108" w:type="dxa"/>
            <w:bottom w:w="0" w:type="dxa"/>
            <w:right w:w="108" w:type="dxa"/>
          </w:tblCellMar>
        </w:tblPrEx>
        <w:trPr>
          <w:trHeight w:val="570" w:hRule="atLeast"/>
        </w:trPr>
        <w:tc>
          <w:tcPr>
            <w:tcW w:w="8600" w:type="dxa"/>
            <w:gridSpan w:val="3"/>
            <w:tcBorders>
              <w:top w:val="single" w:color="auto" w:sz="4" w:space="0"/>
              <w:left w:val="single" w:color="auto" w:sz="4" w:space="0"/>
              <w:bottom w:val="single" w:color="auto" w:sz="4" w:space="0"/>
              <w:right w:val="single" w:color="auto" w:sz="4" w:space="0"/>
            </w:tcBorders>
            <w:vAlign w:val="center"/>
          </w:tcPr>
          <w:p>
            <w:pPr>
              <w:rPr>
                <w:rFonts w:eastAsia="方正仿宋简体"/>
                <w:kern w:val="0"/>
                <w:sz w:val="24"/>
                <w:szCs w:val="24"/>
              </w:rPr>
            </w:pPr>
            <w:r>
              <w:rPr>
                <w:rFonts w:eastAsia="方正仿宋简体"/>
                <w:kern w:val="0"/>
                <w:sz w:val="24"/>
                <w:szCs w:val="24"/>
              </w:rPr>
              <w:t>经综合考虑，建议授予投资者</w:t>
            </w:r>
            <w:r>
              <w:rPr>
                <w:rFonts w:eastAsia="方正仿宋简体"/>
                <w:kern w:val="0"/>
                <w:sz w:val="24"/>
                <w:szCs w:val="24"/>
                <w:u w:val="single"/>
              </w:rPr>
              <w:t xml:space="preserve">    </w:t>
            </w:r>
            <w:r>
              <w:rPr>
                <w:rFonts w:eastAsia="方正仿宋简体"/>
                <w:kern w:val="0"/>
                <w:sz w:val="24"/>
                <w:szCs w:val="24"/>
              </w:rPr>
              <w:t>级股票期权交易权限。</w:t>
            </w:r>
          </w:p>
        </w:tc>
      </w:tr>
      <w:tr>
        <w:tblPrEx>
          <w:tblCellMar>
            <w:top w:w="0" w:type="dxa"/>
            <w:left w:w="108" w:type="dxa"/>
            <w:bottom w:w="0" w:type="dxa"/>
            <w:right w:w="108" w:type="dxa"/>
          </w:tblCellMar>
        </w:tblPrEx>
        <w:trPr>
          <w:trHeight w:val="285" w:hRule="atLeast"/>
        </w:trPr>
        <w:tc>
          <w:tcPr>
            <w:tcW w:w="8600" w:type="dxa"/>
            <w:gridSpan w:val="3"/>
            <w:tcBorders>
              <w:top w:val="single" w:color="auto" w:sz="4" w:space="0"/>
              <w:left w:val="single" w:color="auto" w:sz="4" w:space="0"/>
              <w:bottom w:val="single" w:color="auto" w:sz="4" w:space="0"/>
              <w:right w:val="single" w:color="auto" w:sz="4" w:space="0"/>
            </w:tcBorders>
          </w:tcPr>
          <w:p>
            <w:pPr>
              <w:rPr>
                <w:rFonts w:eastAsia="方正仿宋简体"/>
                <w:kern w:val="0"/>
                <w:sz w:val="24"/>
                <w:szCs w:val="24"/>
              </w:rPr>
            </w:pPr>
            <w:r>
              <w:rPr>
                <w:rFonts w:eastAsia="方正仿宋简体"/>
                <w:b/>
                <w:kern w:val="0"/>
                <w:sz w:val="24"/>
                <w:szCs w:val="24"/>
              </w:rPr>
              <w:t>提示：评估意见不构成投资建议，亦不构成对投资者的获利保证</w:t>
            </w:r>
            <w:r>
              <w:rPr>
                <w:rFonts w:eastAsia="方正仿宋简体"/>
                <w:kern w:val="0"/>
                <w:sz w:val="24"/>
                <w:szCs w:val="24"/>
              </w:rPr>
              <w:t>。</w:t>
            </w:r>
          </w:p>
        </w:tc>
      </w:tr>
    </w:tbl>
    <w:p>
      <w:pPr>
        <w:spacing w:before="156" w:beforeLines="50" w:after="156" w:afterLines="50"/>
        <w:jc w:val="left"/>
        <w:outlineLvl w:val="0"/>
        <w:rPr>
          <w:rFonts w:eastAsia="方正仿宋简体"/>
          <w:bCs/>
          <w:sz w:val="32"/>
          <w:szCs w:val="32"/>
        </w:rPr>
      </w:pPr>
      <w:r>
        <w:rPr>
          <w:rFonts w:eastAsia="方正仿宋简体"/>
          <w:b/>
          <w:bCs/>
          <w:sz w:val="32"/>
          <w:szCs w:val="32"/>
        </w:rPr>
        <w:br w:type="page"/>
      </w:r>
      <w:bookmarkStart w:id="364" w:name="_Toc25049530"/>
      <w:r>
        <w:rPr>
          <w:rFonts w:eastAsia="方正仿宋简体"/>
          <w:bCs/>
          <w:sz w:val="30"/>
          <w:szCs w:val="30"/>
        </w:rPr>
        <w:t>附件2：股票期权单个品种持仓限额报备表（投资者用</w:t>
      </w:r>
      <w:r>
        <w:rPr>
          <w:rFonts w:hint="eastAsia" w:eastAsia="方正仿宋简体"/>
          <w:bCs/>
          <w:sz w:val="30"/>
          <w:szCs w:val="30"/>
          <w:lang w:eastAsia="zh-CN"/>
        </w:rPr>
        <w:t>样表</w:t>
      </w:r>
      <w:r>
        <w:rPr>
          <w:rFonts w:eastAsia="方正仿宋简体"/>
          <w:bCs/>
          <w:sz w:val="30"/>
          <w:szCs w:val="30"/>
        </w:rPr>
        <w:t>）</w:t>
      </w:r>
      <w:bookmarkEnd w:id="364"/>
    </w:p>
    <w:tbl>
      <w:tblPr>
        <w:tblStyle w:val="3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7"/>
        <w:gridCol w:w="905"/>
        <w:gridCol w:w="362"/>
        <w:gridCol w:w="444"/>
        <w:gridCol w:w="97"/>
        <w:gridCol w:w="726"/>
        <w:gridCol w:w="179"/>
        <w:gridCol w:w="905"/>
        <w:gridCol w:w="183"/>
        <w:gridCol w:w="562"/>
        <w:gridCol w:w="160"/>
        <w:gridCol w:w="545"/>
        <w:gridCol w:w="360"/>
        <w:gridCol w:w="860"/>
        <w:gridCol w:w="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7" w:type="dxa"/>
          <w:trHeight w:val="283" w:hRule="atLeast"/>
          <w:jc w:val="center"/>
        </w:trPr>
        <w:tc>
          <w:tcPr>
            <w:tcW w:w="8475" w:type="dxa"/>
            <w:gridSpan w:val="14"/>
            <w:tcBorders>
              <w:top w:val="single" w:color="auto" w:sz="4" w:space="0"/>
              <w:left w:val="single" w:color="auto" w:sz="4" w:space="0"/>
              <w:bottom w:val="single" w:color="auto" w:sz="4" w:space="0"/>
              <w:right w:val="single" w:color="auto" w:sz="4" w:space="0"/>
            </w:tcBorders>
            <w:vAlign w:val="center"/>
          </w:tcPr>
          <w:p>
            <w:pPr>
              <w:widowControl/>
              <w:jc w:val="center"/>
              <w:rPr>
                <w:rFonts w:eastAsia="方正仿宋简体"/>
                <w:sz w:val="24"/>
                <w:szCs w:val="24"/>
              </w:rPr>
            </w:pPr>
            <w:r>
              <w:rPr>
                <w:rFonts w:eastAsia="方正仿宋简体"/>
                <w:sz w:val="24"/>
                <w:szCs w:val="24"/>
              </w:rPr>
              <w:t>股票期权单个品种持仓限额报备表（投资者）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申请人名称</w:t>
            </w:r>
          </w:p>
        </w:tc>
        <w:tc>
          <w:tcPr>
            <w:tcW w:w="6335" w:type="dxa"/>
            <w:gridSpan w:val="14"/>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深市A股证券账户</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衍生品合约账户</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申请人联系人</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联系人电话</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投资经理</w:t>
            </w:r>
          </w:p>
        </w:tc>
        <w:tc>
          <w:tcPr>
            <w:tcW w:w="1711" w:type="dxa"/>
            <w:gridSpan w:val="3"/>
            <w:vAlign w:val="center"/>
          </w:tcPr>
          <w:p>
            <w:pPr>
              <w:spacing w:line="360" w:lineRule="auto"/>
              <w:rPr>
                <w:rFonts w:eastAsia="方正仿宋简体"/>
                <w:sz w:val="24"/>
                <w:szCs w:val="24"/>
              </w:rPr>
            </w:pPr>
            <w:r>
              <w:rPr>
                <w:rFonts w:eastAsia="方正仿宋简体"/>
                <w:i/>
                <w:kern w:val="0"/>
                <w:sz w:val="24"/>
                <w:szCs w:val="24"/>
              </w:rPr>
              <w:t>（如有）</w:t>
            </w: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投资经理电话</w:t>
            </w:r>
          </w:p>
        </w:tc>
        <w:tc>
          <w:tcPr>
            <w:tcW w:w="1972" w:type="dxa"/>
            <w:gridSpan w:val="5"/>
            <w:vAlign w:val="center"/>
          </w:tcPr>
          <w:p>
            <w:pPr>
              <w:spacing w:line="360" w:lineRule="auto"/>
              <w:rPr>
                <w:rFonts w:eastAsia="方正仿宋简体"/>
                <w:sz w:val="24"/>
                <w:szCs w:val="24"/>
              </w:rPr>
            </w:pPr>
            <w:r>
              <w:rPr>
                <w:rFonts w:eastAsia="方正仿宋简体"/>
                <w:i/>
                <w:kern w:val="0"/>
                <w:sz w:val="24"/>
                <w:szCs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开户机构名称</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开户机构结算账户</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spacing w:line="360" w:lineRule="auto"/>
              <w:rPr>
                <w:rFonts w:eastAsia="方正仿宋简体"/>
                <w:sz w:val="24"/>
                <w:szCs w:val="24"/>
              </w:rPr>
            </w:pPr>
            <w:r>
              <w:rPr>
                <w:rFonts w:eastAsia="方正仿宋简体"/>
                <w:kern w:val="0"/>
                <w:sz w:val="24"/>
                <w:szCs w:val="24"/>
              </w:rPr>
              <w:t>开户机构联系人</w:t>
            </w:r>
          </w:p>
        </w:tc>
        <w:tc>
          <w:tcPr>
            <w:tcW w:w="1711" w:type="dxa"/>
            <w:gridSpan w:val="3"/>
            <w:vAlign w:val="center"/>
          </w:tcPr>
          <w:p>
            <w:pPr>
              <w:spacing w:line="360" w:lineRule="auto"/>
              <w:rPr>
                <w:rFonts w:eastAsia="方正仿宋简体"/>
                <w:sz w:val="24"/>
                <w:szCs w:val="24"/>
              </w:rPr>
            </w:pPr>
          </w:p>
        </w:tc>
        <w:tc>
          <w:tcPr>
            <w:tcW w:w="2652" w:type="dxa"/>
            <w:gridSpan w:val="6"/>
            <w:vAlign w:val="center"/>
          </w:tcPr>
          <w:p>
            <w:pPr>
              <w:spacing w:line="360" w:lineRule="auto"/>
              <w:rPr>
                <w:rFonts w:eastAsia="方正仿宋简体"/>
                <w:sz w:val="24"/>
                <w:szCs w:val="24"/>
              </w:rPr>
            </w:pPr>
            <w:r>
              <w:rPr>
                <w:rFonts w:eastAsia="方正仿宋简体"/>
                <w:kern w:val="0"/>
                <w:sz w:val="24"/>
                <w:szCs w:val="24"/>
              </w:rPr>
              <w:t>开户机构联系人电话</w:t>
            </w:r>
          </w:p>
        </w:tc>
        <w:tc>
          <w:tcPr>
            <w:tcW w:w="1972"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Align w:val="center"/>
          </w:tcPr>
          <w:p>
            <w:pPr>
              <w:rPr>
                <w:rFonts w:eastAsia="方正仿宋简体"/>
                <w:sz w:val="24"/>
                <w:szCs w:val="24"/>
              </w:rPr>
            </w:pPr>
            <w:r>
              <w:rPr>
                <w:rFonts w:eastAsia="方正仿宋简体"/>
                <w:sz w:val="24"/>
                <w:szCs w:val="24"/>
              </w:rPr>
              <w:t>申请用途</w:t>
            </w:r>
          </w:p>
        </w:tc>
        <w:tc>
          <w:tcPr>
            <w:tcW w:w="6335" w:type="dxa"/>
            <w:gridSpan w:val="14"/>
            <w:vAlign w:val="center"/>
          </w:tcPr>
          <w:p>
            <w:pPr>
              <w:spacing w:line="360" w:lineRule="auto"/>
              <w:ind w:firstLine="1200" w:firstLineChars="500"/>
              <w:jc w:val="left"/>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restart"/>
            <w:vAlign w:val="center"/>
          </w:tcPr>
          <w:p>
            <w:pPr>
              <w:jc w:val="center"/>
              <w:rPr>
                <w:rFonts w:eastAsia="方正仿宋简体"/>
                <w:sz w:val="24"/>
                <w:szCs w:val="24"/>
              </w:rPr>
            </w:pPr>
            <w:r>
              <w:rPr>
                <w:rFonts w:eastAsia="方正仿宋简体"/>
                <w:sz w:val="24"/>
                <w:szCs w:val="24"/>
              </w:rPr>
              <w:t>深市合约品种</w:t>
            </w:r>
            <w:r>
              <w:rPr>
                <w:rFonts w:eastAsia="方正仿宋简体"/>
                <w:sz w:val="24"/>
                <w:szCs w:val="24"/>
              </w:rPr>
              <w:br w:type="textWrapping"/>
            </w:r>
            <w:r>
              <w:rPr>
                <w:rFonts w:eastAsia="方正仿宋简体"/>
                <w:sz w:val="24"/>
                <w:szCs w:val="24"/>
              </w:rPr>
              <w:t>持仓限额调整</w:t>
            </w:r>
          </w:p>
        </w:tc>
        <w:tc>
          <w:tcPr>
            <w:tcW w:w="905" w:type="dxa"/>
            <w:vMerge w:val="restart"/>
            <w:vAlign w:val="center"/>
          </w:tcPr>
          <w:p>
            <w:pPr>
              <w:jc w:val="center"/>
              <w:rPr>
                <w:rFonts w:eastAsia="方正仿宋简体"/>
                <w:sz w:val="24"/>
                <w:szCs w:val="24"/>
              </w:rPr>
            </w:pPr>
            <w:r>
              <w:rPr>
                <w:rFonts w:eastAsia="方正仿宋简体"/>
                <w:sz w:val="24"/>
                <w:szCs w:val="24"/>
              </w:rPr>
              <w:t>单个合约品种</w:t>
            </w:r>
          </w:p>
        </w:tc>
        <w:tc>
          <w:tcPr>
            <w:tcW w:w="2713" w:type="dxa"/>
            <w:gridSpan w:val="6"/>
            <w:vAlign w:val="center"/>
          </w:tcPr>
          <w:p>
            <w:pPr>
              <w:jc w:val="center"/>
              <w:rPr>
                <w:rFonts w:eastAsia="方正仿宋简体"/>
                <w:sz w:val="24"/>
                <w:szCs w:val="24"/>
              </w:rPr>
            </w:pPr>
            <w:r>
              <w:rPr>
                <w:rFonts w:eastAsia="方正仿宋简体"/>
                <w:sz w:val="24"/>
                <w:szCs w:val="24"/>
              </w:rPr>
              <w:t>目前持仓限额</w:t>
            </w:r>
          </w:p>
        </w:tc>
        <w:tc>
          <w:tcPr>
            <w:tcW w:w="2717" w:type="dxa"/>
            <w:gridSpan w:val="7"/>
            <w:vAlign w:val="center"/>
          </w:tcPr>
          <w:p>
            <w:pPr>
              <w:jc w:val="center"/>
              <w:rPr>
                <w:rFonts w:eastAsia="方正仿宋简体"/>
                <w:sz w:val="24"/>
                <w:szCs w:val="24"/>
              </w:rPr>
            </w:pPr>
            <w:r>
              <w:rPr>
                <w:rFonts w:eastAsia="方正仿宋简体"/>
                <w:sz w:val="24"/>
                <w:szCs w:val="24"/>
              </w:rPr>
              <w:t>拟申请持仓限额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905" w:type="dxa"/>
            <w:vMerge w:val="continue"/>
            <w:vAlign w:val="center"/>
          </w:tcPr>
          <w:p>
            <w:pPr>
              <w:rPr>
                <w:rFonts w:eastAsia="方正仿宋简体"/>
                <w:sz w:val="24"/>
                <w:szCs w:val="24"/>
              </w:rPr>
            </w:pPr>
          </w:p>
        </w:tc>
        <w:tc>
          <w:tcPr>
            <w:tcW w:w="903" w:type="dxa"/>
            <w:gridSpan w:val="3"/>
            <w:vAlign w:val="center"/>
          </w:tcPr>
          <w:p>
            <w:pPr>
              <w:jc w:val="center"/>
              <w:rPr>
                <w:rFonts w:eastAsia="方正仿宋简体"/>
                <w:sz w:val="24"/>
                <w:szCs w:val="24"/>
              </w:rPr>
            </w:pPr>
            <w:r>
              <w:rPr>
                <w:rFonts w:eastAsia="方正仿宋简体"/>
                <w:sz w:val="24"/>
                <w:szCs w:val="24"/>
              </w:rPr>
              <w:t>权利仓持仓限额</w:t>
            </w:r>
          </w:p>
        </w:tc>
        <w:tc>
          <w:tcPr>
            <w:tcW w:w="905" w:type="dxa"/>
            <w:gridSpan w:val="2"/>
            <w:vAlign w:val="center"/>
          </w:tcPr>
          <w:p>
            <w:pPr>
              <w:jc w:val="center"/>
              <w:rPr>
                <w:rFonts w:eastAsia="方正仿宋简体"/>
                <w:sz w:val="24"/>
                <w:szCs w:val="24"/>
              </w:rPr>
            </w:pPr>
            <w:r>
              <w:rPr>
                <w:rFonts w:eastAsia="方正仿宋简体"/>
                <w:sz w:val="24"/>
                <w:szCs w:val="24"/>
              </w:rPr>
              <w:t>总持仓限额</w:t>
            </w:r>
          </w:p>
        </w:tc>
        <w:tc>
          <w:tcPr>
            <w:tcW w:w="905" w:type="dxa"/>
            <w:vAlign w:val="center"/>
          </w:tcPr>
          <w:p>
            <w:pPr>
              <w:jc w:val="center"/>
              <w:rPr>
                <w:rFonts w:eastAsia="方正仿宋简体"/>
                <w:sz w:val="24"/>
                <w:szCs w:val="24"/>
              </w:rPr>
            </w:pPr>
            <w:r>
              <w:rPr>
                <w:rFonts w:eastAsia="方正仿宋简体"/>
                <w:sz w:val="24"/>
                <w:szCs w:val="24"/>
              </w:rPr>
              <w:t>单日买入开仓限额</w:t>
            </w:r>
          </w:p>
        </w:tc>
        <w:tc>
          <w:tcPr>
            <w:tcW w:w="905" w:type="dxa"/>
            <w:gridSpan w:val="3"/>
            <w:vAlign w:val="center"/>
          </w:tcPr>
          <w:p>
            <w:pPr>
              <w:jc w:val="center"/>
              <w:rPr>
                <w:rFonts w:eastAsia="方正仿宋简体"/>
                <w:sz w:val="24"/>
                <w:szCs w:val="24"/>
              </w:rPr>
            </w:pPr>
            <w:r>
              <w:rPr>
                <w:rFonts w:eastAsia="方正仿宋简体"/>
                <w:sz w:val="24"/>
                <w:szCs w:val="24"/>
              </w:rPr>
              <w:t>权利仓持仓限额</w:t>
            </w:r>
          </w:p>
        </w:tc>
        <w:tc>
          <w:tcPr>
            <w:tcW w:w="905" w:type="dxa"/>
            <w:gridSpan w:val="2"/>
            <w:vAlign w:val="center"/>
          </w:tcPr>
          <w:p>
            <w:pPr>
              <w:jc w:val="center"/>
              <w:rPr>
                <w:rFonts w:eastAsia="方正仿宋简体"/>
                <w:sz w:val="24"/>
                <w:szCs w:val="24"/>
              </w:rPr>
            </w:pPr>
            <w:r>
              <w:rPr>
                <w:rFonts w:eastAsia="方正仿宋简体"/>
                <w:sz w:val="24"/>
                <w:szCs w:val="24"/>
              </w:rPr>
              <w:t>总持仓限额</w:t>
            </w:r>
          </w:p>
        </w:tc>
        <w:tc>
          <w:tcPr>
            <w:tcW w:w="907" w:type="dxa"/>
            <w:gridSpan w:val="2"/>
            <w:vAlign w:val="center"/>
          </w:tcPr>
          <w:p>
            <w:pPr>
              <w:jc w:val="center"/>
              <w:rPr>
                <w:rFonts w:eastAsia="方正仿宋简体"/>
                <w:sz w:val="24"/>
                <w:szCs w:val="24"/>
              </w:rPr>
            </w:pPr>
            <w:r>
              <w:rPr>
                <w:rFonts w:eastAsia="方正仿宋简体"/>
                <w:sz w:val="24"/>
                <w:szCs w:val="24"/>
              </w:rPr>
              <w:t>单日买入开仓限额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905" w:type="dxa"/>
            <w:vAlign w:val="center"/>
          </w:tcPr>
          <w:p>
            <w:pPr>
              <w:rPr>
                <w:rFonts w:eastAsia="方正仿宋简体"/>
                <w:sz w:val="24"/>
                <w:szCs w:val="24"/>
              </w:rPr>
            </w:pPr>
          </w:p>
          <w:p>
            <w:pPr>
              <w:rPr>
                <w:rFonts w:eastAsia="方正仿宋简体"/>
                <w:sz w:val="24"/>
                <w:szCs w:val="24"/>
              </w:rPr>
            </w:pPr>
          </w:p>
        </w:tc>
        <w:tc>
          <w:tcPr>
            <w:tcW w:w="903" w:type="dxa"/>
            <w:gridSpan w:val="3"/>
            <w:vAlign w:val="center"/>
          </w:tcPr>
          <w:p>
            <w:pPr>
              <w:rPr>
                <w:rFonts w:eastAsia="方正仿宋简体"/>
                <w:sz w:val="24"/>
                <w:szCs w:val="24"/>
              </w:rPr>
            </w:pPr>
          </w:p>
        </w:tc>
        <w:tc>
          <w:tcPr>
            <w:tcW w:w="905" w:type="dxa"/>
            <w:gridSpan w:val="2"/>
            <w:vAlign w:val="center"/>
          </w:tcPr>
          <w:p>
            <w:pPr>
              <w:rPr>
                <w:rFonts w:eastAsia="方正仿宋简体"/>
                <w:sz w:val="24"/>
                <w:szCs w:val="24"/>
              </w:rPr>
            </w:pPr>
          </w:p>
        </w:tc>
        <w:tc>
          <w:tcPr>
            <w:tcW w:w="905" w:type="dxa"/>
            <w:vAlign w:val="center"/>
          </w:tcPr>
          <w:p>
            <w:pPr>
              <w:rPr>
                <w:rFonts w:eastAsia="方正仿宋简体"/>
                <w:sz w:val="24"/>
                <w:szCs w:val="24"/>
              </w:rPr>
            </w:pPr>
          </w:p>
        </w:tc>
        <w:tc>
          <w:tcPr>
            <w:tcW w:w="905" w:type="dxa"/>
            <w:gridSpan w:val="3"/>
            <w:vAlign w:val="center"/>
          </w:tcPr>
          <w:p>
            <w:pPr>
              <w:rPr>
                <w:rFonts w:eastAsia="方正仿宋简体"/>
                <w:sz w:val="24"/>
                <w:szCs w:val="24"/>
              </w:rPr>
            </w:pPr>
          </w:p>
        </w:tc>
        <w:tc>
          <w:tcPr>
            <w:tcW w:w="905" w:type="dxa"/>
            <w:gridSpan w:val="2"/>
            <w:vAlign w:val="center"/>
          </w:tcPr>
          <w:p>
            <w:pPr>
              <w:rPr>
                <w:rFonts w:eastAsia="方正仿宋简体"/>
                <w:sz w:val="24"/>
                <w:szCs w:val="24"/>
              </w:rPr>
            </w:pPr>
          </w:p>
        </w:tc>
        <w:tc>
          <w:tcPr>
            <w:tcW w:w="907" w:type="dxa"/>
            <w:gridSpan w:val="2"/>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522" w:type="dxa"/>
            <w:gridSpan w:val="15"/>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restart"/>
            <w:vAlign w:val="center"/>
          </w:tcPr>
          <w:p>
            <w:pPr>
              <w:jc w:val="center"/>
              <w:rPr>
                <w:rFonts w:eastAsia="方正仿宋简体"/>
                <w:sz w:val="24"/>
                <w:szCs w:val="24"/>
              </w:rPr>
            </w:pPr>
            <w:r>
              <w:rPr>
                <w:rFonts w:eastAsia="方正仿宋简体"/>
                <w:sz w:val="24"/>
                <w:szCs w:val="24"/>
              </w:rPr>
              <w:t>沪市合约品种</w:t>
            </w:r>
            <w:r>
              <w:rPr>
                <w:rFonts w:eastAsia="方正仿宋简体"/>
                <w:sz w:val="24"/>
                <w:szCs w:val="24"/>
              </w:rPr>
              <w:br w:type="textWrapping"/>
            </w:r>
            <w:r>
              <w:rPr>
                <w:rFonts w:eastAsia="方正仿宋简体"/>
                <w:sz w:val="24"/>
                <w:szCs w:val="24"/>
              </w:rPr>
              <w:t>持仓限额</w:t>
            </w:r>
          </w:p>
        </w:tc>
        <w:tc>
          <w:tcPr>
            <w:tcW w:w="1267" w:type="dxa"/>
            <w:gridSpan w:val="2"/>
            <w:vAlign w:val="center"/>
          </w:tcPr>
          <w:p>
            <w:pPr>
              <w:jc w:val="center"/>
              <w:rPr>
                <w:rFonts w:eastAsia="方正仿宋简体"/>
                <w:sz w:val="24"/>
                <w:szCs w:val="24"/>
              </w:rPr>
            </w:pPr>
            <w:r>
              <w:rPr>
                <w:rFonts w:eastAsia="方正仿宋简体"/>
                <w:sz w:val="24"/>
                <w:szCs w:val="24"/>
              </w:rPr>
              <w:t>单个</w:t>
            </w:r>
            <w:r>
              <w:rPr>
                <w:rFonts w:eastAsia="方正仿宋简体"/>
                <w:sz w:val="24"/>
                <w:szCs w:val="24"/>
              </w:rPr>
              <w:br w:type="textWrapping"/>
            </w:r>
            <w:r>
              <w:rPr>
                <w:rFonts w:eastAsia="方正仿宋简体"/>
                <w:sz w:val="24"/>
                <w:szCs w:val="24"/>
              </w:rPr>
              <w:t>合约品种</w:t>
            </w:r>
          </w:p>
        </w:tc>
        <w:tc>
          <w:tcPr>
            <w:tcW w:w="1267" w:type="dxa"/>
            <w:gridSpan w:val="3"/>
            <w:vAlign w:val="center"/>
          </w:tcPr>
          <w:p>
            <w:pPr>
              <w:jc w:val="center"/>
              <w:rPr>
                <w:rFonts w:eastAsia="方正仿宋简体"/>
                <w:sz w:val="24"/>
                <w:szCs w:val="24"/>
              </w:rPr>
            </w:pPr>
            <w:r>
              <w:rPr>
                <w:rFonts w:eastAsia="方正仿宋简体"/>
                <w:sz w:val="24"/>
                <w:szCs w:val="24"/>
              </w:rPr>
              <w:t>合约账户</w:t>
            </w:r>
          </w:p>
        </w:tc>
        <w:tc>
          <w:tcPr>
            <w:tcW w:w="1267" w:type="dxa"/>
            <w:gridSpan w:val="3"/>
            <w:vAlign w:val="center"/>
          </w:tcPr>
          <w:p>
            <w:pPr>
              <w:jc w:val="center"/>
              <w:rPr>
                <w:rFonts w:eastAsia="方正仿宋简体"/>
                <w:sz w:val="24"/>
                <w:szCs w:val="24"/>
              </w:rPr>
            </w:pPr>
            <w:r>
              <w:rPr>
                <w:rFonts w:eastAsia="方正仿宋简体"/>
                <w:sz w:val="24"/>
                <w:szCs w:val="24"/>
              </w:rPr>
              <w:t>权利仓</w:t>
            </w:r>
            <w:r>
              <w:rPr>
                <w:rFonts w:eastAsia="方正仿宋简体"/>
                <w:sz w:val="24"/>
                <w:szCs w:val="24"/>
              </w:rPr>
              <w:br w:type="textWrapping"/>
            </w:r>
            <w:r>
              <w:rPr>
                <w:rFonts w:eastAsia="方正仿宋简体"/>
                <w:sz w:val="24"/>
                <w:szCs w:val="24"/>
              </w:rPr>
              <w:t>持仓限额</w:t>
            </w:r>
          </w:p>
        </w:tc>
        <w:tc>
          <w:tcPr>
            <w:tcW w:w="1267" w:type="dxa"/>
            <w:gridSpan w:val="3"/>
            <w:vAlign w:val="center"/>
          </w:tcPr>
          <w:p>
            <w:pPr>
              <w:jc w:val="center"/>
              <w:rPr>
                <w:rFonts w:eastAsia="方正仿宋简体"/>
                <w:sz w:val="24"/>
                <w:szCs w:val="24"/>
              </w:rPr>
            </w:pPr>
            <w:r>
              <w:rPr>
                <w:rFonts w:eastAsia="方正仿宋简体"/>
                <w:sz w:val="24"/>
                <w:szCs w:val="24"/>
              </w:rPr>
              <w:t>总持仓</w:t>
            </w:r>
            <w:r>
              <w:rPr>
                <w:rFonts w:eastAsia="方正仿宋简体"/>
                <w:sz w:val="24"/>
                <w:szCs w:val="24"/>
              </w:rPr>
              <w:br w:type="textWrapping"/>
            </w:r>
            <w:r>
              <w:rPr>
                <w:rFonts w:eastAsia="方正仿宋简体"/>
                <w:sz w:val="24"/>
                <w:szCs w:val="24"/>
              </w:rPr>
              <w:t>限额</w:t>
            </w:r>
          </w:p>
        </w:tc>
        <w:tc>
          <w:tcPr>
            <w:tcW w:w="1267" w:type="dxa"/>
            <w:gridSpan w:val="3"/>
            <w:vAlign w:val="center"/>
          </w:tcPr>
          <w:p>
            <w:pPr>
              <w:jc w:val="center"/>
              <w:rPr>
                <w:rFonts w:eastAsia="方正仿宋简体"/>
                <w:sz w:val="24"/>
                <w:szCs w:val="24"/>
              </w:rPr>
            </w:pPr>
            <w:r>
              <w:rPr>
                <w:rFonts w:eastAsia="方正仿宋简体"/>
                <w:sz w:val="24"/>
                <w:szCs w:val="24"/>
              </w:rPr>
              <w:t>单日买入</w:t>
            </w:r>
            <w:r>
              <w:rPr>
                <w:rFonts w:eastAsia="方正仿宋简体"/>
                <w:sz w:val="24"/>
                <w:szCs w:val="24"/>
              </w:rPr>
              <w:br w:type="textWrapping"/>
            </w:r>
            <w:r>
              <w:rPr>
                <w:rFonts w:eastAsia="方正仿宋简体"/>
                <w:sz w:val="24"/>
                <w:szCs w:val="24"/>
              </w:rPr>
              <w:t>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restart"/>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账户1</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continue"/>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账户2</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continue"/>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账户3</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jc w:val="center"/>
              <w:rPr>
                <w:rFonts w:eastAsia="方正仿宋简体"/>
                <w:sz w:val="24"/>
                <w:szCs w:val="24"/>
              </w:rPr>
            </w:pPr>
          </w:p>
        </w:tc>
        <w:tc>
          <w:tcPr>
            <w:tcW w:w="1267" w:type="dxa"/>
            <w:gridSpan w:val="2"/>
            <w:vMerge w:val="continue"/>
            <w:vAlign w:val="center"/>
          </w:tcPr>
          <w:p>
            <w:pPr>
              <w:rPr>
                <w:rFonts w:eastAsia="方正仿宋简体"/>
                <w:sz w:val="24"/>
                <w:szCs w:val="24"/>
              </w:rPr>
            </w:pPr>
          </w:p>
        </w:tc>
        <w:tc>
          <w:tcPr>
            <w:tcW w:w="1267" w:type="dxa"/>
            <w:gridSpan w:val="3"/>
            <w:vAlign w:val="center"/>
          </w:tcPr>
          <w:p>
            <w:pPr>
              <w:jc w:val="center"/>
              <w:rPr>
                <w:rFonts w:eastAsia="方正仿宋简体"/>
                <w:sz w:val="24"/>
                <w:szCs w:val="24"/>
              </w:rPr>
            </w:pPr>
            <w:r>
              <w:rPr>
                <w:rFonts w:eastAsia="方正仿宋简体"/>
                <w:sz w:val="24"/>
                <w:szCs w:val="24"/>
              </w:rPr>
              <w:t>……</w:t>
            </w: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c>
          <w:tcPr>
            <w:tcW w:w="1267" w:type="dxa"/>
            <w:gridSpan w:val="3"/>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restart"/>
            <w:vAlign w:val="center"/>
          </w:tcPr>
          <w:p>
            <w:pPr>
              <w:jc w:val="center"/>
              <w:rPr>
                <w:rFonts w:eastAsia="方正仿宋简体"/>
                <w:sz w:val="24"/>
                <w:szCs w:val="24"/>
              </w:rPr>
            </w:pPr>
            <w:r>
              <w:rPr>
                <w:rFonts w:eastAsia="方正仿宋简体"/>
                <w:sz w:val="24"/>
                <w:szCs w:val="24"/>
              </w:rPr>
              <w:t>签字及公章</w:t>
            </w:r>
          </w:p>
        </w:tc>
        <w:tc>
          <w:tcPr>
            <w:tcW w:w="6335" w:type="dxa"/>
            <w:gridSpan w:val="14"/>
            <w:vAlign w:val="center"/>
          </w:tcPr>
          <w:p>
            <w:pPr>
              <w:rPr>
                <w:rFonts w:eastAsia="方正仿宋简体"/>
                <w:sz w:val="24"/>
                <w:szCs w:val="24"/>
              </w:rPr>
            </w:pPr>
            <w:r>
              <w:rPr>
                <w:rFonts w:eastAsia="方正仿宋简体"/>
                <w:sz w:val="24"/>
                <w:szCs w:val="24"/>
              </w:rPr>
              <w:t>申请人签字：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6335" w:type="dxa"/>
            <w:gridSpan w:val="14"/>
            <w:vAlign w:val="center"/>
          </w:tcPr>
          <w:p>
            <w:pPr>
              <w:rPr>
                <w:rFonts w:eastAsia="方正仿宋简体"/>
                <w:sz w:val="24"/>
                <w:szCs w:val="24"/>
              </w:rPr>
            </w:pPr>
            <w:r>
              <w:rPr>
                <w:rFonts w:eastAsia="方正仿宋简体"/>
                <w:sz w:val="24"/>
                <w:szCs w:val="24"/>
              </w:rPr>
              <w:t>营业部经办人签字：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6335" w:type="dxa"/>
            <w:gridSpan w:val="14"/>
            <w:vAlign w:val="center"/>
          </w:tcPr>
          <w:p>
            <w:pPr>
              <w:rPr>
                <w:rFonts w:eastAsia="方正仿宋简体"/>
                <w:sz w:val="24"/>
                <w:szCs w:val="24"/>
              </w:rPr>
            </w:pPr>
            <w:r>
              <w:rPr>
                <w:rFonts w:eastAsia="方正仿宋简体"/>
                <w:sz w:val="24"/>
                <w:szCs w:val="24"/>
              </w:rPr>
              <w:t>期权经营机构经纪业务负责人签字：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187" w:type="dxa"/>
            <w:vMerge w:val="continue"/>
            <w:vAlign w:val="center"/>
          </w:tcPr>
          <w:p>
            <w:pPr>
              <w:rPr>
                <w:rFonts w:eastAsia="方正仿宋简体"/>
                <w:sz w:val="24"/>
                <w:szCs w:val="24"/>
              </w:rPr>
            </w:pPr>
          </w:p>
        </w:tc>
        <w:tc>
          <w:tcPr>
            <w:tcW w:w="6335" w:type="dxa"/>
            <w:gridSpan w:val="14"/>
            <w:vAlign w:val="center"/>
          </w:tcPr>
          <w:p>
            <w:pPr>
              <w:rPr>
                <w:rFonts w:eastAsia="方正仿宋简体"/>
                <w:sz w:val="24"/>
                <w:szCs w:val="24"/>
              </w:rPr>
            </w:pPr>
          </w:p>
          <w:p>
            <w:pPr>
              <w:rPr>
                <w:rFonts w:eastAsia="方正仿宋简体"/>
                <w:sz w:val="24"/>
                <w:szCs w:val="24"/>
              </w:rPr>
            </w:pPr>
          </w:p>
          <w:p>
            <w:pPr>
              <w:rPr>
                <w:rFonts w:eastAsia="方正仿宋简体"/>
                <w:sz w:val="24"/>
                <w:szCs w:val="24"/>
              </w:rPr>
            </w:pPr>
            <w:r>
              <w:rPr>
                <w:rFonts w:eastAsia="方正仿宋简体"/>
                <w:sz w:val="24"/>
                <w:szCs w:val="24"/>
              </w:rPr>
              <w:t>期权经营机构单位公章：</w:t>
            </w:r>
          </w:p>
        </w:tc>
      </w:tr>
    </w:tbl>
    <w:p>
      <w:pPr>
        <w:widowControl/>
        <w:jc w:val="left"/>
        <w:rPr>
          <w:rFonts w:eastAsia="方正仿宋简体"/>
          <w:b/>
          <w:bCs/>
          <w:sz w:val="32"/>
          <w:szCs w:val="32"/>
        </w:rPr>
      </w:pPr>
      <w:r>
        <w:rPr>
          <w:rFonts w:eastAsia="方正仿宋简体"/>
          <w:b/>
          <w:bCs/>
          <w:sz w:val="32"/>
          <w:szCs w:val="32"/>
        </w:rPr>
        <w:br w:type="page"/>
      </w:r>
      <w:bookmarkStart w:id="365" w:name="_Toc25049531"/>
      <w:r>
        <w:rPr>
          <w:rFonts w:eastAsia="方正仿宋简体"/>
          <w:bCs/>
          <w:sz w:val="30"/>
          <w:szCs w:val="30"/>
        </w:rPr>
        <w:t>附件3：股票期权套期保值专用账户报备表</w:t>
      </w:r>
      <w:bookmarkEnd w:id="365"/>
      <w:r>
        <w:rPr>
          <w:rFonts w:hint="eastAsia" w:eastAsia="方正仿宋简体"/>
          <w:bCs/>
          <w:sz w:val="30"/>
          <w:szCs w:val="30"/>
          <w:lang w:eastAsia="zh-CN"/>
        </w:rPr>
        <w:t>样表</w:t>
      </w:r>
    </w:p>
    <w:tbl>
      <w:tblPr>
        <w:tblStyle w:val="34"/>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top w:w="0" w:type="dxa"/>
          <w:left w:w="108" w:type="dxa"/>
          <w:bottom w:w="0" w:type="dxa"/>
          <w:right w:w="108" w:type="dxa"/>
        </w:tblCellMar>
      </w:tblPr>
      <w:tblGrid>
        <w:gridCol w:w="2410"/>
        <w:gridCol w:w="2406"/>
        <w:gridCol w:w="2129"/>
        <w:gridCol w:w="1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32" w:hRule="atLeast"/>
          <w:jc w:val="center"/>
        </w:trPr>
        <w:tc>
          <w:tcPr>
            <w:tcW w:w="8870" w:type="dxa"/>
            <w:gridSpan w:val="4"/>
            <w:tcBorders>
              <w:bottom w:val="single" w:color="auto" w:sz="4" w:space="0"/>
            </w:tcBorders>
            <w:shd w:val="clear" w:color="auto" w:fill="auto"/>
            <w:noWrap/>
            <w:vAlign w:val="center"/>
          </w:tcPr>
          <w:p>
            <w:pPr>
              <w:widowControl/>
              <w:snapToGrid w:val="0"/>
              <w:ind w:firstLine="158"/>
              <w:jc w:val="center"/>
              <w:rPr>
                <w:rFonts w:eastAsia="方正仿宋简体"/>
                <w:kern w:val="0"/>
                <w:sz w:val="24"/>
                <w:szCs w:val="24"/>
              </w:rPr>
            </w:pPr>
            <w:r>
              <w:rPr>
                <w:rFonts w:eastAsia="方正仿宋简体"/>
                <w:sz w:val="24"/>
                <w:szCs w:val="24"/>
              </w:rPr>
              <w:t>股票期权套期保值专用账户报备表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申请人名称</w:t>
            </w:r>
          </w:p>
        </w:tc>
        <w:tc>
          <w:tcPr>
            <w:tcW w:w="6460" w:type="dxa"/>
            <w:gridSpan w:val="3"/>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21"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2406" w:type="dxa"/>
            <w:shd w:val="clear" w:color="auto" w:fill="auto"/>
            <w:noWrap/>
            <w:vAlign w:val="center"/>
          </w:tcPr>
          <w:p>
            <w:pPr>
              <w:widowControl/>
              <w:jc w:val="center"/>
              <w:rPr>
                <w:rFonts w:eastAsia="方正仿宋简体"/>
                <w:i/>
                <w:kern w:val="0"/>
                <w:sz w:val="24"/>
                <w:szCs w:val="24"/>
              </w:rPr>
            </w:pPr>
          </w:p>
        </w:tc>
        <w:tc>
          <w:tcPr>
            <w:tcW w:w="2129" w:type="dxa"/>
            <w:shd w:val="clear" w:color="auto" w:fill="auto"/>
            <w:vAlign w:val="center"/>
          </w:tcPr>
          <w:p>
            <w:pPr>
              <w:widowControl/>
              <w:jc w:val="left"/>
              <w:rPr>
                <w:rFonts w:eastAsia="方正仿宋简体"/>
                <w:i/>
                <w:kern w:val="0"/>
                <w:sz w:val="24"/>
                <w:szCs w:val="24"/>
              </w:rPr>
            </w:pPr>
            <w:r>
              <w:rPr>
                <w:rFonts w:eastAsia="方正仿宋简体"/>
                <w:kern w:val="0"/>
                <w:sz w:val="24"/>
                <w:szCs w:val="24"/>
              </w:rPr>
              <w:t>对应衍生品合约账户</w:t>
            </w:r>
          </w:p>
        </w:tc>
        <w:tc>
          <w:tcPr>
            <w:tcW w:w="1925" w:type="dxa"/>
            <w:shd w:val="clear" w:color="auto" w:fill="auto"/>
            <w:vAlign w:val="center"/>
          </w:tcPr>
          <w:p>
            <w:pPr>
              <w:widowControl/>
              <w:jc w:val="center"/>
              <w:rPr>
                <w:rFonts w:eastAsia="方正仿宋简体"/>
                <w:i/>
                <w:kern w:val="0"/>
                <w:sz w:val="24"/>
                <w:szCs w:val="24"/>
              </w:rPr>
            </w:pPr>
            <w:r>
              <w:rPr>
                <w:rFonts w:eastAsia="方正仿宋简体"/>
                <w:i/>
                <w:kern w:val="0"/>
                <w:sz w:val="24"/>
                <w:szCs w:val="24"/>
              </w:rPr>
              <w:t>（已开立）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申请人联系人</w:t>
            </w:r>
          </w:p>
        </w:tc>
        <w:tc>
          <w:tcPr>
            <w:tcW w:w="2406" w:type="dxa"/>
            <w:shd w:val="clear" w:color="auto" w:fill="auto"/>
            <w:noWrap/>
            <w:vAlign w:val="center"/>
          </w:tcPr>
          <w:p>
            <w:pPr>
              <w:widowControl/>
              <w:jc w:val="center"/>
              <w:rPr>
                <w:rFonts w:eastAsia="方正仿宋简体"/>
                <w:kern w:val="0"/>
                <w:sz w:val="24"/>
                <w:szCs w:val="24"/>
              </w:rPr>
            </w:pPr>
          </w:p>
        </w:tc>
        <w:tc>
          <w:tcPr>
            <w:tcW w:w="2129"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5"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w:t>
            </w:r>
          </w:p>
        </w:tc>
        <w:tc>
          <w:tcPr>
            <w:tcW w:w="2406"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c>
          <w:tcPr>
            <w:tcW w:w="2129"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投资经理电话</w:t>
            </w:r>
          </w:p>
        </w:tc>
        <w:tc>
          <w:tcPr>
            <w:tcW w:w="1925"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66"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开户机构名称</w:t>
            </w:r>
          </w:p>
        </w:tc>
        <w:tc>
          <w:tcPr>
            <w:tcW w:w="2406" w:type="dxa"/>
            <w:shd w:val="clear" w:color="auto" w:fill="auto"/>
            <w:noWrap/>
            <w:vAlign w:val="center"/>
          </w:tcPr>
          <w:p>
            <w:pPr>
              <w:widowControl/>
              <w:jc w:val="center"/>
              <w:rPr>
                <w:rFonts w:eastAsia="方正仿宋简体"/>
                <w:kern w:val="0"/>
                <w:sz w:val="24"/>
                <w:szCs w:val="24"/>
              </w:rPr>
            </w:pPr>
          </w:p>
        </w:tc>
        <w:tc>
          <w:tcPr>
            <w:tcW w:w="2129"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开户机构结算账户</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8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w:t>
            </w:r>
          </w:p>
        </w:tc>
        <w:tc>
          <w:tcPr>
            <w:tcW w:w="2406" w:type="dxa"/>
            <w:shd w:val="clear" w:color="auto" w:fill="auto"/>
            <w:noWrap/>
            <w:vAlign w:val="center"/>
          </w:tcPr>
          <w:p>
            <w:pPr>
              <w:widowControl/>
              <w:jc w:val="center"/>
              <w:rPr>
                <w:rFonts w:eastAsia="方正仿宋简体"/>
                <w:kern w:val="0"/>
                <w:sz w:val="24"/>
                <w:szCs w:val="24"/>
              </w:rPr>
            </w:pPr>
          </w:p>
        </w:tc>
        <w:tc>
          <w:tcPr>
            <w:tcW w:w="2129"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535"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申请人声明事项</w:t>
            </w:r>
          </w:p>
          <w:p>
            <w:pPr>
              <w:widowControl/>
              <w:autoSpaceDE w:val="0"/>
              <w:autoSpaceDN w:val="0"/>
              <w:adjustRightInd w:val="0"/>
              <w:snapToGrid w:val="0"/>
              <w:ind w:right="-57"/>
              <w:jc w:val="left"/>
              <w:rPr>
                <w:rFonts w:eastAsia="方正仿宋简体"/>
                <w:kern w:val="0"/>
                <w:sz w:val="24"/>
                <w:szCs w:val="24"/>
              </w:rPr>
            </w:pPr>
            <w:r>
              <w:rPr>
                <w:rFonts w:eastAsia="方正仿宋简体"/>
                <w:kern w:val="0"/>
                <w:sz w:val="24"/>
                <w:szCs w:val="24"/>
              </w:rPr>
              <w:t>1．提供的文件内容完整并且真实；</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2．将依据报备的用途与内部控制程序从事期权交易；</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3．遵守期权交易相关法律法规，绝不以不当手段干扰期权与相关现货市场运作，并且了解深圳证券交易所在执行监管时，对发现的异常情况有权依据《深圳证券交易所股票期权试点交易规则》及相关规定采取相应措施以维护市场秩序；</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4．同意深圳证券交易所在申请人从事期权交易期间，可以依据相关规定要求申请人就有关事项限期提出书面说明或者补充文件，申请人不会规避或者拒绝。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1489" w:hRule="exact"/>
          <w:jc w:val="center"/>
        </w:trPr>
        <w:tc>
          <w:tcPr>
            <w:tcW w:w="8870" w:type="dxa"/>
            <w:gridSpan w:val="4"/>
            <w:shd w:val="clear" w:color="auto" w:fill="auto"/>
            <w:noWrap/>
          </w:tcPr>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申请人（或管理人）签字：</w:t>
            </w: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892"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期权经营机构对申请人材料真实性的声明事项：</w:t>
            </w:r>
            <w:r>
              <w:rPr>
                <w:rFonts w:eastAsia="方正仿宋简体"/>
                <w:kern w:val="0"/>
                <w:sz w:val="24"/>
                <w:szCs w:val="24"/>
              </w:rPr>
              <w:t>我公司保证申请人向贵所提供的各项证明材料均属实，同意向交易所提交相关申请，并在运作中按照深圳证券交易所的有关规定执行。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268" w:hRule="exact"/>
          <w:jc w:val="center"/>
        </w:trPr>
        <w:tc>
          <w:tcPr>
            <w:tcW w:w="8870" w:type="dxa"/>
            <w:gridSpan w:val="4"/>
            <w:shd w:val="clear" w:color="auto" w:fill="auto"/>
            <w:noWrap/>
          </w:tcPr>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r>
              <w:rPr>
                <w:rFonts w:eastAsia="方正仿宋简体"/>
                <w:b/>
                <w:sz w:val="24"/>
                <w:szCs w:val="24"/>
              </w:rPr>
              <w:t>期权经营机构</w:t>
            </w:r>
            <w:r>
              <w:rPr>
                <w:rFonts w:eastAsia="方正仿宋简体"/>
                <w:b/>
                <w:kern w:val="0"/>
                <w:sz w:val="24"/>
                <w:szCs w:val="24"/>
              </w:rPr>
              <w:t xml:space="preserve">负责人（或被授权人）签字：                  </w:t>
            </w:r>
            <w:r>
              <w:rPr>
                <w:rFonts w:eastAsia="方正仿宋简体"/>
                <w:b/>
                <w:sz w:val="24"/>
                <w:szCs w:val="24"/>
              </w:rPr>
              <w:t>期权经营机构</w:t>
            </w:r>
            <w:r>
              <w:rPr>
                <w:rFonts w:eastAsia="方正仿宋简体"/>
                <w:b/>
                <w:kern w:val="0"/>
                <w:sz w:val="24"/>
                <w:szCs w:val="24"/>
              </w:rPr>
              <w:t>盖章：</w:t>
            </w:r>
          </w:p>
        </w:tc>
      </w:tr>
    </w:tbl>
    <w:p>
      <w:pPr>
        <w:widowControl/>
        <w:jc w:val="left"/>
        <w:rPr>
          <w:rFonts w:eastAsia="方正仿宋简体"/>
          <w:bCs/>
          <w:sz w:val="30"/>
          <w:szCs w:val="30"/>
        </w:rPr>
      </w:pPr>
      <w:r>
        <w:rPr>
          <w:rFonts w:eastAsia="方正仿宋简体"/>
          <w:b/>
          <w:bCs/>
          <w:sz w:val="32"/>
          <w:szCs w:val="32"/>
        </w:rPr>
        <w:br w:type="page"/>
      </w:r>
      <w:bookmarkStart w:id="366" w:name="_Toc25049532"/>
      <w:r>
        <w:rPr>
          <w:rFonts w:eastAsia="方正仿宋简体"/>
          <w:bCs/>
          <w:sz w:val="30"/>
          <w:szCs w:val="30"/>
        </w:rPr>
        <w:t>附件4：股票期权持仓限额调整申请表（投资者用</w:t>
      </w:r>
      <w:r>
        <w:rPr>
          <w:rFonts w:hint="eastAsia" w:eastAsia="方正仿宋简体"/>
          <w:bCs/>
          <w:sz w:val="30"/>
          <w:szCs w:val="30"/>
          <w:lang w:eastAsia="zh-CN"/>
        </w:rPr>
        <w:t>样表</w:t>
      </w:r>
      <w:r>
        <w:rPr>
          <w:rFonts w:eastAsia="方正仿宋简体"/>
          <w:bCs/>
          <w:sz w:val="30"/>
          <w:szCs w:val="30"/>
        </w:rPr>
        <w:t>）</w:t>
      </w:r>
      <w:bookmarkEnd w:id="366"/>
    </w:p>
    <w:tbl>
      <w:tblPr>
        <w:tblStyle w:val="34"/>
        <w:tblW w:w="8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715"/>
        <w:gridCol w:w="899"/>
        <w:gridCol w:w="363"/>
        <w:gridCol w:w="537"/>
        <w:gridCol w:w="900"/>
        <w:gridCol w:w="90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475" w:type="dxa"/>
            <w:gridSpan w:val="9"/>
            <w:vAlign w:val="center"/>
          </w:tcPr>
          <w:p>
            <w:pPr>
              <w:spacing w:line="360" w:lineRule="auto"/>
              <w:jc w:val="center"/>
              <w:rPr>
                <w:rFonts w:eastAsia="方正仿宋简体"/>
                <w:sz w:val="24"/>
                <w:szCs w:val="24"/>
              </w:rPr>
            </w:pPr>
            <w:r>
              <w:rPr>
                <w:rFonts w:eastAsia="方正仿宋简体"/>
                <w:sz w:val="24"/>
                <w:szCs w:val="24"/>
              </w:rPr>
              <w:t>股票期权持仓限额调整申请表（投资者用）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spacing w:line="360" w:lineRule="auto"/>
              <w:rPr>
                <w:rFonts w:eastAsia="方正仿宋简体"/>
                <w:sz w:val="24"/>
                <w:szCs w:val="24"/>
              </w:rPr>
            </w:pPr>
            <w:r>
              <w:rPr>
                <w:rFonts w:eastAsia="方正仿宋简体"/>
                <w:sz w:val="24"/>
                <w:szCs w:val="24"/>
              </w:rPr>
              <w:t>申请人信息</w:t>
            </w:r>
          </w:p>
        </w:tc>
        <w:tc>
          <w:tcPr>
            <w:tcW w:w="2977" w:type="dxa"/>
            <w:gridSpan w:val="3"/>
            <w:vAlign w:val="center"/>
          </w:tcPr>
          <w:p>
            <w:pPr>
              <w:spacing w:line="360" w:lineRule="auto"/>
              <w:rPr>
                <w:rFonts w:eastAsia="方正仿宋简体"/>
                <w:sz w:val="24"/>
                <w:szCs w:val="24"/>
              </w:rPr>
            </w:pPr>
            <w:r>
              <w:rPr>
                <w:rFonts w:eastAsia="方正仿宋简体"/>
                <w:sz w:val="24"/>
                <w:szCs w:val="24"/>
              </w:rPr>
              <w:t>名称</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联系方式</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电子邮箱</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衍生品合约账</w:t>
            </w:r>
            <w:r>
              <w:rPr>
                <w:rFonts w:eastAsia="方正仿宋简体"/>
                <w:kern w:val="0"/>
                <w:sz w:val="24"/>
                <w:szCs w:val="24"/>
              </w:rPr>
              <w:t>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Align w:val="center"/>
          </w:tcPr>
          <w:p>
            <w:pPr>
              <w:rPr>
                <w:rFonts w:eastAsia="方正仿宋简体"/>
                <w:sz w:val="24"/>
                <w:szCs w:val="24"/>
              </w:rPr>
            </w:pPr>
            <w:r>
              <w:rPr>
                <w:rFonts w:eastAsia="方正仿宋简体"/>
                <w:sz w:val="24"/>
                <w:szCs w:val="24"/>
              </w:rPr>
              <w:t>申请用途</w:t>
            </w:r>
          </w:p>
        </w:tc>
        <w:tc>
          <w:tcPr>
            <w:tcW w:w="7114" w:type="dxa"/>
            <w:gridSpan w:val="8"/>
            <w:vAlign w:val="center"/>
          </w:tcPr>
          <w:p>
            <w:pPr>
              <w:spacing w:line="360" w:lineRule="auto"/>
              <w:ind w:firstLine="945" w:firstLineChars="450"/>
              <w:rPr>
                <w:rFonts w:eastAsia="方正仿宋简体"/>
                <w:sz w:val="24"/>
                <w:szCs w:val="24"/>
              </w:rPr>
            </w:pPr>
            <w:r>
              <w:rPr>
                <w:rFonts w:eastAsia="方正仿宋简体"/>
              </w:rPr>
              <w:pict>
                <v:rect id="矩形 6" o:spid="_x0000_s1156" o:spt="1" style="position:absolute;left:0pt;margin-left:14pt;margin-top:51.5pt;height:13.5pt;width:12.75pt;z-index:25166131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rIegQ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">
                  <v:path/>
                  <v:fill on="f" focussize="0,0"/>
                  <v:stroke/>
                  <v:imagedata o:title=""/>
                  <o:lock v:ext="edit"/>
                </v:rect>
              </w:pict>
            </w:r>
            <w:r>
              <w:rPr>
                <w:rFonts w:eastAsia="方正仿宋简体"/>
              </w:rPr>
              <w:pict>
                <v:rect id="矩形 5" o:spid="_x0000_s1155" o:spt="1" style="position:absolute;left:0pt;margin-left:14pt;margin-top:28.9pt;height:13.5pt;width:12.75pt;z-index:25166028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7migQ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">
                  <v:path/>
                  <v:fill on="f" focussize="0,0"/>
                  <v:stroke/>
                  <v:imagedata o:title=""/>
                  <o:lock v:ext="edit"/>
                </v:rect>
              </w:pict>
            </w:r>
            <w:r>
              <w:rPr>
                <w:rFonts w:eastAsia="方正仿宋简体"/>
              </w:rPr>
              <w:pict>
                <v:rect id="矩形 4" o:spid="_x0000_s1154" o:spt="1" style="position:absolute;left:0pt;margin-left:14pt;margin-top:6.3pt;height:13.5pt;width:12.75pt;z-index:25166028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pB/gQ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">
                  <v:path/>
                  <v:fill on="f" focussize="0,0"/>
                  <v:stroke/>
                  <v:imagedata o:title=""/>
                  <o:lock v:ext="edit"/>
                </v:rect>
              </w:pict>
            </w:r>
            <w:r>
              <w:rPr>
                <w:rFonts w:eastAsia="方正仿宋简体"/>
                <w:sz w:val="24"/>
                <w:szCs w:val="24"/>
              </w:rPr>
              <w:t>现货多头套期保值</w:t>
            </w:r>
          </w:p>
          <w:p>
            <w:pPr>
              <w:spacing w:line="360" w:lineRule="auto"/>
              <w:ind w:firstLine="1080" w:firstLineChars="450"/>
              <w:rPr>
                <w:rFonts w:eastAsia="方正仿宋简体"/>
                <w:sz w:val="24"/>
                <w:szCs w:val="24"/>
              </w:rPr>
            </w:pPr>
            <w:r>
              <w:rPr>
                <w:rFonts w:eastAsia="方正仿宋简体"/>
                <w:sz w:val="24"/>
                <w:szCs w:val="24"/>
              </w:rPr>
              <w:t>现货空头套期保值</w:t>
            </w:r>
          </w:p>
          <w:p>
            <w:pPr>
              <w:spacing w:line="360" w:lineRule="auto"/>
              <w:ind w:firstLine="1080" w:firstLineChars="450"/>
              <w:rPr>
                <w:rFonts w:eastAsia="方正仿宋简体"/>
                <w:sz w:val="24"/>
                <w:szCs w:val="24"/>
              </w:rPr>
            </w:pPr>
            <w:r>
              <w:rPr>
                <w:rFonts w:eastAsia="方正仿宋简体"/>
                <w:sz w:val="24"/>
                <w:szCs w:val="24"/>
              </w:rPr>
              <w:t>期权套期保值</w:t>
            </w:r>
          </w:p>
          <w:p>
            <w:pPr>
              <w:spacing w:line="360" w:lineRule="auto"/>
              <w:ind w:firstLine="945" w:firstLineChars="450"/>
              <w:rPr>
                <w:rFonts w:eastAsia="方正仿宋简体"/>
                <w:sz w:val="24"/>
                <w:szCs w:val="24"/>
              </w:rPr>
            </w:pPr>
            <w:r>
              <w:rPr>
                <w:rFonts w:eastAsia="方正仿宋简体"/>
              </w:rPr>
              <w:pict>
                <v:rect id="矩形 1" o:spid="_x0000_s1153" o:spt="1" style="position:absolute;left:0pt;margin-left:13.8pt;margin-top:3.55pt;height:13.5pt;width:12.75pt;z-index:251662336;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">
                  <v:path/>
                  <v:fill on="f" focussize="0,0"/>
                  <v:stroke/>
                  <v:imagedata o:title=""/>
                  <o:lock v:ext="edit"/>
                </v:rect>
              </w:pict>
            </w:r>
            <w:r>
              <w:rPr>
                <w:rFonts w:eastAsia="方正仿宋简体"/>
                <w:sz w:val="24"/>
                <w:szCs w:val="24"/>
              </w:rPr>
              <w:t>备兑开仓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合约品种持仓限额调整</w:t>
            </w:r>
          </w:p>
        </w:tc>
        <w:tc>
          <w:tcPr>
            <w:tcW w:w="1715" w:type="dxa"/>
            <w:vMerge w:val="restart"/>
            <w:vAlign w:val="center"/>
          </w:tcPr>
          <w:p>
            <w:pPr>
              <w:rPr>
                <w:rFonts w:eastAsia="方正仿宋简体"/>
                <w:sz w:val="24"/>
                <w:szCs w:val="24"/>
              </w:rPr>
            </w:pPr>
            <w:r>
              <w:rPr>
                <w:rFonts w:eastAsia="方正仿宋简体"/>
                <w:sz w:val="24"/>
                <w:szCs w:val="24"/>
              </w:rPr>
              <w:t>单个合约品种</w:t>
            </w:r>
          </w:p>
        </w:tc>
        <w:tc>
          <w:tcPr>
            <w:tcW w:w="2699" w:type="dxa"/>
            <w:gridSpan w:val="4"/>
            <w:vAlign w:val="center"/>
          </w:tcPr>
          <w:p>
            <w:pPr>
              <w:jc w:val="center"/>
              <w:rPr>
                <w:rFonts w:eastAsia="方正仿宋简体"/>
                <w:sz w:val="24"/>
                <w:szCs w:val="24"/>
              </w:rPr>
            </w:pPr>
            <w:r>
              <w:rPr>
                <w:rFonts w:eastAsia="方正仿宋简体"/>
                <w:sz w:val="24"/>
                <w:szCs w:val="24"/>
              </w:rPr>
              <w:t>目前持仓限额</w:t>
            </w:r>
          </w:p>
        </w:tc>
        <w:tc>
          <w:tcPr>
            <w:tcW w:w="2700" w:type="dxa"/>
            <w:gridSpan w:val="3"/>
            <w:vAlign w:val="center"/>
          </w:tcPr>
          <w:p>
            <w:pPr>
              <w:jc w:val="center"/>
              <w:rPr>
                <w:rFonts w:eastAsia="方正仿宋简体"/>
                <w:sz w:val="24"/>
                <w:szCs w:val="24"/>
              </w:rPr>
            </w:pPr>
            <w:r>
              <w:rPr>
                <w:rFonts w:eastAsia="方正仿宋简体"/>
                <w:sz w:val="24"/>
                <w:szCs w:val="24"/>
              </w:rPr>
              <w:t>拟申请持仓限额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Merge w:val="continue"/>
            <w:vAlign w:val="center"/>
          </w:tcPr>
          <w:p>
            <w:pPr>
              <w:rPr>
                <w:rFonts w:eastAsia="方正仿宋简体"/>
                <w:sz w:val="24"/>
                <w:szCs w:val="24"/>
              </w:rPr>
            </w:pPr>
          </w:p>
        </w:tc>
        <w:tc>
          <w:tcPr>
            <w:tcW w:w="899" w:type="dxa"/>
            <w:vAlign w:val="center"/>
          </w:tcPr>
          <w:p>
            <w:pPr>
              <w:jc w:val="center"/>
              <w:rPr>
                <w:rFonts w:eastAsia="方正仿宋简体"/>
                <w:sz w:val="24"/>
                <w:szCs w:val="24"/>
              </w:rPr>
            </w:pPr>
            <w:r>
              <w:rPr>
                <w:rFonts w:eastAsia="方正仿宋简体"/>
                <w:sz w:val="24"/>
                <w:szCs w:val="24"/>
              </w:rPr>
              <w:t>权利仓持仓限额</w:t>
            </w:r>
          </w:p>
        </w:tc>
        <w:tc>
          <w:tcPr>
            <w:tcW w:w="900" w:type="dxa"/>
            <w:gridSpan w:val="2"/>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c>
          <w:tcPr>
            <w:tcW w:w="900" w:type="dxa"/>
            <w:vAlign w:val="center"/>
          </w:tcPr>
          <w:p>
            <w:pPr>
              <w:jc w:val="center"/>
              <w:rPr>
                <w:rFonts w:eastAsia="方正仿宋简体"/>
                <w:sz w:val="24"/>
                <w:szCs w:val="24"/>
              </w:rPr>
            </w:pPr>
            <w:r>
              <w:rPr>
                <w:rFonts w:eastAsia="方正仿宋简体"/>
                <w:sz w:val="24"/>
                <w:szCs w:val="24"/>
              </w:rPr>
              <w:t>权利仓持仓限额</w:t>
            </w:r>
          </w:p>
        </w:tc>
        <w:tc>
          <w:tcPr>
            <w:tcW w:w="900" w:type="dxa"/>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Align w:val="center"/>
          </w:tcPr>
          <w:p>
            <w:pPr>
              <w:rPr>
                <w:rFonts w:eastAsia="方正仿宋简体"/>
                <w:sz w:val="24"/>
                <w:szCs w:val="24"/>
              </w:rPr>
            </w:pPr>
          </w:p>
          <w:p>
            <w:pPr>
              <w:rPr>
                <w:rFonts w:eastAsia="方正仿宋简体"/>
                <w:sz w:val="24"/>
                <w:szCs w:val="24"/>
              </w:rPr>
            </w:pPr>
          </w:p>
        </w:tc>
        <w:tc>
          <w:tcPr>
            <w:tcW w:w="899" w:type="dxa"/>
            <w:vAlign w:val="center"/>
          </w:tcPr>
          <w:p>
            <w:pPr>
              <w:rPr>
                <w:rFonts w:eastAsia="方正仿宋简体"/>
                <w:sz w:val="24"/>
                <w:szCs w:val="24"/>
              </w:rPr>
            </w:pPr>
          </w:p>
        </w:tc>
        <w:tc>
          <w:tcPr>
            <w:tcW w:w="900" w:type="dxa"/>
            <w:gridSpan w:val="2"/>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签字及公章</w:t>
            </w:r>
          </w:p>
        </w:tc>
        <w:tc>
          <w:tcPr>
            <w:tcW w:w="7114" w:type="dxa"/>
            <w:gridSpan w:val="8"/>
            <w:vAlign w:val="center"/>
          </w:tcPr>
          <w:p>
            <w:pPr>
              <w:rPr>
                <w:rFonts w:eastAsia="方正仿宋简体"/>
                <w:sz w:val="24"/>
                <w:szCs w:val="24"/>
              </w:rPr>
            </w:pPr>
            <w:r>
              <w:rPr>
                <w:rFonts w:eastAsia="方正仿宋简体"/>
                <w:sz w:val="24"/>
                <w:szCs w:val="24"/>
              </w:rPr>
              <w:t>申请人签字：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营业部经办人签字：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期权经营机构经纪业务负责人签字：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期权经营机构单位公章：</w:t>
            </w: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bl>
    <w:p>
      <w:pPr>
        <w:widowControl/>
        <w:spacing w:line="20" w:lineRule="exact"/>
        <w:jc w:val="left"/>
        <w:rPr>
          <w:rFonts w:eastAsia="方正仿宋简体"/>
          <w:b/>
          <w:bCs/>
          <w:sz w:val="32"/>
          <w:szCs w:val="32"/>
        </w:rPr>
      </w:pPr>
      <w:r>
        <w:rPr>
          <w:rFonts w:eastAsia="方正仿宋简体"/>
          <w:b/>
          <w:bCs/>
          <w:sz w:val="32"/>
          <w:szCs w:val="32"/>
        </w:rPr>
        <w:br w:type="page"/>
      </w:r>
    </w:p>
    <w:p>
      <w:pPr>
        <w:spacing w:before="156" w:beforeLines="50" w:after="156" w:afterLines="50"/>
        <w:jc w:val="left"/>
        <w:outlineLvl w:val="0"/>
        <w:rPr>
          <w:rFonts w:eastAsia="方正仿宋简体"/>
          <w:bCs/>
          <w:sz w:val="30"/>
          <w:szCs w:val="30"/>
        </w:rPr>
      </w:pPr>
      <w:bookmarkStart w:id="367" w:name="_Toc25049533"/>
      <w:r>
        <w:rPr>
          <w:rFonts w:eastAsia="方正仿宋简体"/>
          <w:bCs/>
          <w:sz w:val="30"/>
          <w:szCs w:val="30"/>
        </w:rPr>
        <w:t>附件5：股票期权持仓限额调整相关资产报备表</w:t>
      </w:r>
      <w:bookmarkEnd w:id="367"/>
      <w:r>
        <w:rPr>
          <w:rFonts w:hint="eastAsia" w:eastAsia="方正仿宋简体"/>
          <w:bCs/>
          <w:sz w:val="30"/>
          <w:szCs w:val="30"/>
          <w:lang w:eastAsia="zh-CN"/>
        </w:rPr>
        <w:t>样表</w:t>
      </w:r>
    </w:p>
    <w:tbl>
      <w:tblPr>
        <w:tblStyle w:val="34"/>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63"/>
        <w:gridCol w:w="2152"/>
        <w:gridCol w:w="764"/>
        <w:gridCol w:w="1388"/>
        <w:gridCol w:w="926"/>
        <w:gridCol w:w="12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607" w:type="dxa"/>
            <w:gridSpan w:val="7"/>
            <w:shd w:val="clear" w:color="auto" w:fill="auto"/>
            <w:vAlign w:val="center"/>
          </w:tcPr>
          <w:p>
            <w:pPr>
              <w:widowControl/>
              <w:jc w:val="center"/>
              <w:rPr>
                <w:rFonts w:eastAsia="方正仿宋简体"/>
                <w:b/>
                <w:kern w:val="0"/>
                <w:sz w:val="24"/>
                <w:szCs w:val="24"/>
              </w:rPr>
            </w:pPr>
            <w:r>
              <w:rPr>
                <w:rFonts w:eastAsia="方正仿宋简体"/>
                <w:sz w:val="24"/>
                <w:szCs w:val="24"/>
              </w:rPr>
              <w:t>股票期权持仓限额调整相关资产报备表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8607" w:type="dxa"/>
            <w:gridSpan w:val="7"/>
            <w:shd w:val="clear" w:color="auto" w:fill="auto"/>
            <w:vAlign w:val="center"/>
          </w:tcPr>
          <w:p>
            <w:pPr>
              <w:widowControl/>
              <w:jc w:val="center"/>
              <w:rPr>
                <w:rFonts w:eastAsia="方正仿宋简体"/>
                <w:kern w:val="0"/>
                <w:sz w:val="24"/>
                <w:szCs w:val="24"/>
              </w:rPr>
            </w:pPr>
            <w:r>
              <w:rPr>
                <w:rFonts w:eastAsia="方正仿宋简体"/>
                <w:b/>
                <w:kern w:val="0"/>
                <w:sz w:val="24"/>
                <w:szCs w:val="24"/>
              </w:rPr>
              <w:t>一、基本信息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088" w:type="dxa"/>
            <w:shd w:val="clear" w:color="auto" w:fill="auto"/>
            <w:vAlign w:val="center"/>
          </w:tcPr>
          <w:p>
            <w:pPr>
              <w:widowControl/>
              <w:jc w:val="center"/>
              <w:rPr>
                <w:rFonts w:eastAsia="方正仿宋简体"/>
                <w:kern w:val="0"/>
                <w:sz w:val="24"/>
                <w:szCs w:val="24"/>
              </w:rPr>
            </w:pPr>
            <w:r>
              <w:rPr>
                <w:rFonts w:eastAsia="方正仿宋简体"/>
                <w:kern w:val="0"/>
                <w:sz w:val="24"/>
                <w:szCs w:val="24"/>
              </w:rPr>
              <w:t>填报日期</w:t>
            </w:r>
          </w:p>
        </w:tc>
        <w:tc>
          <w:tcPr>
            <w:tcW w:w="2979" w:type="dxa"/>
            <w:gridSpan w:val="3"/>
            <w:shd w:val="clear" w:color="auto" w:fill="auto"/>
            <w:vAlign w:val="center"/>
          </w:tcPr>
          <w:p>
            <w:pPr>
              <w:widowControl/>
              <w:jc w:val="center"/>
              <w:rPr>
                <w:rFonts w:eastAsia="方正仿宋简体"/>
                <w:kern w:val="0"/>
                <w:sz w:val="24"/>
                <w:szCs w:val="24"/>
              </w:rPr>
            </w:pPr>
          </w:p>
        </w:tc>
        <w:tc>
          <w:tcPr>
            <w:tcW w:w="2314"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申请人名称</w:t>
            </w:r>
          </w:p>
        </w:tc>
        <w:tc>
          <w:tcPr>
            <w:tcW w:w="1226" w:type="dxa"/>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2088" w:type="dxa"/>
            <w:shd w:val="clear" w:color="auto" w:fill="auto"/>
            <w:vAlign w:val="center"/>
          </w:tcPr>
          <w:p>
            <w:pPr>
              <w:widowControl/>
              <w:jc w:val="center"/>
              <w:rPr>
                <w:rFonts w:eastAsia="方正仿宋简体"/>
                <w:kern w:val="0"/>
                <w:sz w:val="24"/>
                <w:szCs w:val="24"/>
              </w:rPr>
            </w:pPr>
            <w:r>
              <w:rPr>
                <w:rFonts w:eastAsia="方正仿宋简体"/>
                <w:kern w:val="0"/>
                <w:sz w:val="24"/>
                <w:szCs w:val="24"/>
              </w:rPr>
              <w:t>套期保值交易对应的深市A股证券账户</w:t>
            </w:r>
          </w:p>
        </w:tc>
        <w:tc>
          <w:tcPr>
            <w:tcW w:w="6519" w:type="dxa"/>
            <w:gridSpan w:val="6"/>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607" w:type="dxa"/>
            <w:gridSpan w:val="7"/>
            <w:shd w:val="clear" w:color="auto" w:fill="auto"/>
            <w:vAlign w:val="center"/>
          </w:tcPr>
          <w:p>
            <w:pPr>
              <w:widowControl/>
              <w:jc w:val="center"/>
              <w:rPr>
                <w:rFonts w:eastAsia="方正仿宋简体"/>
                <w:b/>
                <w:kern w:val="0"/>
                <w:sz w:val="24"/>
                <w:szCs w:val="24"/>
              </w:rPr>
            </w:pPr>
            <w:r>
              <w:rPr>
                <w:rFonts w:eastAsia="方正仿宋简体"/>
                <w:b/>
                <w:kern w:val="0"/>
                <w:sz w:val="24"/>
                <w:szCs w:val="24"/>
              </w:rPr>
              <w:t>二、资产信息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303" w:type="dxa"/>
            <w:gridSpan w:val="3"/>
            <w:shd w:val="clear" w:color="auto" w:fill="auto"/>
            <w:vAlign w:val="center"/>
          </w:tcPr>
          <w:p>
            <w:pPr>
              <w:widowControl/>
              <w:jc w:val="center"/>
              <w:rPr>
                <w:rFonts w:eastAsia="方正仿宋简体"/>
                <w:kern w:val="0"/>
                <w:sz w:val="24"/>
                <w:szCs w:val="24"/>
              </w:rPr>
            </w:pPr>
            <w:r>
              <w:rPr>
                <w:rFonts w:eastAsia="方正仿宋简体"/>
                <w:kern w:val="0"/>
                <w:sz w:val="24"/>
                <w:szCs w:val="24"/>
              </w:rPr>
              <w:t>现货多头套期保值填写</w:t>
            </w:r>
          </w:p>
        </w:tc>
        <w:tc>
          <w:tcPr>
            <w:tcW w:w="4304" w:type="dxa"/>
            <w:gridSpan w:val="4"/>
            <w:shd w:val="clear" w:color="auto" w:fill="auto"/>
            <w:vAlign w:val="center"/>
          </w:tcPr>
          <w:p>
            <w:pPr>
              <w:widowControl/>
              <w:jc w:val="center"/>
              <w:rPr>
                <w:rFonts w:eastAsia="方正仿宋简体"/>
                <w:kern w:val="0"/>
                <w:sz w:val="24"/>
                <w:szCs w:val="24"/>
              </w:rPr>
            </w:pPr>
            <w:r>
              <w:rPr>
                <w:rFonts w:eastAsia="方正仿宋简体"/>
                <w:kern w:val="0"/>
                <w:sz w:val="24"/>
                <w:szCs w:val="24"/>
              </w:rPr>
              <w:t>现货空头套期保值填写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151"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 个交易日持有合约标的数量对应合约数量</w:t>
            </w:r>
          </w:p>
        </w:tc>
        <w:tc>
          <w:tcPr>
            <w:tcW w:w="2152" w:type="dxa"/>
            <w:shd w:val="clear" w:color="auto" w:fill="auto"/>
            <w:vAlign w:val="center"/>
          </w:tcPr>
          <w:p>
            <w:pPr>
              <w:widowControl/>
              <w:jc w:val="center"/>
              <w:rPr>
                <w:rFonts w:eastAsia="方正仿宋简体"/>
                <w:kern w:val="0"/>
                <w:sz w:val="24"/>
                <w:szCs w:val="24"/>
              </w:rPr>
            </w:pPr>
            <w:r>
              <w:rPr>
                <w:rFonts w:hint="eastAsia" w:ascii="方正仿宋简体" w:eastAsia="方正仿宋简体"/>
                <w:kern w:val="0"/>
                <w:sz w:val="24"/>
                <w:szCs w:val="24"/>
              </w:rPr>
              <w:t>“</w:t>
            </w:r>
            <w:r>
              <w:rPr>
                <w:rFonts w:eastAsia="方正仿宋简体"/>
                <w:kern w:val="0"/>
                <w:sz w:val="24"/>
                <w:szCs w:val="24"/>
              </w:rPr>
              <w:t>申请人最近30个交易日持有合约标的数量对应的合约数量大于该合约品种权利仓持仓限额的情形</w:t>
            </w:r>
            <w:r>
              <w:rPr>
                <w:rFonts w:hint="eastAsia" w:ascii="方正仿宋简体" w:eastAsia="方正仿宋简体"/>
                <w:kern w:val="0"/>
                <w:sz w:val="24"/>
                <w:szCs w:val="24"/>
              </w:rPr>
              <w:t>”</w:t>
            </w:r>
            <w:r>
              <w:rPr>
                <w:rFonts w:eastAsia="方正仿宋简体"/>
                <w:kern w:val="0"/>
                <w:sz w:val="24"/>
                <w:szCs w:val="24"/>
              </w:rPr>
              <w:t>出现的次数</w:t>
            </w:r>
          </w:p>
        </w:tc>
        <w:tc>
          <w:tcPr>
            <w:tcW w:w="2152"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申请人最近30个交易日合约标的融券余额对应的合约数量</w:t>
            </w:r>
          </w:p>
        </w:tc>
        <w:tc>
          <w:tcPr>
            <w:tcW w:w="2152" w:type="dxa"/>
            <w:gridSpan w:val="2"/>
            <w:shd w:val="clear" w:color="auto" w:fill="auto"/>
            <w:vAlign w:val="center"/>
          </w:tcPr>
          <w:p>
            <w:pPr>
              <w:widowControl/>
              <w:jc w:val="center"/>
              <w:rPr>
                <w:rFonts w:eastAsia="方正仿宋简体"/>
                <w:kern w:val="0"/>
                <w:sz w:val="24"/>
                <w:szCs w:val="24"/>
              </w:rPr>
            </w:pPr>
            <w:r>
              <w:rPr>
                <w:rFonts w:hint="eastAsia" w:ascii="方正仿宋简体" w:eastAsia="方正仿宋简体"/>
                <w:kern w:val="0"/>
                <w:sz w:val="24"/>
                <w:szCs w:val="24"/>
              </w:rPr>
              <w:t>“</w:t>
            </w:r>
            <w:r>
              <w:rPr>
                <w:rFonts w:eastAsia="方正仿宋简体"/>
                <w:kern w:val="0"/>
                <w:sz w:val="24"/>
                <w:szCs w:val="24"/>
              </w:rPr>
              <w:t>申请人最近30个交易日合约标的融券余额对应的合约数量大于该合约品种权利仓持仓限额的情形</w:t>
            </w:r>
            <w:r>
              <w:rPr>
                <w:rFonts w:hint="eastAsia" w:ascii="方正仿宋简体" w:eastAsia="方正仿宋简体"/>
                <w:kern w:val="0"/>
                <w:sz w:val="24"/>
                <w:szCs w:val="24"/>
              </w:rPr>
              <w:t>”</w:t>
            </w:r>
            <w:r>
              <w:rPr>
                <w:rFonts w:eastAsia="方正仿宋简体"/>
                <w:kern w:val="0"/>
                <w:sz w:val="24"/>
                <w:szCs w:val="24"/>
              </w:rPr>
              <w:t>出现的次数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3" w:hRule="atLeast"/>
          <w:jc w:val="center"/>
        </w:trPr>
        <w:tc>
          <w:tcPr>
            <w:tcW w:w="2151" w:type="dxa"/>
            <w:gridSpan w:val="2"/>
            <w:shd w:val="clear" w:color="auto" w:fill="auto"/>
            <w:vAlign w:val="center"/>
          </w:tcPr>
          <w:p>
            <w:pPr>
              <w:widowControl/>
              <w:jc w:val="center"/>
              <w:rPr>
                <w:rFonts w:eastAsia="方正仿宋简体"/>
                <w:kern w:val="0"/>
                <w:sz w:val="24"/>
                <w:szCs w:val="24"/>
              </w:rPr>
            </w:pPr>
          </w:p>
          <w:p>
            <w:pPr>
              <w:widowControl/>
              <w:jc w:val="center"/>
              <w:rPr>
                <w:rFonts w:eastAsia="方正仿宋简体"/>
                <w:kern w:val="0"/>
                <w:sz w:val="24"/>
                <w:szCs w:val="24"/>
              </w:rPr>
            </w:pPr>
          </w:p>
        </w:tc>
        <w:tc>
          <w:tcPr>
            <w:tcW w:w="2152" w:type="dxa"/>
            <w:shd w:val="clear" w:color="auto" w:fill="auto"/>
            <w:vAlign w:val="center"/>
          </w:tcPr>
          <w:p>
            <w:pPr>
              <w:widowControl/>
              <w:jc w:val="center"/>
              <w:rPr>
                <w:rFonts w:eastAsia="方正仿宋简体"/>
                <w:kern w:val="0"/>
                <w:sz w:val="24"/>
                <w:szCs w:val="24"/>
              </w:rPr>
            </w:pPr>
          </w:p>
        </w:tc>
        <w:tc>
          <w:tcPr>
            <w:tcW w:w="2152" w:type="dxa"/>
            <w:gridSpan w:val="2"/>
            <w:shd w:val="clear" w:color="auto" w:fill="auto"/>
            <w:vAlign w:val="center"/>
          </w:tcPr>
          <w:p>
            <w:pPr>
              <w:widowControl/>
              <w:jc w:val="center"/>
              <w:rPr>
                <w:rFonts w:eastAsia="方正仿宋简体"/>
                <w:kern w:val="0"/>
                <w:sz w:val="24"/>
                <w:szCs w:val="24"/>
              </w:rPr>
            </w:pPr>
          </w:p>
        </w:tc>
        <w:tc>
          <w:tcPr>
            <w:tcW w:w="2152" w:type="dxa"/>
            <w:gridSpan w:val="2"/>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607" w:type="dxa"/>
            <w:gridSpan w:val="7"/>
            <w:shd w:val="clear" w:color="auto" w:fill="auto"/>
            <w:vAlign w:val="center"/>
          </w:tcPr>
          <w:p>
            <w:pPr>
              <w:widowControl/>
              <w:jc w:val="center"/>
              <w:rPr>
                <w:rFonts w:eastAsia="方正仿宋简体"/>
                <w:kern w:val="0"/>
                <w:sz w:val="24"/>
                <w:szCs w:val="24"/>
              </w:rPr>
            </w:pPr>
            <w:r>
              <w:rPr>
                <w:rFonts w:eastAsia="方正仿宋简体"/>
                <w:kern w:val="0"/>
                <w:sz w:val="24"/>
                <w:szCs w:val="24"/>
              </w:rPr>
              <w:t>备兑开仓套期保值填写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303" w:type="dxa"/>
            <w:gridSpan w:val="3"/>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申请人最近30个交易日持有合约标的数量对应的合约数量</w:t>
            </w:r>
          </w:p>
        </w:tc>
        <w:tc>
          <w:tcPr>
            <w:tcW w:w="4304" w:type="dxa"/>
            <w:gridSpan w:val="4"/>
            <w:shd w:val="clear" w:color="auto" w:fill="auto"/>
            <w:vAlign w:val="center"/>
          </w:tcPr>
          <w:p>
            <w:pPr>
              <w:widowControl/>
              <w:jc w:val="center"/>
              <w:rPr>
                <w:rFonts w:eastAsia="方正仿宋简体"/>
                <w:kern w:val="0"/>
                <w:sz w:val="24"/>
                <w:szCs w:val="24"/>
              </w:rPr>
            </w:pPr>
            <w:r>
              <w:rPr>
                <w:rFonts w:hint="eastAsia" w:ascii="方正仿宋简体" w:eastAsia="方正仿宋简体"/>
                <w:kern w:val="0"/>
                <w:sz w:val="24"/>
                <w:szCs w:val="24"/>
              </w:rPr>
              <w:t>“</w:t>
            </w:r>
            <w:r>
              <w:rPr>
                <w:rFonts w:eastAsia="方正仿宋简体"/>
                <w:kern w:val="0"/>
                <w:sz w:val="24"/>
                <w:szCs w:val="24"/>
              </w:rPr>
              <w:t>申请人最近30个交易日持有合约标的数量对应的合约数量大于该合约品种总持仓限额的情形</w:t>
            </w:r>
            <w:r>
              <w:rPr>
                <w:rFonts w:hint="eastAsia" w:ascii="方正仿宋简体" w:eastAsia="方正仿宋简体"/>
                <w:kern w:val="0"/>
                <w:sz w:val="24"/>
                <w:szCs w:val="24"/>
              </w:rPr>
              <w:t>”</w:t>
            </w:r>
            <w:r>
              <w:rPr>
                <w:rFonts w:eastAsia="方正仿宋简体"/>
                <w:kern w:val="0"/>
                <w:sz w:val="24"/>
                <w:szCs w:val="24"/>
              </w:rPr>
              <w:t>出现的次数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303" w:type="dxa"/>
            <w:gridSpan w:val="3"/>
            <w:shd w:val="clear" w:color="auto" w:fill="auto"/>
            <w:vAlign w:val="center"/>
          </w:tcPr>
          <w:p>
            <w:pPr>
              <w:widowControl/>
              <w:jc w:val="center"/>
              <w:rPr>
                <w:rFonts w:eastAsia="方正仿宋简体"/>
                <w:kern w:val="0"/>
                <w:sz w:val="24"/>
                <w:szCs w:val="24"/>
              </w:rPr>
            </w:pPr>
          </w:p>
        </w:tc>
        <w:tc>
          <w:tcPr>
            <w:tcW w:w="4304" w:type="dxa"/>
            <w:gridSpan w:val="4"/>
            <w:shd w:val="clear" w:color="auto" w:fill="auto"/>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8607" w:type="dxa"/>
            <w:gridSpan w:val="7"/>
            <w:shd w:val="clear" w:color="auto" w:fill="auto"/>
            <w:vAlign w:val="center"/>
          </w:tcPr>
          <w:p>
            <w:pPr>
              <w:widowControl/>
              <w:jc w:val="center"/>
              <w:rPr>
                <w:rFonts w:eastAsia="方正仿宋简体"/>
                <w:kern w:val="0"/>
                <w:sz w:val="24"/>
                <w:szCs w:val="24"/>
              </w:rPr>
            </w:pPr>
            <w:r>
              <w:rPr>
                <w:rFonts w:eastAsia="方正仿宋简体"/>
                <w:kern w:val="0"/>
                <w:sz w:val="24"/>
                <w:szCs w:val="24"/>
              </w:rPr>
              <w:t>期权合约间套期保值填写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151"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申请人最近30个交易日日均持有的权利仓数量</w:t>
            </w:r>
          </w:p>
        </w:tc>
        <w:tc>
          <w:tcPr>
            <w:tcW w:w="2152" w:type="dxa"/>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申请人最近30个交易日日均非备兑义务仓数量</w:t>
            </w:r>
          </w:p>
        </w:tc>
        <w:tc>
          <w:tcPr>
            <w:tcW w:w="2152"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申请人最近30个交易日日均持有的权利仓数量占该合约品种权利仓限额的比例</w:t>
            </w:r>
          </w:p>
        </w:tc>
        <w:tc>
          <w:tcPr>
            <w:tcW w:w="2152" w:type="dxa"/>
            <w:gridSpan w:val="2"/>
            <w:shd w:val="clear" w:color="auto" w:fill="auto"/>
            <w:vAlign w:val="center"/>
          </w:tcPr>
          <w:p>
            <w:pPr>
              <w:widowControl/>
              <w:jc w:val="center"/>
              <w:rPr>
                <w:rFonts w:eastAsia="方正仿宋简体"/>
                <w:kern w:val="0"/>
                <w:sz w:val="24"/>
                <w:szCs w:val="24"/>
              </w:rPr>
            </w:pPr>
            <w:r>
              <w:rPr>
                <w:rFonts w:eastAsia="方正仿宋简体"/>
                <w:kern w:val="0"/>
                <w:sz w:val="24"/>
                <w:szCs w:val="24"/>
              </w:rPr>
              <w:t>申请人最近30个交易日日均非备兑义务仓数量占该合约品种权利仓限额的比例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2151" w:type="dxa"/>
            <w:gridSpan w:val="2"/>
            <w:shd w:val="clear" w:color="auto" w:fill="auto"/>
            <w:vAlign w:val="center"/>
          </w:tcPr>
          <w:p>
            <w:pPr>
              <w:widowControl/>
              <w:jc w:val="center"/>
              <w:rPr>
                <w:rFonts w:eastAsia="方正仿宋简体"/>
                <w:kern w:val="0"/>
                <w:sz w:val="24"/>
                <w:szCs w:val="24"/>
              </w:rPr>
            </w:pPr>
          </w:p>
        </w:tc>
        <w:tc>
          <w:tcPr>
            <w:tcW w:w="2152" w:type="dxa"/>
            <w:shd w:val="clear" w:color="auto" w:fill="auto"/>
            <w:vAlign w:val="center"/>
          </w:tcPr>
          <w:p>
            <w:pPr>
              <w:widowControl/>
              <w:jc w:val="center"/>
              <w:rPr>
                <w:rFonts w:eastAsia="方正仿宋简体"/>
                <w:kern w:val="0"/>
                <w:sz w:val="24"/>
                <w:szCs w:val="24"/>
              </w:rPr>
            </w:pPr>
          </w:p>
        </w:tc>
        <w:tc>
          <w:tcPr>
            <w:tcW w:w="2152" w:type="dxa"/>
            <w:gridSpan w:val="2"/>
            <w:shd w:val="clear" w:color="auto" w:fill="auto"/>
            <w:vAlign w:val="center"/>
          </w:tcPr>
          <w:p>
            <w:pPr>
              <w:widowControl/>
              <w:jc w:val="center"/>
              <w:rPr>
                <w:rFonts w:eastAsia="方正仿宋简体"/>
                <w:kern w:val="0"/>
                <w:sz w:val="24"/>
                <w:szCs w:val="24"/>
              </w:rPr>
            </w:pPr>
          </w:p>
        </w:tc>
        <w:tc>
          <w:tcPr>
            <w:tcW w:w="2152" w:type="dxa"/>
            <w:gridSpan w:val="2"/>
            <w:shd w:val="clear" w:color="auto" w:fill="auto"/>
            <w:vAlign w:val="center"/>
          </w:tcPr>
          <w:p>
            <w:pPr>
              <w:widowControl/>
              <w:jc w:val="center"/>
              <w:rPr>
                <w:rFonts w:eastAsia="方正仿宋简体"/>
                <w:kern w:val="0"/>
                <w:sz w:val="24"/>
                <w:szCs w:val="24"/>
              </w:rPr>
            </w:pPr>
          </w:p>
        </w:tc>
      </w:tr>
    </w:tbl>
    <w:p>
      <w:pPr>
        <w:widowControl/>
        <w:jc w:val="left"/>
        <w:rPr>
          <w:rFonts w:eastAsia="方正仿宋简体"/>
          <w:b/>
          <w:bCs/>
          <w:sz w:val="32"/>
          <w:szCs w:val="32"/>
        </w:rPr>
      </w:pPr>
    </w:p>
    <w:p>
      <w:pPr>
        <w:widowControl/>
        <w:jc w:val="left"/>
        <w:rPr>
          <w:rFonts w:eastAsia="方正仿宋简体"/>
          <w:bCs/>
          <w:sz w:val="30"/>
          <w:szCs w:val="30"/>
        </w:rPr>
      </w:pPr>
      <w:r>
        <w:rPr>
          <w:rFonts w:eastAsia="方正仿宋简体"/>
          <w:b/>
          <w:bCs/>
          <w:sz w:val="32"/>
          <w:szCs w:val="32"/>
        </w:rPr>
        <w:br w:type="page"/>
      </w:r>
      <w:bookmarkStart w:id="368" w:name="_Toc25049534"/>
      <w:r>
        <w:rPr>
          <w:rFonts w:eastAsia="方正仿宋简体"/>
          <w:bCs/>
          <w:sz w:val="30"/>
          <w:szCs w:val="30"/>
        </w:rPr>
        <w:t>附件6：股票期权产品专用账户报备表</w:t>
      </w:r>
      <w:bookmarkEnd w:id="368"/>
      <w:r>
        <w:rPr>
          <w:rFonts w:hint="eastAsia" w:eastAsia="方正仿宋简体"/>
          <w:bCs/>
          <w:sz w:val="30"/>
          <w:szCs w:val="30"/>
          <w:lang w:eastAsia="zh-CN"/>
        </w:rPr>
        <w:t>样表</w:t>
      </w:r>
    </w:p>
    <w:tbl>
      <w:tblPr>
        <w:tblStyle w:val="34"/>
        <w:tblW w:w="8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top w:w="0" w:type="dxa"/>
          <w:left w:w="108" w:type="dxa"/>
          <w:bottom w:w="0" w:type="dxa"/>
          <w:right w:w="108" w:type="dxa"/>
        </w:tblCellMar>
      </w:tblPr>
      <w:tblGrid>
        <w:gridCol w:w="2410"/>
        <w:gridCol w:w="2125"/>
        <w:gridCol w:w="2410"/>
        <w:gridCol w:w="1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32" w:hRule="atLeast"/>
          <w:jc w:val="center"/>
        </w:trPr>
        <w:tc>
          <w:tcPr>
            <w:tcW w:w="8870" w:type="dxa"/>
            <w:gridSpan w:val="4"/>
            <w:tcBorders>
              <w:bottom w:val="single" w:color="auto" w:sz="4" w:space="0"/>
            </w:tcBorders>
            <w:shd w:val="clear" w:color="auto" w:fill="auto"/>
            <w:noWrap/>
            <w:vAlign w:val="center"/>
          </w:tcPr>
          <w:p>
            <w:pPr>
              <w:widowControl/>
              <w:snapToGrid w:val="0"/>
              <w:ind w:firstLine="158"/>
              <w:jc w:val="center"/>
              <w:rPr>
                <w:rFonts w:eastAsia="方正仿宋简体"/>
                <w:kern w:val="0"/>
                <w:sz w:val="24"/>
                <w:szCs w:val="24"/>
              </w:rPr>
            </w:pPr>
            <w:r>
              <w:rPr>
                <w:rFonts w:eastAsia="方正仿宋简体"/>
                <w:sz w:val="24"/>
                <w:szCs w:val="24"/>
              </w:rPr>
              <w:t>股票期权产品专用账户报备表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申请人名称</w:t>
            </w:r>
          </w:p>
        </w:tc>
        <w:tc>
          <w:tcPr>
            <w:tcW w:w="6460" w:type="dxa"/>
            <w:gridSpan w:val="3"/>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621"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2125" w:type="dxa"/>
            <w:shd w:val="clear" w:color="auto" w:fill="auto"/>
            <w:noWrap/>
            <w:vAlign w:val="center"/>
          </w:tcPr>
          <w:p>
            <w:pPr>
              <w:widowControl/>
              <w:jc w:val="center"/>
              <w:rPr>
                <w:rFonts w:eastAsia="方正仿宋简体"/>
                <w:i/>
                <w:kern w:val="0"/>
                <w:sz w:val="24"/>
                <w:szCs w:val="24"/>
              </w:rPr>
            </w:pPr>
          </w:p>
        </w:tc>
        <w:tc>
          <w:tcPr>
            <w:tcW w:w="2410" w:type="dxa"/>
            <w:shd w:val="clear" w:color="auto" w:fill="auto"/>
            <w:vAlign w:val="center"/>
          </w:tcPr>
          <w:p>
            <w:pPr>
              <w:widowControl/>
              <w:jc w:val="center"/>
              <w:rPr>
                <w:rFonts w:eastAsia="方正仿宋简体"/>
                <w:i/>
                <w:kern w:val="0"/>
                <w:sz w:val="24"/>
                <w:szCs w:val="24"/>
              </w:rPr>
            </w:pPr>
            <w:r>
              <w:rPr>
                <w:rFonts w:eastAsia="方正仿宋简体"/>
                <w:kern w:val="0"/>
                <w:sz w:val="24"/>
                <w:szCs w:val="24"/>
              </w:rPr>
              <w:t>对应衍生品合约账户</w:t>
            </w:r>
          </w:p>
        </w:tc>
        <w:tc>
          <w:tcPr>
            <w:tcW w:w="1925" w:type="dxa"/>
            <w:shd w:val="clear" w:color="auto" w:fill="auto"/>
            <w:vAlign w:val="center"/>
          </w:tcPr>
          <w:p>
            <w:pPr>
              <w:widowControl/>
              <w:jc w:val="center"/>
              <w:rPr>
                <w:rFonts w:eastAsia="方正仿宋简体"/>
                <w:i/>
                <w:kern w:val="0"/>
                <w:sz w:val="24"/>
                <w:szCs w:val="24"/>
              </w:rPr>
            </w:pPr>
            <w:r>
              <w:rPr>
                <w:rFonts w:eastAsia="方正仿宋简体"/>
                <w:i/>
                <w:kern w:val="0"/>
                <w:sz w:val="24"/>
                <w:szCs w:val="24"/>
              </w:rPr>
              <w:t>（已开立）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产品联系人</w:t>
            </w:r>
          </w:p>
        </w:tc>
        <w:tc>
          <w:tcPr>
            <w:tcW w:w="2125" w:type="dxa"/>
            <w:shd w:val="clear" w:color="auto" w:fill="auto"/>
            <w:noWrap/>
            <w:vAlign w:val="center"/>
          </w:tcPr>
          <w:p>
            <w:pPr>
              <w:widowControl/>
              <w:jc w:val="center"/>
              <w:rPr>
                <w:rFonts w:eastAsia="方正仿宋简体"/>
                <w:kern w:val="0"/>
                <w:sz w:val="24"/>
                <w:szCs w:val="24"/>
              </w:rPr>
            </w:pPr>
          </w:p>
        </w:tc>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435"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w:t>
            </w:r>
          </w:p>
        </w:tc>
        <w:tc>
          <w:tcPr>
            <w:tcW w:w="2125"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投资经理电话</w:t>
            </w:r>
          </w:p>
        </w:tc>
        <w:tc>
          <w:tcPr>
            <w:tcW w:w="1925" w:type="dxa"/>
            <w:shd w:val="clear" w:color="auto" w:fill="auto"/>
            <w:noWrap/>
            <w:vAlign w:val="center"/>
          </w:tcPr>
          <w:p>
            <w:pPr>
              <w:widowControl/>
              <w:jc w:val="center"/>
              <w:rPr>
                <w:rFonts w:eastAsia="方正仿宋简体"/>
                <w:kern w:val="0"/>
                <w:sz w:val="24"/>
                <w:szCs w:val="24"/>
              </w:rPr>
            </w:pPr>
            <w:r>
              <w:rPr>
                <w:rFonts w:eastAsia="方正仿宋简体"/>
                <w:i/>
                <w:kern w:val="0"/>
                <w:sz w:val="24"/>
                <w:szCs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66"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开户机构名称</w:t>
            </w:r>
          </w:p>
        </w:tc>
        <w:tc>
          <w:tcPr>
            <w:tcW w:w="2125" w:type="dxa"/>
            <w:shd w:val="clear" w:color="auto" w:fill="auto"/>
            <w:noWrap/>
            <w:vAlign w:val="center"/>
          </w:tcPr>
          <w:p>
            <w:pPr>
              <w:widowControl/>
              <w:jc w:val="center"/>
              <w:rPr>
                <w:rFonts w:eastAsia="方正仿宋简体"/>
                <w:kern w:val="0"/>
                <w:sz w:val="24"/>
                <w:szCs w:val="24"/>
              </w:rPr>
            </w:pPr>
          </w:p>
        </w:tc>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开户机构结算账户</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388" w:hRule="exact"/>
          <w:jc w:val="center"/>
        </w:trPr>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w:t>
            </w:r>
          </w:p>
        </w:tc>
        <w:tc>
          <w:tcPr>
            <w:tcW w:w="2125" w:type="dxa"/>
            <w:shd w:val="clear" w:color="auto" w:fill="auto"/>
            <w:noWrap/>
            <w:vAlign w:val="center"/>
          </w:tcPr>
          <w:p>
            <w:pPr>
              <w:widowControl/>
              <w:jc w:val="center"/>
              <w:rPr>
                <w:rFonts w:eastAsia="方正仿宋简体"/>
                <w:kern w:val="0"/>
                <w:sz w:val="24"/>
                <w:szCs w:val="24"/>
              </w:rPr>
            </w:pPr>
          </w:p>
        </w:tc>
        <w:tc>
          <w:tcPr>
            <w:tcW w:w="2410" w:type="dxa"/>
            <w:shd w:val="clear" w:color="auto" w:fill="auto"/>
            <w:noWrap/>
            <w:vAlign w:val="center"/>
          </w:tcPr>
          <w:p>
            <w:pPr>
              <w:widowControl/>
              <w:jc w:val="left"/>
              <w:rPr>
                <w:rFonts w:eastAsia="方正仿宋简体"/>
                <w:kern w:val="0"/>
                <w:sz w:val="24"/>
                <w:szCs w:val="24"/>
              </w:rPr>
            </w:pPr>
            <w:r>
              <w:rPr>
                <w:rFonts w:eastAsia="方正仿宋简体"/>
                <w:kern w:val="0"/>
                <w:sz w:val="24"/>
                <w:szCs w:val="24"/>
              </w:rPr>
              <w:t>开户机构联系人电话</w:t>
            </w:r>
          </w:p>
        </w:tc>
        <w:tc>
          <w:tcPr>
            <w:tcW w:w="1925" w:type="dxa"/>
            <w:shd w:val="clear" w:color="auto" w:fill="auto"/>
            <w:noWrap/>
            <w:vAlign w:val="center"/>
          </w:tcPr>
          <w:p>
            <w:pPr>
              <w:widowControl/>
              <w:jc w:val="center"/>
              <w:rPr>
                <w:rFonts w:eastAsia="方正仿宋简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535"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申请人声明事项</w:t>
            </w:r>
          </w:p>
          <w:p>
            <w:pPr>
              <w:widowControl/>
              <w:autoSpaceDE w:val="0"/>
              <w:autoSpaceDN w:val="0"/>
              <w:adjustRightInd w:val="0"/>
              <w:snapToGrid w:val="0"/>
              <w:ind w:right="-57"/>
              <w:jc w:val="left"/>
              <w:rPr>
                <w:rFonts w:eastAsia="方正仿宋简体"/>
                <w:kern w:val="0"/>
                <w:sz w:val="24"/>
                <w:szCs w:val="24"/>
              </w:rPr>
            </w:pPr>
            <w:r>
              <w:rPr>
                <w:rFonts w:eastAsia="方正仿宋简体"/>
                <w:kern w:val="0"/>
                <w:sz w:val="24"/>
                <w:szCs w:val="24"/>
              </w:rPr>
              <w:t>1．提供的文件内容完整并且真实；</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2．将依据报备的用途与内部控制程序从事期权交易；</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3．遵守期权交易相关法律法规，绝不以不当手段干扰期权与相关现货市场运作，并且了解深圳证券交易所在执行监管时，对发现的异常情况有权依据《深圳证券交易所股票期权试点交易规则》及相关规定采取相应措施以维护市场秩序；</w:t>
            </w:r>
          </w:p>
          <w:p>
            <w:pPr>
              <w:widowControl/>
              <w:autoSpaceDE w:val="0"/>
              <w:autoSpaceDN w:val="0"/>
              <w:adjustRightInd w:val="0"/>
              <w:snapToGrid w:val="0"/>
              <w:jc w:val="left"/>
              <w:rPr>
                <w:rFonts w:eastAsia="方正仿宋简体"/>
                <w:kern w:val="0"/>
                <w:sz w:val="24"/>
                <w:szCs w:val="24"/>
              </w:rPr>
            </w:pPr>
            <w:r>
              <w:rPr>
                <w:rFonts w:eastAsia="方正仿宋简体"/>
                <w:kern w:val="0"/>
                <w:sz w:val="24"/>
                <w:szCs w:val="24"/>
              </w:rPr>
              <w:t>4．同意深圳证券交易所在申请人从事期权交易期间，可以依据相关规定要求申请人就有关事项限期提出书面说明或者补充文件，申请人不会规避或者拒绝。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1707" w:hRule="exact"/>
          <w:jc w:val="center"/>
        </w:trPr>
        <w:tc>
          <w:tcPr>
            <w:tcW w:w="8870" w:type="dxa"/>
            <w:gridSpan w:val="4"/>
            <w:shd w:val="clear" w:color="auto" w:fill="auto"/>
            <w:noWrap/>
          </w:tcPr>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申请人签字：</w:t>
            </w: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p>
          <w:p>
            <w:pPr>
              <w:widowControl/>
              <w:autoSpaceDE w:val="0"/>
              <w:autoSpaceDN w:val="0"/>
              <w:adjustRightInd w:val="0"/>
              <w:snapToGrid w:val="0"/>
              <w:ind w:right="-57"/>
              <w:jc w:val="left"/>
              <w:rPr>
                <w:rFonts w:eastAsia="方正仿宋简体"/>
                <w:b/>
                <w:kern w:val="0"/>
                <w:sz w:val="24"/>
                <w:szCs w:val="24"/>
              </w:rPr>
            </w:pPr>
            <w:r>
              <w:rPr>
                <w:rFonts w:eastAsia="方正仿宋简体"/>
                <w:b/>
                <w:kern w:val="0"/>
                <w:sz w:val="24"/>
                <w:szCs w:val="24"/>
              </w:rPr>
              <w:t>申请人盖章：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892" w:hRule="atLeast"/>
          <w:jc w:val="center"/>
        </w:trPr>
        <w:tc>
          <w:tcPr>
            <w:tcW w:w="8870" w:type="dxa"/>
            <w:gridSpan w:val="4"/>
            <w:shd w:val="clear" w:color="auto" w:fill="auto"/>
            <w:noWrap/>
            <w:vAlign w:val="center"/>
          </w:tcPr>
          <w:p>
            <w:pPr>
              <w:widowControl/>
              <w:autoSpaceDE w:val="0"/>
              <w:autoSpaceDN w:val="0"/>
              <w:adjustRightInd w:val="0"/>
              <w:snapToGrid w:val="0"/>
              <w:ind w:right="-57"/>
              <w:jc w:val="left"/>
              <w:rPr>
                <w:rFonts w:eastAsia="方正仿宋简体"/>
                <w:kern w:val="0"/>
                <w:sz w:val="24"/>
                <w:szCs w:val="24"/>
              </w:rPr>
            </w:pPr>
            <w:r>
              <w:rPr>
                <w:rFonts w:eastAsia="方正仿宋简体"/>
                <w:b/>
                <w:kern w:val="0"/>
                <w:sz w:val="24"/>
                <w:szCs w:val="24"/>
              </w:rPr>
              <w:t>期权经营机构对申请人材料真实性的声明事项：</w:t>
            </w:r>
            <w:r>
              <w:rPr>
                <w:rFonts w:eastAsia="方正仿宋简体"/>
                <w:kern w:val="0"/>
                <w:sz w:val="24"/>
                <w:szCs w:val="24"/>
              </w:rPr>
              <w:t>我公司保证申请人向贵所提供的各项证明材料均属实，同意向交易所提交相关申请，并在运作中按照深圳证券交易所的有关规定执行。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CellMar>
            <w:top w:w="0" w:type="dxa"/>
            <w:left w:w="108" w:type="dxa"/>
            <w:bottom w:w="0" w:type="dxa"/>
            <w:right w:w="108" w:type="dxa"/>
          </w:tblCellMar>
        </w:tblPrEx>
        <w:trPr>
          <w:trHeight w:val="2268" w:hRule="exact"/>
          <w:jc w:val="center"/>
        </w:trPr>
        <w:tc>
          <w:tcPr>
            <w:tcW w:w="8870" w:type="dxa"/>
            <w:gridSpan w:val="4"/>
            <w:shd w:val="clear" w:color="auto" w:fill="auto"/>
            <w:noWrap/>
          </w:tcPr>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p>
          <w:p>
            <w:pPr>
              <w:widowControl/>
              <w:snapToGrid w:val="0"/>
              <w:rPr>
                <w:rFonts w:eastAsia="方正仿宋简体"/>
                <w:sz w:val="24"/>
                <w:szCs w:val="24"/>
              </w:rPr>
            </w:pPr>
            <w:r>
              <w:rPr>
                <w:rFonts w:eastAsia="方正仿宋简体"/>
                <w:b/>
                <w:sz w:val="24"/>
                <w:szCs w:val="24"/>
              </w:rPr>
              <w:t>期权经营机构</w:t>
            </w:r>
            <w:r>
              <w:rPr>
                <w:rFonts w:eastAsia="方正仿宋简体"/>
                <w:b/>
                <w:kern w:val="0"/>
                <w:sz w:val="24"/>
                <w:szCs w:val="24"/>
              </w:rPr>
              <w:t xml:space="preserve">负责人（或被授权人）签字：                  </w:t>
            </w:r>
            <w:r>
              <w:rPr>
                <w:rFonts w:eastAsia="方正仿宋简体"/>
                <w:b/>
                <w:sz w:val="24"/>
                <w:szCs w:val="24"/>
              </w:rPr>
              <w:t>期权经营机构</w:t>
            </w:r>
            <w:r>
              <w:rPr>
                <w:rFonts w:eastAsia="方正仿宋简体"/>
                <w:b/>
                <w:kern w:val="0"/>
                <w:sz w:val="24"/>
                <w:szCs w:val="24"/>
              </w:rPr>
              <w:t>盖章：</w:t>
            </w:r>
          </w:p>
        </w:tc>
      </w:tr>
    </w:tbl>
    <w:p>
      <w:pPr>
        <w:rPr>
          <w:rFonts w:eastAsia="方正仿宋简体"/>
        </w:rPr>
      </w:pPr>
    </w:p>
    <w:p>
      <w:pPr>
        <w:widowControl/>
        <w:jc w:val="left"/>
        <w:rPr>
          <w:rFonts w:eastAsia="方正仿宋简体"/>
          <w:bCs/>
          <w:sz w:val="30"/>
          <w:szCs w:val="30"/>
        </w:rPr>
      </w:pPr>
      <w:r>
        <w:rPr>
          <w:rFonts w:eastAsia="方正仿宋简体"/>
          <w:b/>
          <w:bCs/>
          <w:sz w:val="32"/>
          <w:szCs w:val="32"/>
        </w:rPr>
        <w:br w:type="page"/>
      </w:r>
      <w:bookmarkStart w:id="369" w:name="_Toc25049535"/>
      <w:r>
        <w:rPr>
          <w:rFonts w:eastAsia="方正仿宋简体"/>
          <w:bCs/>
          <w:sz w:val="30"/>
          <w:szCs w:val="30"/>
        </w:rPr>
        <w:t>附件7：股票期权持仓限额调整报备表（特定产品用</w:t>
      </w:r>
      <w:r>
        <w:rPr>
          <w:rFonts w:hint="eastAsia" w:eastAsia="方正仿宋简体"/>
          <w:bCs/>
          <w:sz w:val="30"/>
          <w:szCs w:val="30"/>
          <w:lang w:eastAsia="zh-CN"/>
        </w:rPr>
        <w:t>样表</w:t>
      </w:r>
      <w:r>
        <w:rPr>
          <w:rFonts w:eastAsia="方正仿宋简体"/>
          <w:bCs/>
          <w:sz w:val="30"/>
          <w:szCs w:val="30"/>
        </w:rPr>
        <w:t>）</w:t>
      </w:r>
      <w:bookmarkEnd w:id="369"/>
    </w:p>
    <w:tbl>
      <w:tblPr>
        <w:tblStyle w:val="34"/>
        <w:tblW w:w="8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1715"/>
        <w:gridCol w:w="899"/>
        <w:gridCol w:w="363"/>
        <w:gridCol w:w="537"/>
        <w:gridCol w:w="900"/>
        <w:gridCol w:w="900"/>
        <w:gridCol w:w="90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475" w:type="dxa"/>
            <w:gridSpan w:val="9"/>
            <w:vAlign w:val="center"/>
          </w:tcPr>
          <w:p>
            <w:pPr>
              <w:spacing w:line="360" w:lineRule="auto"/>
              <w:jc w:val="center"/>
              <w:rPr>
                <w:rFonts w:eastAsia="方正仿宋简体"/>
                <w:sz w:val="24"/>
                <w:szCs w:val="24"/>
              </w:rPr>
            </w:pPr>
            <w:r>
              <w:rPr>
                <w:rFonts w:eastAsia="方正仿宋简体"/>
                <w:sz w:val="24"/>
                <w:szCs w:val="24"/>
              </w:rPr>
              <w:t>股票期权持仓限额调整申请表（特定产品用）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spacing w:line="360" w:lineRule="auto"/>
              <w:rPr>
                <w:rFonts w:eastAsia="方正仿宋简体"/>
                <w:sz w:val="24"/>
                <w:szCs w:val="24"/>
              </w:rPr>
            </w:pPr>
            <w:r>
              <w:rPr>
                <w:rFonts w:eastAsia="方正仿宋简体"/>
                <w:sz w:val="24"/>
                <w:szCs w:val="24"/>
              </w:rPr>
              <w:t>申请人信息</w:t>
            </w:r>
          </w:p>
        </w:tc>
        <w:tc>
          <w:tcPr>
            <w:tcW w:w="2977" w:type="dxa"/>
            <w:gridSpan w:val="3"/>
            <w:vAlign w:val="center"/>
          </w:tcPr>
          <w:p>
            <w:pPr>
              <w:spacing w:line="360" w:lineRule="auto"/>
              <w:rPr>
                <w:rFonts w:eastAsia="方正仿宋简体"/>
                <w:sz w:val="24"/>
                <w:szCs w:val="24"/>
              </w:rPr>
            </w:pPr>
            <w:r>
              <w:rPr>
                <w:rFonts w:eastAsia="方正仿宋简体"/>
                <w:sz w:val="24"/>
                <w:szCs w:val="24"/>
              </w:rPr>
              <w:t>产品发行人名称</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产品名称</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联系方式</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电子邮箱</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widowControl/>
              <w:jc w:val="left"/>
              <w:rPr>
                <w:rFonts w:eastAsia="方正仿宋简体"/>
                <w:kern w:val="0"/>
                <w:sz w:val="24"/>
                <w:szCs w:val="24"/>
              </w:rPr>
            </w:pPr>
            <w:r>
              <w:rPr>
                <w:rFonts w:eastAsia="方正仿宋简体"/>
                <w:kern w:val="0"/>
                <w:sz w:val="24"/>
                <w:szCs w:val="24"/>
              </w:rPr>
              <w:t>深市A股证券账户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spacing w:line="360" w:lineRule="auto"/>
              <w:rPr>
                <w:rFonts w:eastAsia="方正仿宋简体"/>
                <w:sz w:val="24"/>
                <w:szCs w:val="24"/>
              </w:rPr>
            </w:pPr>
          </w:p>
        </w:tc>
        <w:tc>
          <w:tcPr>
            <w:tcW w:w="2977" w:type="dxa"/>
            <w:gridSpan w:val="3"/>
            <w:vAlign w:val="center"/>
          </w:tcPr>
          <w:p>
            <w:pPr>
              <w:spacing w:line="360" w:lineRule="auto"/>
              <w:rPr>
                <w:rFonts w:eastAsia="方正仿宋简体"/>
                <w:sz w:val="24"/>
                <w:szCs w:val="24"/>
              </w:rPr>
            </w:pPr>
            <w:r>
              <w:rPr>
                <w:rFonts w:eastAsia="方正仿宋简体"/>
                <w:sz w:val="24"/>
                <w:szCs w:val="24"/>
              </w:rPr>
              <w:t>衍生品合约账</w:t>
            </w:r>
            <w:r>
              <w:rPr>
                <w:rFonts w:eastAsia="方正仿宋简体"/>
                <w:kern w:val="0"/>
                <w:sz w:val="24"/>
                <w:szCs w:val="24"/>
              </w:rPr>
              <w:t>户</w:t>
            </w:r>
          </w:p>
        </w:tc>
        <w:tc>
          <w:tcPr>
            <w:tcW w:w="4137" w:type="dxa"/>
            <w:gridSpan w:val="5"/>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1361" w:type="dxa"/>
            <w:vAlign w:val="center"/>
          </w:tcPr>
          <w:p>
            <w:pPr>
              <w:spacing w:line="360" w:lineRule="auto"/>
              <w:rPr>
                <w:rFonts w:eastAsia="方正仿宋简体"/>
                <w:sz w:val="24"/>
                <w:szCs w:val="24"/>
              </w:rPr>
            </w:pPr>
            <w:r>
              <w:rPr>
                <w:rFonts w:eastAsia="方正仿宋简体"/>
                <w:sz w:val="24"/>
                <w:szCs w:val="24"/>
              </w:rPr>
              <w:t>申请用途</w:t>
            </w:r>
          </w:p>
        </w:tc>
        <w:tc>
          <w:tcPr>
            <w:tcW w:w="7114" w:type="dxa"/>
            <w:gridSpan w:val="8"/>
            <w:vAlign w:val="center"/>
          </w:tcPr>
          <w:p>
            <w:pPr>
              <w:spacing w:line="360" w:lineRule="auto"/>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合约品种持仓限额调整</w:t>
            </w:r>
          </w:p>
        </w:tc>
        <w:tc>
          <w:tcPr>
            <w:tcW w:w="1715" w:type="dxa"/>
            <w:vMerge w:val="restart"/>
            <w:vAlign w:val="center"/>
          </w:tcPr>
          <w:p>
            <w:pPr>
              <w:rPr>
                <w:rFonts w:eastAsia="方正仿宋简体"/>
                <w:sz w:val="24"/>
                <w:szCs w:val="24"/>
              </w:rPr>
            </w:pPr>
            <w:r>
              <w:rPr>
                <w:rFonts w:eastAsia="方正仿宋简体"/>
                <w:sz w:val="24"/>
                <w:szCs w:val="24"/>
              </w:rPr>
              <w:t>单个合约品种</w:t>
            </w:r>
          </w:p>
        </w:tc>
        <w:tc>
          <w:tcPr>
            <w:tcW w:w="2699" w:type="dxa"/>
            <w:gridSpan w:val="4"/>
            <w:vAlign w:val="center"/>
          </w:tcPr>
          <w:p>
            <w:pPr>
              <w:jc w:val="center"/>
              <w:rPr>
                <w:rFonts w:eastAsia="方正仿宋简体"/>
                <w:sz w:val="24"/>
                <w:szCs w:val="24"/>
              </w:rPr>
            </w:pPr>
            <w:r>
              <w:rPr>
                <w:rFonts w:eastAsia="方正仿宋简体"/>
                <w:sz w:val="24"/>
                <w:szCs w:val="24"/>
              </w:rPr>
              <w:t>目前持仓限额</w:t>
            </w:r>
          </w:p>
        </w:tc>
        <w:tc>
          <w:tcPr>
            <w:tcW w:w="2700" w:type="dxa"/>
            <w:gridSpan w:val="3"/>
            <w:vAlign w:val="center"/>
          </w:tcPr>
          <w:p>
            <w:pPr>
              <w:jc w:val="center"/>
              <w:rPr>
                <w:rFonts w:eastAsia="方正仿宋简体"/>
                <w:sz w:val="24"/>
                <w:szCs w:val="24"/>
              </w:rPr>
            </w:pPr>
            <w:r>
              <w:rPr>
                <w:rFonts w:eastAsia="方正仿宋简体"/>
                <w:sz w:val="24"/>
                <w:szCs w:val="24"/>
              </w:rPr>
              <w:t>拟申请持仓限额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Merge w:val="continue"/>
            <w:vAlign w:val="center"/>
          </w:tcPr>
          <w:p>
            <w:pPr>
              <w:rPr>
                <w:rFonts w:eastAsia="方正仿宋简体"/>
                <w:sz w:val="24"/>
                <w:szCs w:val="24"/>
              </w:rPr>
            </w:pPr>
          </w:p>
        </w:tc>
        <w:tc>
          <w:tcPr>
            <w:tcW w:w="899" w:type="dxa"/>
            <w:vAlign w:val="center"/>
          </w:tcPr>
          <w:p>
            <w:pPr>
              <w:jc w:val="center"/>
              <w:rPr>
                <w:rFonts w:eastAsia="方正仿宋简体"/>
                <w:sz w:val="24"/>
                <w:szCs w:val="24"/>
              </w:rPr>
            </w:pPr>
            <w:r>
              <w:rPr>
                <w:rFonts w:eastAsia="方正仿宋简体"/>
                <w:sz w:val="24"/>
                <w:szCs w:val="24"/>
              </w:rPr>
              <w:t>权利仓持仓限额</w:t>
            </w:r>
          </w:p>
        </w:tc>
        <w:tc>
          <w:tcPr>
            <w:tcW w:w="900" w:type="dxa"/>
            <w:gridSpan w:val="2"/>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c>
          <w:tcPr>
            <w:tcW w:w="900" w:type="dxa"/>
            <w:vAlign w:val="center"/>
          </w:tcPr>
          <w:p>
            <w:pPr>
              <w:jc w:val="center"/>
              <w:rPr>
                <w:rFonts w:eastAsia="方正仿宋简体"/>
                <w:sz w:val="24"/>
                <w:szCs w:val="24"/>
              </w:rPr>
            </w:pPr>
            <w:r>
              <w:rPr>
                <w:rFonts w:eastAsia="方正仿宋简体"/>
                <w:sz w:val="24"/>
                <w:szCs w:val="24"/>
              </w:rPr>
              <w:t>权利仓持仓限额</w:t>
            </w:r>
          </w:p>
        </w:tc>
        <w:tc>
          <w:tcPr>
            <w:tcW w:w="900" w:type="dxa"/>
            <w:vAlign w:val="center"/>
          </w:tcPr>
          <w:p>
            <w:pPr>
              <w:jc w:val="center"/>
              <w:rPr>
                <w:rFonts w:eastAsia="方正仿宋简体"/>
                <w:sz w:val="24"/>
                <w:szCs w:val="24"/>
              </w:rPr>
            </w:pPr>
            <w:r>
              <w:rPr>
                <w:rFonts w:eastAsia="方正仿宋简体"/>
                <w:sz w:val="24"/>
                <w:szCs w:val="24"/>
              </w:rPr>
              <w:t>总持仓限额</w:t>
            </w:r>
          </w:p>
        </w:tc>
        <w:tc>
          <w:tcPr>
            <w:tcW w:w="900" w:type="dxa"/>
            <w:vAlign w:val="center"/>
          </w:tcPr>
          <w:p>
            <w:pPr>
              <w:jc w:val="center"/>
              <w:rPr>
                <w:rFonts w:eastAsia="方正仿宋简体"/>
                <w:sz w:val="24"/>
                <w:szCs w:val="24"/>
              </w:rPr>
            </w:pPr>
            <w:r>
              <w:rPr>
                <w:rFonts w:eastAsia="方正仿宋简体"/>
                <w:sz w:val="24"/>
                <w:szCs w:val="24"/>
              </w:rPr>
              <w:t>单日买入开仓限额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1715" w:type="dxa"/>
            <w:vAlign w:val="center"/>
          </w:tcPr>
          <w:p>
            <w:pPr>
              <w:rPr>
                <w:rFonts w:eastAsia="方正仿宋简体"/>
                <w:sz w:val="24"/>
                <w:szCs w:val="24"/>
              </w:rPr>
            </w:pPr>
          </w:p>
          <w:p>
            <w:pPr>
              <w:rPr>
                <w:rFonts w:eastAsia="方正仿宋简体"/>
                <w:sz w:val="24"/>
                <w:szCs w:val="24"/>
              </w:rPr>
            </w:pPr>
          </w:p>
        </w:tc>
        <w:tc>
          <w:tcPr>
            <w:tcW w:w="899" w:type="dxa"/>
            <w:vAlign w:val="center"/>
          </w:tcPr>
          <w:p>
            <w:pPr>
              <w:rPr>
                <w:rFonts w:eastAsia="方正仿宋简体"/>
                <w:sz w:val="24"/>
                <w:szCs w:val="24"/>
              </w:rPr>
            </w:pPr>
          </w:p>
        </w:tc>
        <w:tc>
          <w:tcPr>
            <w:tcW w:w="900" w:type="dxa"/>
            <w:gridSpan w:val="2"/>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c>
          <w:tcPr>
            <w:tcW w:w="900" w:type="dxa"/>
            <w:vAlign w:val="center"/>
          </w:tcPr>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restart"/>
            <w:vAlign w:val="center"/>
          </w:tcPr>
          <w:p>
            <w:pPr>
              <w:rPr>
                <w:rFonts w:eastAsia="方正仿宋简体"/>
                <w:sz w:val="24"/>
                <w:szCs w:val="24"/>
              </w:rPr>
            </w:pPr>
            <w:r>
              <w:rPr>
                <w:rFonts w:eastAsia="方正仿宋简体"/>
                <w:sz w:val="24"/>
                <w:szCs w:val="24"/>
              </w:rPr>
              <w:t>签字及公章</w:t>
            </w:r>
          </w:p>
        </w:tc>
        <w:tc>
          <w:tcPr>
            <w:tcW w:w="7114" w:type="dxa"/>
            <w:gridSpan w:val="8"/>
            <w:vAlign w:val="center"/>
          </w:tcPr>
          <w:p>
            <w:pPr>
              <w:rPr>
                <w:rFonts w:eastAsia="方正仿宋简体"/>
                <w:sz w:val="24"/>
                <w:szCs w:val="24"/>
              </w:rPr>
            </w:pPr>
            <w:r>
              <w:rPr>
                <w:rFonts w:eastAsia="方正仿宋简体"/>
                <w:sz w:val="24"/>
                <w:szCs w:val="24"/>
              </w:rPr>
              <w:t>申请人签字：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营业部经办人签字：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期权经营机构经纪业务负责人签字：</w:t>
            </w:r>
          </w:p>
          <w:p>
            <w:pPr>
              <w:rPr>
                <w:rFonts w:eastAsia="方正仿宋简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61" w:type="dxa"/>
            <w:vMerge w:val="continue"/>
            <w:vAlign w:val="center"/>
          </w:tcPr>
          <w:p>
            <w:pPr>
              <w:rPr>
                <w:rFonts w:eastAsia="方正仿宋简体"/>
                <w:sz w:val="24"/>
                <w:szCs w:val="24"/>
              </w:rPr>
            </w:pPr>
          </w:p>
        </w:tc>
        <w:tc>
          <w:tcPr>
            <w:tcW w:w="7114" w:type="dxa"/>
            <w:gridSpan w:val="8"/>
            <w:vAlign w:val="center"/>
          </w:tcPr>
          <w:p>
            <w:pPr>
              <w:rPr>
                <w:rFonts w:eastAsia="方正仿宋简体"/>
                <w:sz w:val="24"/>
                <w:szCs w:val="24"/>
              </w:rPr>
            </w:pPr>
            <w:r>
              <w:rPr>
                <w:rFonts w:eastAsia="方正仿宋简体"/>
                <w:sz w:val="24"/>
                <w:szCs w:val="24"/>
              </w:rPr>
              <w:t>期权经营机构单位公章：</w:t>
            </w: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bl>
    <w:p>
      <w:pPr>
        <w:widowControl/>
        <w:jc w:val="left"/>
        <w:rPr>
          <w:rFonts w:eastAsia="方正仿宋简体"/>
          <w:bCs/>
          <w:sz w:val="30"/>
          <w:szCs w:val="30"/>
        </w:rPr>
      </w:pPr>
      <w:r>
        <w:rPr>
          <w:rFonts w:eastAsia="方正仿宋简体"/>
          <w:b/>
          <w:bCs/>
          <w:sz w:val="32"/>
          <w:szCs w:val="32"/>
        </w:rPr>
        <w:br w:type="page"/>
      </w:r>
      <w:bookmarkStart w:id="370" w:name="_Toc25049536"/>
      <w:r>
        <w:rPr>
          <w:rFonts w:eastAsia="方正仿宋简体"/>
          <w:bCs/>
          <w:sz w:val="30"/>
          <w:szCs w:val="30"/>
        </w:rPr>
        <w:t>附件8：股票期权持仓限额调整申请表（证券公司用</w:t>
      </w:r>
      <w:r>
        <w:rPr>
          <w:rFonts w:hint="eastAsia" w:eastAsia="方正仿宋简体"/>
          <w:bCs/>
          <w:sz w:val="30"/>
          <w:szCs w:val="30"/>
          <w:lang w:eastAsia="zh-CN"/>
        </w:rPr>
        <w:t>样表</w:t>
      </w:r>
      <w:r>
        <w:rPr>
          <w:rFonts w:eastAsia="方正仿宋简体"/>
          <w:bCs/>
          <w:sz w:val="30"/>
          <w:szCs w:val="30"/>
        </w:rPr>
        <w:t>）</w:t>
      </w:r>
      <w:bookmarkEnd w:id="370"/>
    </w:p>
    <w:tbl>
      <w:tblPr>
        <w:tblStyle w:val="34"/>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2"/>
        <w:gridCol w:w="2410"/>
        <w:gridCol w:w="567"/>
        <w:gridCol w:w="1843"/>
        <w:gridCol w:w="24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472" w:type="dxa"/>
            <w:gridSpan w:val="5"/>
            <w:vAlign w:val="center"/>
          </w:tcPr>
          <w:p>
            <w:pPr>
              <w:widowControl/>
              <w:snapToGrid w:val="0"/>
              <w:ind w:firstLine="158"/>
              <w:jc w:val="center"/>
              <w:rPr>
                <w:rFonts w:eastAsia="方正仿宋简体"/>
                <w:sz w:val="24"/>
                <w:szCs w:val="24"/>
              </w:rPr>
            </w:pPr>
            <w:r>
              <w:rPr>
                <w:rFonts w:eastAsia="方正仿宋简体"/>
                <w:sz w:val="24"/>
                <w:szCs w:val="24"/>
              </w:rPr>
              <w:t>股票期权持仓限额调整申请表（证券公司用）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restart"/>
            <w:vAlign w:val="center"/>
          </w:tcPr>
          <w:p>
            <w:pPr>
              <w:rPr>
                <w:rFonts w:eastAsia="方正仿宋简体"/>
                <w:sz w:val="24"/>
                <w:szCs w:val="24"/>
              </w:rPr>
            </w:pPr>
            <w:r>
              <w:rPr>
                <w:rFonts w:eastAsia="方正仿宋简体"/>
                <w:sz w:val="24"/>
                <w:szCs w:val="24"/>
              </w:rPr>
              <w:t>申请人信息</w:t>
            </w:r>
          </w:p>
        </w:tc>
        <w:tc>
          <w:tcPr>
            <w:tcW w:w="2977" w:type="dxa"/>
            <w:gridSpan w:val="2"/>
            <w:vAlign w:val="center"/>
          </w:tcPr>
          <w:p>
            <w:pPr>
              <w:rPr>
                <w:rFonts w:eastAsia="方正仿宋简体"/>
                <w:sz w:val="24"/>
                <w:szCs w:val="24"/>
              </w:rPr>
            </w:pPr>
            <w:r>
              <w:rPr>
                <w:rFonts w:eastAsia="方正仿宋简体"/>
                <w:sz w:val="24"/>
                <w:szCs w:val="24"/>
              </w:rPr>
              <w:t>公司名称</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开通期权经纪业务时间</w:t>
            </w:r>
          </w:p>
        </w:tc>
        <w:tc>
          <w:tcPr>
            <w:tcW w:w="4253" w:type="dxa"/>
            <w:gridSpan w:val="2"/>
            <w:vAlign w:val="center"/>
          </w:tcPr>
          <w:p>
            <w:pPr>
              <w:rPr>
                <w:rFonts w:eastAsia="方正仿宋简体"/>
                <w:sz w:val="24"/>
                <w:szCs w:val="24"/>
              </w:rPr>
            </w:pPr>
            <w:r>
              <w:rPr>
                <w:rFonts w:eastAsia="方正仿宋简体"/>
                <w:sz w:val="24"/>
                <w:szCs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联系人姓名</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联系人联系方式</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2977" w:type="dxa"/>
            <w:gridSpan w:val="2"/>
            <w:vAlign w:val="center"/>
          </w:tcPr>
          <w:p>
            <w:pPr>
              <w:rPr>
                <w:rFonts w:eastAsia="方正仿宋简体"/>
                <w:sz w:val="24"/>
                <w:szCs w:val="24"/>
              </w:rPr>
            </w:pPr>
            <w:r>
              <w:rPr>
                <w:rFonts w:eastAsia="方正仿宋简体"/>
                <w:sz w:val="24"/>
                <w:szCs w:val="24"/>
              </w:rPr>
              <w:t>联系人邮箱</w:t>
            </w:r>
          </w:p>
        </w:tc>
        <w:tc>
          <w:tcPr>
            <w:tcW w:w="4253" w:type="dxa"/>
            <w:gridSpan w:val="2"/>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Align w:val="center"/>
          </w:tcPr>
          <w:p>
            <w:pPr>
              <w:rPr>
                <w:rFonts w:eastAsia="方正仿宋简体"/>
                <w:sz w:val="24"/>
                <w:szCs w:val="24"/>
              </w:rPr>
            </w:pPr>
            <w:r>
              <w:rPr>
                <w:rFonts w:eastAsia="方正仿宋简体"/>
                <w:sz w:val="24"/>
                <w:szCs w:val="24"/>
              </w:rPr>
              <w:t>结算账号（经纪）</w:t>
            </w:r>
          </w:p>
        </w:tc>
        <w:tc>
          <w:tcPr>
            <w:tcW w:w="7230" w:type="dxa"/>
            <w:gridSpan w:val="4"/>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rPr>
        <w:tc>
          <w:tcPr>
            <w:tcW w:w="1242" w:type="dxa"/>
            <w:vMerge w:val="restart"/>
            <w:vAlign w:val="center"/>
          </w:tcPr>
          <w:p>
            <w:pPr>
              <w:rPr>
                <w:rFonts w:eastAsia="方正仿宋简体"/>
                <w:sz w:val="24"/>
                <w:szCs w:val="24"/>
              </w:rPr>
            </w:pPr>
            <w:r>
              <w:rPr>
                <w:rFonts w:eastAsia="方正仿宋简体"/>
                <w:sz w:val="24"/>
                <w:szCs w:val="24"/>
              </w:rPr>
              <w:t>合约品种持仓限额调整</w:t>
            </w:r>
          </w:p>
        </w:tc>
        <w:tc>
          <w:tcPr>
            <w:tcW w:w="2410" w:type="dxa"/>
            <w:vAlign w:val="center"/>
          </w:tcPr>
          <w:p>
            <w:pPr>
              <w:jc w:val="center"/>
              <w:rPr>
                <w:rFonts w:eastAsia="方正仿宋简体"/>
                <w:sz w:val="24"/>
                <w:szCs w:val="24"/>
              </w:rPr>
            </w:pPr>
            <w:r>
              <w:rPr>
                <w:rFonts w:eastAsia="方正仿宋简体"/>
                <w:sz w:val="24"/>
                <w:szCs w:val="24"/>
              </w:rPr>
              <w:t>单个合约品种</w:t>
            </w:r>
          </w:p>
        </w:tc>
        <w:tc>
          <w:tcPr>
            <w:tcW w:w="2410" w:type="dxa"/>
            <w:gridSpan w:val="2"/>
            <w:vAlign w:val="center"/>
          </w:tcPr>
          <w:p>
            <w:pPr>
              <w:jc w:val="center"/>
              <w:rPr>
                <w:rFonts w:eastAsia="方正仿宋简体"/>
                <w:sz w:val="24"/>
                <w:szCs w:val="24"/>
              </w:rPr>
            </w:pPr>
            <w:r>
              <w:rPr>
                <w:rFonts w:eastAsia="方正仿宋简体"/>
                <w:sz w:val="24"/>
                <w:szCs w:val="24"/>
              </w:rPr>
              <w:t>目前总持仓限额</w:t>
            </w:r>
          </w:p>
        </w:tc>
        <w:tc>
          <w:tcPr>
            <w:tcW w:w="2410" w:type="dxa"/>
            <w:vAlign w:val="center"/>
          </w:tcPr>
          <w:p>
            <w:pPr>
              <w:jc w:val="center"/>
              <w:rPr>
                <w:rFonts w:eastAsia="方正仿宋简体"/>
                <w:sz w:val="24"/>
                <w:szCs w:val="24"/>
              </w:rPr>
            </w:pPr>
            <w:r>
              <w:rPr>
                <w:rFonts w:eastAsia="方正仿宋简体"/>
                <w:sz w:val="24"/>
                <w:szCs w:val="24"/>
              </w:rPr>
              <w:t>拟申请总持仓限额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tcBorders>
              <w:bottom w:val="single" w:color="auto" w:sz="4" w:space="0"/>
            </w:tcBorders>
            <w:vAlign w:val="center"/>
          </w:tcPr>
          <w:p>
            <w:pPr>
              <w:rPr>
                <w:rFonts w:eastAsia="方正仿宋简体"/>
                <w:sz w:val="24"/>
                <w:szCs w:val="24"/>
              </w:rPr>
            </w:pPr>
          </w:p>
        </w:tc>
        <w:tc>
          <w:tcPr>
            <w:tcW w:w="2410" w:type="dxa"/>
            <w:vAlign w:val="center"/>
          </w:tcPr>
          <w:p>
            <w:pPr>
              <w:rPr>
                <w:rFonts w:eastAsia="方正仿宋简体"/>
                <w:sz w:val="24"/>
                <w:szCs w:val="24"/>
              </w:rPr>
            </w:pPr>
          </w:p>
          <w:p>
            <w:pPr>
              <w:rPr>
                <w:rFonts w:eastAsia="方正仿宋简体"/>
                <w:sz w:val="24"/>
                <w:szCs w:val="24"/>
              </w:rPr>
            </w:pPr>
          </w:p>
        </w:tc>
        <w:tc>
          <w:tcPr>
            <w:tcW w:w="2410" w:type="dxa"/>
            <w:gridSpan w:val="2"/>
            <w:vAlign w:val="center"/>
          </w:tcPr>
          <w:p>
            <w:pPr>
              <w:rPr>
                <w:rFonts w:eastAsia="方正仿宋简体"/>
                <w:sz w:val="24"/>
                <w:szCs w:val="24"/>
              </w:rPr>
            </w:pPr>
          </w:p>
        </w:tc>
        <w:tc>
          <w:tcPr>
            <w:tcW w:w="2410" w:type="dxa"/>
            <w:vAlign w:val="center"/>
          </w:tcPr>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restart"/>
            <w:vAlign w:val="center"/>
          </w:tcPr>
          <w:p>
            <w:pPr>
              <w:rPr>
                <w:rFonts w:eastAsia="方正仿宋简体"/>
                <w:sz w:val="24"/>
                <w:szCs w:val="24"/>
              </w:rPr>
            </w:pPr>
            <w:r>
              <w:rPr>
                <w:rFonts w:eastAsia="方正仿宋简体"/>
                <w:sz w:val="24"/>
                <w:szCs w:val="24"/>
              </w:rPr>
              <w:t>签字及公章</w:t>
            </w:r>
          </w:p>
        </w:tc>
        <w:tc>
          <w:tcPr>
            <w:tcW w:w="7230" w:type="dxa"/>
            <w:gridSpan w:val="4"/>
            <w:vAlign w:val="center"/>
          </w:tcPr>
          <w:p>
            <w:pPr>
              <w:rPr>
                <w:rFonts w:eastAsia="方正仿宋简体"/>
                <w:sz w:val="24"/>
                <w:szCs w:val="24"/>
              </w:rPr>
            </w:pPr>
            <w:r>
              <w:rPr>
                <w:rFonts w:eastAsia="方正仿宋简体"/>
                <w:sz w:val="24"/>
                <w:szCs w:val="24"/>
              </w:rPr>
              <w:t>经纪部门负责人签字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7230" w:type="dxa"/>
            <w:gridSpan w:val="4"/>
            <w:vAlign w:val="center"/>
          </w:tcPr>
          <w:p>
            <w:pPr>
              <w:rPr>
                <w:rFonts w:eastAsia="方正仿宋简体"/>
                <w:sz w:val="24"/>
                <w:szCs w:val="24"/>
              </w:rPr>
            </w:pPr>
            <w:r>
              <w:rPr>
                <w:rFonts w:eastAsia="方正仿宋简体"/>
                <w:sz w:val="24"/>
                <w:szCs w:val="24"/>
              </w:rPr>
              <w:t>首席风控管（或合规总监）签字：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Merge w:val="continue"/>
            <w:vAlign w:val="center"/>
          </w:tcPr>
          <w:p>
            <w:pPr>
              <w:rPr>
                <w:rFonts w:eastAsia="方正仿宋简体"/>
                <w:sz w:val="24"/>
                <w:szCs w:val="24"/>
              </w:rPr>
            </w:pPr>
          </w:p>
        </w:tc>
        <w:tc>
          <w:tcPr>
            <w:tcW w:w="7230" w:type="dxa"/>
            <w:gridSpan w:val="4"/>
            <w:vAlign w:val="center"/>
          </w:tcPr>
          <w:p>
            <w:pPr>
              <w:rPr>
                <w:rFonts w:eastAsia="方正仿宋简体"/>
                <w:sz w:val="24"/>
                <w:szCs w:val="24"/>
              </w:rPr>
            </w:pPr>
            <w:r>
              <w:rPr>
                <w:rFonts w:eastAsia="方正仿宋简体"/>
                <w:sz w:val="24"/>
                <w:szCs w:val="24"/>
              </w:rPr>
              <w:t>法人代表签字：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rPr>
        <w:tc>
          <w:tcPr>
            <w:tcW w:w="1242" w:type="dxa"/>
            <w:vMerge w:val="continue"/>
            <w:vAlign w:val="center"/>
          </w:tcPr>
          <w:p>
            <w:pPr>
              <w:rPr>
                <w:rFonts w:eastAsia="方正仿宋简体"/>
                <w:sz w:val="24"/>
                <w:szCs w:val="24"/>
              </w:rPr>
            </w:pPr>
          </w:p>
        </w:tc>
        <w:tc>
          <w:tcPr>
            <w:tcW w:w="7230" w:type="dxa"/>
            <w:gridSpan w:val="4"/>
            <w:vAlign w:val="center"/>
          </w:tcPr>
          <w:p>
            <w:pPr>
              <w:rPr>
                <w:rFonts w:eastAsia="方正仿宋简体"/>
                <w:sz w:val="24"/>
                <w:szCs w:val="24"/>
              </w:rPr>
            </w:pPr>
          </w:p>
          <w:p>
            <w:pPr>
              <w:rPr>
                <w:rFonts w:eastAsia="方正仿宋简体"/>
                <w:sz w:val="24"/>
                <w:szCs w:val="24"/>
              </w:rPr>
            </w:pPr>
            <w:r>
              <w:rPr>
                <w:rFonts w:eastAsia="方正仿宋简体"/>
                <w:sz w:val="24"/>
                <w:szCs w:val="24"/>
              </w:rPr>
              <w:t>期权经营机构单位公章：</w:t>
            </w: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242" w:type="dxa"/>
            <w:vAlign w:val="center"/>
          </w:tcPr>
          <w:p>
            <w:pPr>
              <w:rPr>
                <w:rFonts w:eastAsia="方正仿宋简体"/>
                <w:sz w:val="24"/>
                <w:szCs w:val="24"/>
              </w:rPr>
            </w:pPr>
            <w:r>
              <w:rPr>
                <w:rFonts w:eastAsia="方正仿宋简体"/>
                <w:sz w:val="24"/>
                <w:szCs w:val="24"/>
              </w:rPr>
              <w:t>附情况说明</w:t>
            </w:r>
          </w:p>
        </w:tc>
        <w:tc>
          <w:tcPr>
            <w:tcW w:w="7230" w:type="dxa"/>
            <w:gridSpan w:val="4"/>
            <w:vAlign w:val="center"/>
          </w:tcPr>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p>
            <w:pPr>
              <w:rPr>
                <w:rFonts w:eastAsia="方正仿宋简体"/>
                <w:sz w:val="24"/>
                <w:szCs w:val="24"/>
              </w:rPr>
            </w:pPr>
          </w:p>
        </w:tc>
      </w:tr>
    </w:tbl>
    <w:p>
      <w:pPr>
        <w:widowControl/>
        <w:jc w:val="left"/>
        <w:rPr>
          <w:rFonts w:eastAsia="方正仿宋简体"/>
          <w:b/>
          <w:bCs/>
          <w:sz w:val="32"/>
          <w:szCs w:val="32"/>
        </w:rPr>
      </w:pPr>
    </w:p>
    <w:p>
      <w:pPr>
        <w:widowControl/>
        <w:jc w:val="left"/>
        <w:rPr>
          <w:rFonts w:eastAsia="方正仿宋简体"/>
          <w:bCs/>
          <w:sz w:val="30"/>
          <w:szCs w:val="30"/>
        </w:rPr>
      </w:pPr>
      <w:r>
        <w:rPr>
          <w:rFonts w:eastAsia="方正仿宋简体"/>
          <w:b/>
          <w:bCs/>
          <w:sz w:val="32"/>
          <w:szCs w:val="32"/>
        </w:rPr>
        <w:br w:type="page"/>
      </w:r>
      <w:bookmarkStart w:id="371" w:name="_Toc25049537"/>
      <w:r>
        <w:rPr>
          <w:rFonts w:eastAsia="方正仿宋简体"/>
          <w:bCs/>
          <w:sz w:val="30"/>
          <w:szCs w:val="30"/>
        </w:rPr>
        <w:t>附件9：股票期权合格投资者数据报送接口定义表</w:t>
      </w:r>
      <w:bookmarkEnd w:id="371"/>
    </w:p>
    <w:tbl>
      <w:tblPr>
        <w:tblStyle w:val="34"/>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776"/>
        <w:gridCol w:w="1378"/>
        <w:gridCol w:w="2291"/>
        <w:gridCol w:w="735"/>
        <w:gridCol w:w="709"/>
        <w:gridCol w:w="2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06" w:hRule="atLeast"/>
          <w:tblHeader/>
          <w:jc w:val="center"/>
        </w:trPr>
        <w:tc>
          <w:tcPr>
            <w:tcW w:w="776" w:type="dxa"/>
            <w:shd w:val="clear" w:color="auto" w:fill="auto"/>
            <w:vAlign w:val="center"/>
          </w:tcPr>
          <w:p>
            <w:pPr>
              <w:spacing w:before="20" w:after="20"/>
              <w:jc w:val="center"/>
              <w:rPr>
                <w:rFonts w:eastAsia="方正仿宋简体"/>
                <w:b/>
                <w:sz w:val="24"/>
                <w:szCs w:val="24"/>
              </w:rPr>
            </w:pPr>
            <w:r>
              <w:rPr>
                <w:rFonts w:eastAsia="方正仿宋简体"/>
                <w:b/>
                <w:sz w:val="24"/>
                <w:szCs w:val="24"/>
              </w:rPr>
              <w:t>序号</w:t>
            </w:r>
          </w:p>
        </w:tc>
        <w:tc>
          <w:tcPr>
            <w:tcW w:w="1378" w:type="dxa"/>
            <w:shd w:val="clear" w:color="auto" w:fill="auto"/>
            <w:vAlign w:val="center"/>
          </w:tcPr>
          <w:p>
            <w:pPr>
              <w:spacing w:before="20" w:after="20"/>
              <w:jc w:val="center"/>
              <w:rPr>
                <w:rFonts w:eastAsia="方正仿宋简体"/>
                <w:b/>
                <w:sz w:val="24"/>
                <w:szCs w:val="24"/>
              </w:rPr>
            </w:pPr>
            <w:r>
              <w:rPr>
                <w:rFonts w:eastAsia="方正仿宋简体"/>
                <w:b/>
                <w:sz w:val="24"/>
                <w:szCs w:val="24"/>
              </w:rPr>
              <w:t>字段名</w:t>
            </w:r>
          </w:p>
        </w:tc>
        <w:tc>
          <w:tcPr>
            <w:tcW w:w="2291" w:type="dxa"/>
            <w:shd w:val="clear" w:color="auto" w:fill="auto"/>
            <w:vAlign w:val="center"/>
          </w:tcPr>
          <w:p>
            <w:pPr>
              <w:spacing w:before="20" w:after="20"/>
              <w:jc w:val="center"/>
              <w:rPr>
                <w:rFonts w:eastAsia="方正仿宋简体"/>
                <w:b/>
                <w:sz w:val="24"/>
                <w:szCs w:val="24"/>
              </w:rPr>
            </w:pPr>
            <w:r>
              <w:rPr>
                <w:rFonts w:eastAsia="方正仿宋简体"/>
                <w:b/>
                <w:sz w:val="24"/>
                <w:szCs w:val="24"/>
              </w:rPr>
              <w:t>字段描述</w:t>
            </w:r>
          </w:p>
        </w:tc>
        <w:tc>
          <w:tcPr>
            <w:tcW w:w="735" w:type="dxa"/>
            <w:shd w:val="clear" w:color="auto" w:fill="auto"/>
            <w:vAlign w:val="center"/>
          </w:tcPr>
          <w:p>
            <w:pPr>
              <w:spacing w:before="20" w:after="20"/>
              <w:jc w:val="center"/>
              <w:rPr>
                <w:rFonts w:eastAsia="方正仿宋简体"/>
                <w:b/>
                <w:sz w:val="24"/>
                <w:szCs w:val="24"/>
              </w:rPr>
            </w:pPr>
            <w:r>
              <w:rPr>
                <w:rFonts w:eastAsia="方正仿宋简体"/>
                <w:b/>
                <w:sz w:val="24"/>
                <w:szCs w:val="24"/>
              </w:rPr>
              <w:t>类型</w:t>
            </w:r>
          </w:p>
        </w:tc>
        <w:tc>
          <w:tcPr>
            <w:tcW w:w="709" w:type="dxa"/>
            <w:shd w:val="clear" w:color="auto" w:fill="auto"/>
            <w:vAlign w:val="center"/>
          </w:tcPr>
          <w:p>
            <w:pPr>
              <w:spacing w:before="20" w:after="20"/>
              <w:jc w:val="center"/>
              <w:rPr>
                <w:rFonts w:eastAsia="方正仿宋简体"/>
                <w:b/>
                <w:sz w:val="24"/>
                <w:szCs w:val="24"/>
              </w:rPr>
            </w:pPr>
            <w:r>
              <w:rPr>
                <w:rFonts w:eastAsia="方正仿宋简体"/>
                <w:b/>
                <w:sz w:val="24"/>
                <w:szCs w:val="24"/>
              </w:rPr>
              <w:t>长度</w:t>
            </w:r>
          </w:p>
        </w:tc>
        <w:tc>
          <w:tcPr>
            <w:tcW w:w="2785" w:type="dxa"/>
            <w:shd w:val="clear" w:color="auto" w:fill="auto"/>
            <w:vAlign w:val="center"/>
          </w:tcPr>
          <w:p>
            <w:pPr>
              <w:spacing w:before="20" w:after="20"/>
              <w:jc w:val="center"/>
              <w:rPr>
                <w:rFonts w:eastAsia="方正仿宋简体"/>
                <w:b/>
                <w:sz w:val="24"/>
                <w:szCs w:val="24"/>
              </w:rPr>
            </w:pPr>
            <w:r>
              <w:rPr>
                <w:rFonts w:eastAsia="方正仿宋简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JYRQ</w:t>
            </w:r>
          </w:p>
        </w:tc>
        <w:tc>
          <w:tcPr>
            <w:tcW w:w="2291" w:type="dxa"/>
            <w:vAlign w:val="center"/>
          </w:tcPr>
          <w:p>
            <w:pPr>
              <w:rPr>
                <w:rFonts w:eastAsia="方正仿宋简体"/>
                <w:sz w:val="24"/>
                <w:szCs w:val="24"/>
              </w:rPr>
            </w:pPr>
            <w:r>
              <w:rPr>
                <w:rFonts w:eastAsia="方正仿宋简体"/>
                <w:sz w:val="24"/>
                <w:szCs w:val="24"/>
              </w:rPr>
              <w:t>交易日期</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8</w:t>
            </w:r>
          </w:p>
        </w:tc>
        <w:tc>
          <w:tcPr>
            <w:tcW w:w="2785" w:type="dxa"/>
            <w:vAlign w:val="center"/>
          </w:tcPr>
          <w:p>
            <w:pPr>
              <w:rPr>
                <w:rFonts w:eastAsia="方正仿宋简体"/>
                <w:sz w:val="24"/>
                <w:szCs w:val="24"/>
              </w:rPr>
            </w:pPr>
            <w:r>
              <w:rPr>
                <w:rFonts w:eastAsia="方正仿宋简体"/>
                <w:sz w:val="24"/>
                <w:szCs w:val="24"/>
              </w:rPr>
              <w:t>格式：CCYYMMDD，即报送数据对应的交易日当日日期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KHMC</w:t>
            </w:r>
          </w:p>
        </w:tc>
        <w:tc>
          <w:tcPr>
            <w:tcW w:w="2291" w:type="dxa"/>
            <w:vAlign w:val="center"/>
          </w:tcPr>
          <w:p>
            <w:pPr>
              <w:rPr>
                <w:rFonts w:eastAsia="方正仿宋简体"/>
                <w:sz w:val="24"/>
                <w:szCs w:val="24"/>
              </w:rPr>
            </w:pPr>
            <w:r>
              <w:rPr>
                <w:rFonts w:eastAsia="方正仿宋简体"/>
                <w:sz w:val="24"/>
                <w:szCs w:val="24"/>
              </w:rPr>
              <w:t>投资者名称</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128</w:t>
            </w:r>
          </w:p>
        </w:tc>
        <w:tc>
          <w:tcPr>
            <w:tcW w:w="2785" w:type="dxa"/>
            <w:vAlign w:val="center"/>
          </w:tcPr>
          <w:p>
            <w:pPr>
              <w:rPr>
                <w:rFonts w:eastAsia="方正仿宋简体"/>
                <w:sz w:val="24"/>
                <w:szCs w:val="24"/>
              </w:rPr>
            </w:pPr>
            <w:r>
              <w:rPr>
                <w:rFonts w:eastAsia="方正仿宋简体"/>
                <w:sz w:val="24"/>
                <w:szCs w:val="24"/>
              </w:rPr>
              <w:t>投资者开户名称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KHHYZH</w:t>
            </w:r>
          </w:p>
        </w:tc>
        <w:tc>
          <w:tcPr>
            <w:tcW w:w="2291" w:type="dxa"/>
            <w:vAlign w:val="center"/>
          </w:tcPr>
          <w:p>
            <w:pPr>
              <w:rPr>
                <w:rFonts w:eastAsia="方正仿宋简体"/>
                <w:sz w:val="24"/>
                <w:szCs w:val="24"/>
              </w:rPr>
            </w:pPr>
            <w:r>
              <w:rPr>
                <w:rFonts w:eastAsia="方正仿宋简体"/>
                <w:sz w:val="24"/>
                <w:szCs w:val="24"/>
              </w:rPr>
              <w:t>衍生品合约账户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16</w:t>
            </w:r>
          </w:p>
        </w:tc>
        <w:tc>
          <w:tcPr>
            <w:tcW w:w="2785" w:type="dxa"/>
            <w:vAlign w:val="center"/>
          </w:tcPr>
          <w:p>
            <w:pPr>
              <w:rPr>
                <w:rFonts w:eastAsia="方正仿宋简体"/>
                <w:sz w:val="24"/>
                <w:szCs w:val="24"/>
              </w:rPr>
            </w:pPr>
            <w:r>
              <w:rPr>
                <w:rFonts w:eastAsia="方正仿宋简体"/>
                <w:sz w:val="24"/>
                <w:szCs w:val="24"/>
              </w:rPr>
              <w:t>投资者衍生品合约账户，参见说明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KHZQZH</w:t>
            </w:r>
          </w:p>
        </w:tc>
        <w:tc>
          <w:tcPr>
            <w:tcW w:w="2291" w:type="dxa"/>
            <w:vAlign w:val="center"/>
          </w:tcPr>
          <w:p>
            <w:pPr>
              <w:rPr>
                <w:rFonts w:eastAsia="方正仿宋简体"/>
                <w:sz w:val="24"/>
                <w:szCs w:val="24"/>
              </w:rPr>
            </w:pPr>
            <w:r>
              <w:rPr>
                <w:rFonts w:eastAsia="方正仿宋简体"/>
                <w:sz w:val="24"/>
                <w:szCs w:val="24"/>
              </w:rPr>
              <w:t>深市A股证券账户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10</w:t>
            </w:r>
          </w:p>
        </w:tc>
        <w:tc>
          <w:tcPr>
            <w:tcW w:w="2785" w:type="dxa"/>
            <w:vAlign w:val="center"/>
          </w:tcPr>
          <w:p>
            <w:pPr>
              <w:rPr>
                <w:rFonts w:eastAsia="方正仿宋简体"/>
                <w:sz w:val="24"/>
                <w:szCs w:val="24"/>
              </w:rPr>
            </w:pPr>
            <w:r>
              <w:rPr>
                <w:rFonts w:eastAsia="方正仿宋简体"/>
                <w:sz w:val="24"/>
                <w:szCs w:val="24"/>
              </w:rPr>
              <w:t>合约账户对应深市A股普通证券账户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rPr>
                <w:rFonts w:eastAsia="方正仿宋简体"/>
                <w:sz w:val="24"/>
                <w:szCs w:val="24"/>
              </w:rPr>
            </w:pPr>
            <w:r>
              <w:rPr>
                <w:rFonts w:eastAsia="方正仿宋简体"/>
                <w:sz w:val="24"/>
                <w:szCs w:val="24"/>
              </w:rPr>
              <w:t>KHJSZH</w:t>
            </w:r>
          </w:p>
        </w:tc>
        <w:tc>
          <w:tcPr>
            <w:tcW w:w="2291" w:type="dxa"/>
            <w:vAlign w:val="center"/>
          </w:tcPr>
          <w:p>
            <w:pPr>
              <w:rPr>
                <w:rFonts w:eastAsia="方正仿宋简体"/>
                <w:sz w:val="24"/>
                <w:szCs w:val="24"/>
              </w:rPr>
            </w:pPr>
            <w:r>
              <w:rPr>
                <w:rFonts w:eastAsia="方正仿宋简体"/>
                <w:sz w:val="24"/>
                <w:szCs w:val="24"/>
              </w:rPr>
              <w:t>深市衍生品结算账户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6</w:t>
            </w:r>
          </w:p>
        </w:tc>
        <w:tc>
          <w:tcPr>
            <w:tcW w:w="2785" w:type="dxa"/>
            <w:vAlign w:val="center"/>
          </w:tcPr>
          <w:p>
            <w:pPr>
              <w:rPr>
                <w:rFonts w:eastAsia="方正仿宋简体"/>
                <w:sz w:val="24"/>
                <w:szCs w:val="24"/>
              </w:rPr>
            </w:pPr>
            <w:r>
              <w:rPr>
                <w:rFonts w:eastAsia="方正仿宋简体"/>
                <w:sz w:val="24"/>
                <w:szCs w:val="24"/>
              </w:rPr>
              <w:t>中国结算为结算参与人配置的衍生品结算账户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KHXYZH</w:t>
            </w:r>
          </w:p>
        </w:tc>
        <w:tc>
          <w:tcPr>
            <w:tcW w:w="2291" w:type="dxa"/>
            <w:vAlign w:val="center"/>
          </w:tcPr>
          <w:p>
            <w:pPr>
              <w:rPr>
                <w:rFonts w:eastAsia="方正仿宋简体"/>
                <w:sz w:val="24"/>
                <w:szCs w:val="24"/>
              </w:rPr>
            </w:pPr>
            <w:r>
              <w:rPr>
                <w:rFonts w:eastAsia="方正仿宋简体"/>
                <w:sz w:val="24"/>
                <w:szCs w:val="24"/>
              </w:rPr>
              <w:t>深市信用证券账户</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10</w:t>
            </w:r>
          </w:p>
        </w:tc>
        <w:tc>
          <w:tcPr>
            <w:tcW w:w="2785" w:type="dxa"/>
            <w:vAlign w:val="center"/>
          </w:tcPr>
          <w:p>
            <w:pPr>
              <w:rPr>
                <w:rFonts w:eastAsia="方正仿宋简体"/>
                <w:sz w:val="24"/>
                <w:szCs w:val="24"/>
              </w:rPr>
            </w:pPr>
            <w:r>
              <w:rPr>
                <w:rFonts w:eastAsia="方正仿宋简体"/>
                <w:sz w:val="24"/>
                <w:szCs w:val="24"/>
              </w:rPr>
              <w:t>投资者深市信用（融资融券）证券账户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BZJZE</w:t>
            </w:r>
          </w:p>
        </w:tc>
        <w:tc>
          <w:tcPr>
            <w:tcW w:w="2291" w:type="dxa"/>
            <w:vAlign w:val="center"/>
          </w:tcPr>
          <w:p>
            <w:pPr>
              <w:rPr>
                <w:rFonts w:eastAsia="方正仿宋简体"/>
                <w:sz w:val="24"/>
                <w:szCs w:val="24"/>
              </w:rPr>
            </w:pPr>
            <w:r>
              <w:rPr>
                <w:rFonts w:eastAsia="方正仿宋简体"/>
                <w:sz w:val="24"/>
                <w:szCs w:val="24"/>
              </w:rPr>
              <w:t>衍生品资金账户保证金总额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当日投资者衍生品资金账户保证金总额，单位：元，精确到分，人民币计价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BZJWCJE</w:t>
            </w:r>
          </w:p>
        </w:tc>
        <w:tc>
          <w:tcPr>
            <w:tcW w:w="2291" w:type="dxa"/>
            <w:vAlign w:val="center"/>
          </w:tcPr>
          <w:p>
            <w:pPr>
              <w:rPr>
                <w:rFonts w:eastAsia="方正仿宋简体"/>
                <w:sz w:val="24"/>
                <w:szCs w:val="24"/>
              </w:rPr>
            </w:pPr>
            <w:r>
              <w:rPr>
                <w:rFonts w:eastAsia="方正仿宋简体"/>
                <w:sz w:val="24"/>
                <w:szCs w:val="24"/>
              </w:rPr>
              <w:t>深市衍生品维持保证金金额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上一交易日结算后投资者衍生品维持保证金金额，按证券公司保证金水平计算，单位：元，精确到分，人民币计价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BZJKYYE</w:t>
            </w:r>
          </w:p>
        </w:tc>
        <w:tc>
          <w:tcPr>
            <w:tcW w:w="2291" w:type="dxa"/>
            <w:vAlign w:val="center"/>
          </w:tcPr>
          <w:p>
            <w:pPr>
              <w:rPr>
                <w:rFonts w:eastAsia="方正仿宋简体"/>
                <w:sz w:val="24"/>
                <w:szCs w:val="24"/>
              </w:rPr>
            </w:pPr>
            <w:r>
              <w:rPr>
                <w:rFonts w:eastAsia="方正仿宋简体"/>
                <w:sz w:val="24"/>
                <w:szCs w:val="24"/>
              </w:rPr>
              <w:t>衍生品资金账户可用保证金余额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上一交易日结算后投资者衍生品资金账户可用保证金余额，单位：元，精确到分，人民币计价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BZJCRJE</w:t>
            </w:r>
          </w:p>
        </w:tc>
        <w:tc>
          <w:tcPr>
            <w:tcW w:w="2291" w:type="dxa"/>
            <w:vAlign w:val="center"/>
          </w:tcPr>
          <w:p>
            <w:pPr>
              <w:rPr>
                <w:rFonts w:eastAsia="方正仿宋简体"/>
                <w:sz w:val="24"/>
                <w:szCs w:val="24"/>
              </w:rPr>
            </w:pPr>
            <w:r>
              <w:rPr>
                <w:rFonts w:eastAsia="方正仿宋简体"/>
                <w:sz w:val="24"/>
                <w:szCs w:val="24"/>
              </w:rPr>
              <w:t>衍生品资金账户当日资金划入划出净额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当日投资者衍生品资金账户资金划入划出净额，划入资金为正，划出资金为负，合并轧差计算，单位：元，精确到分，人民币计价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HYSZ</w:t>
            </w:r>
          </w:p>
        </w:tc>
        <w:tc>
          <w:tcPr>
            <w:tcW w:w="2291" w:type="dxa"/>
            <w:vAlign w:val="center"/>
          </w:tcPr>
          <w:p>
            <w:pPr>
              <w:rPr>
                <w:rFonts w:eastAsia="方正仿宋简体"/>
                <w:sz w:val="24"/>
                <w:szCs w:val="24"/>
              </w:rPr>
            </w:pPr>
            <w:r>
              <w:rPr>
                <w:rFonts w:eastAsia="方正仿宋简体"/>
                <w:sz w:val="24"/>
                <w:szCs w:val="24"/>
              </w:rPr>
              <w:t>衍生品合约市值权益</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上一交易日结算后投资者衍生品合约市值权益数据，深沪合计，单位：元，精确到分，人民币计价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ZQZHSZ</w:t>
            </w:r>
          </w:p>
        </w:tc>
        <w:tc>
          <w:tcPr>
            <w:tcW w:w="2291" w:type="dxa"/>
            <w:vAlign w:val="center"/>
          </w:tcPr>
          <w:p>
            <w:pPr>
              <w:rPr>
                <w:rFonts w:eastAsia="方正仿宋简体"/>
                <w:sz w:val="24"/>
                <w:szCs w:val="24"/>
              </w:rPr>
            </w:pPr>
            <w:r>
              <w:rPr>
                <w:rFonts w:eastAsia="方正仿宋简体"/>
                <w:sz w:val="24"/>
                <w:szCs w:val="24"/>
              </w:rPr>
              <w:t>证券账户市值总额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上一交易日结算后投资者证券账户市值总额，深沪合计，持有证券按照收盘价计算，精确到分，单位：元，精确到分，人民币计价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ZQZHZJYE</w:t>
            </w:r>
          </w:p>
        </w:tc>
        <w:tc>
          <w:tcPr>
            <w:tcW w:w="2291" w:type="dxa"/>
            <w:vAlign w:val="center"/>
          </w:tcPr>
          <w:p>
            <w:pPr>
              <w:rPr>
                <w:rFonts w:eastAsia="方正仿宋简体"/>
                <w:sz w:val="24"/>
                <w:szCs w:val="24"/>
              </w:rPr>
            </w:pPr>
            <w:r>
              <w:rPr>
                <w:rFonts w:eastAsia="方正仿宋简体"/>
                <w:sz w:val="24"/>
                <w:szCs w:val="24"/>
              </w:rPr>
              <w:t>证券资金账户可用资金余额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上一交易日结算后投资者证券资金账户可用资金余额，单位：元，精确到分，人民币计价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RZRQSZ</w:t>
            </w:r>
          </w:p>
        </w:tc>
        <w:tc>
          <w:tcPr>
            <w:tcW w:w="2291" w:type="dxa"/>
            <w:vAlign w:val="center"/>
          </w:tcPr>
          <w:p>
            <w:pPr>
              <w:rPr>
                <w:rFonts w:eastAsia="方正仿宋简体"/>
                <w:sz w:val="24"/>
                <w:szCs w:val="24"/>
              </w:rPr>
            </w:pPr>
            <w:r>
              <w:rPr>
                <w:rFonts w:eastAsia="方正仿宋简体"/>
                <w:sz w:val="24"/>
                <w:szCs w:val="24"/>
              </w:rPr>
              <w:t>融资融券账户证券总市值</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上一交易日结算后投资者融资融券账户证券总市值，深沪合计，持有证券按当日收盘价计算，单位：元，精确到分，人民币计价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RZRQZJ</w:t>
            </w:r>
          </w:p>
        </w:tc>
        <w:tc>
          <w:tcPr>
            <w:tcW w:w="2291" w:type="dxa"/>
            <w:vAlign w:val="center"/>
          </w:tcPr>
          <w:p>
            <w:pPr>
              <w:rPr>
                <w:rFonts w:eastAsia="方正仿宋简体"/>
                <w:sz w:val="24"/>
                <w:szCs w:val="24"/>
              </w:rPr>
            </w:pPr>
            <w:r>
              <w:rPr>
                <w:rFonts w:eastAsia="方正仿宋简体"/>
                <w:sz w:val="24"/>
                <w:szCs w:val="24"/>
              </w:rPr>
              <w:t>融资融券账户资金总额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上一交易日结算后投资者融资融券账户资金总额，单位：元，精确到分，人民币计价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RZZJ</w:t>
            </w:r>
          </w:p>
        </w:tc>
        <w:tc>
          <w:tcPr>
            <w:tcW w:w="2291" w:type="dxa"/>
            <w:vAlign w:val="center"/>
          </w:tcPr>
          <w:p>
            <w:pPr>
              <w:rPr>
                <w:rFonts w:eastAsia="方正仿宋简体"/>
                <w:sz w:val="24"/>
                <w:szCs w:val="24"/>
              </w:rPr>
            </w:pPr>
            <w:r>
              <w:rPr>
                <w:rFonts w:eastAsia="方正仿宋简体"/>
                <w:sz w:val="24"/>
                <w:szCs w:val="24"/>
              </w:rPr>
              <w:t>融资融券账户融入资金总额</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上一交易日结算后投资者融资融券账户融入资金总额，单位：元，精确到分，人民币计价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RQSZ</w:t>
            </w:r>
          </w:p>
        </w:tc>
        <w:tc>
          <w:tcPr>
            <w:tcW w:w="2291" w:type="dxa"/>
            <w:vAlign w:val="center"/>
          </w:tcPr>
          <w:p>
            <w:pPr>
              <w:rPr>
                <w:rFonts w:eastAsia="方正仿宋简体"/>
                <w:sz w:val="24"/>
                <w:szCs w:val="24"/>
              </w:rPr>
            </w:pPr>
            <w:r>
              <w:rPr>
                <w:rFonts w:eastAsia="方正仿宋简体"/>
                <w:sz w:val="24"/>
                <w:szCs w:val="24"/>
              </w:rPr>
              <w:t>融资融券账户融券总市值</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上一交易日结算后投资者融资融券账户融券总市值，深沪合计，持有证券按当日收盘价计算，单位：元，精确到分，人民币计价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KHJYJB</w:t>
            </w:r>
          </w:p>
        </w:tc>
        <w:tc>
          <w:tcPr>
            <w:tcW w:w="2291" w:type="dxa"/>
            <w:vAlign w:val="center"/>
          </w:tcPr>
          <w:p>
            <w:pPr>
              <w:rPr>
                <w:rFonts w:eastAsia="方正仿宋简体"/>
                <w:sz w:val="24"/>
                <w:szCs w:val="24"/>
              </w:rPr>
            </w:pPr>
            <w:r>
              <w:rPr>
                <w:rFonts w:eastAsia="方正仿宋简体"/>
                <w:sz w:val="24"/>
                <w:szCs w:val="24"/>
              </w:rPr>
              <w:t>投资者交易分级级别</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1</w:t>
            </w:r>
          </w:p>
        </w:tc>
        <w:tc>
          <w:tcPr>
            <w:tcW w:w="2785" w:type="dxa"/>
            <w:vAlign w:val="center"/>
          </w:tcPr>
          <w:p>
            <w:pPr>
              <w:rPr>
                <w:rFonts w:eastAsia="方正仿宋简体"/>
                <w:sz w:val="24"/>
                <w:szCs w:val="24"/>
              </w:rPr>
            </w:pPr>
            <w:r>
              <w:rPr>
                <w:rFonts w:eastAsia="方正仿宋简体"/>
                <w:sz w:val="24"/>
                <w:szCs w:val="24"/>
              </w:rPr>
              <w:t>当日投资者情况，参照投资者适当性指引中定义，自然人账户需填写</w:t>
            </w:r>
          </w:p>
          <w:p>
            <w:pPr>
              <w:rPr>
                <w:rFonts w:eastAsia="方正仿宋简体"/>
                <w:sz w:val="24"/>
                <w:szCs w:val="24"/>
              </w:rPr>
            </w:pPr>
            <w:r>
              <w:rPr>
                <w:rFonts w:hint="eastAsia" w:ascii="方正仿宋简体" w:eastAsia="方正仿宋简体"/>
                <w:sz w:val="24"/>
                <w:szCs w:val="24"/>
              </w:rPr>
              <w:t>“</w:t>
            </w:r>
            <w:r>
              <w:rPr>
                <w:rFonts w:eastAsia="方正仿宋简体"/>
                <w:sz w:val="24"/>
                <w:szCs w:val="24"/>
              </w:rPr>
              <w:t>1</w:t>
            </w:r>
            <w:r>
              <w:rPr>
                <w:rFonts w:hint="eastAsia" w:ascii="方正仿宋简体" w:eastAsia="方正仿宋简体"/>
                <w:sz w:val="24"/>
                <w:szCs w:val="24"/>
              </w:rPr>
              <w:t>”</w:t>
            </w:r>
            <w:r>
              <w:rPr>
                <w:rFonts w:eastAsia="方正仿宋简体"/>
                <w:sz w:val="24"/>
                <w:szCs w:val="24"/>
              </w:rPr>
              <w:t>=一级</w:t>
            </w:r>
          </w:p>
          <w:p>
            <w:pPr>
              <w:rPr>
                <w:rFonts w:eastAsia="方正仿宋简体"/>
                <w:sz w:val="24"/>
                <w:szCs w:val="24"/>
              </w:rPr>
            </w:pPr>
            <w:r>
              <w:rPr>
                <w:rFonts w:hint="eastAsia" w:ascii="方正仿宋简体" w:eastAsia="方正仿宋简体"/>
                <w:sz w:val="24"/>
                <w:szCs w:val="24"/>
              </w:rPr>
              <w:t>“</w:t>
            </w:r>
            <w:r>
              <w:rPr>
                <w:rFonts w:eastAsia="方正仿宋简体"/>
                <w:sz w:val="24"/>
                <w:szCs w:val="24"/>
              </w:rPr>
              <w:t>2</w:t>
            </w:r>
            <w:r>
              <w:rPr>
                <w:rFonts w:hint="eastAsia" w:ascii="方正仿宋简体" w:eastAsia="方正仿宋简体"/>
                <w:sz w:val="24"/>
                <w:szCs w:val="24"/>
              </w:rPr>
              <w:t>”</w:t>
            </w:r>
            <w:r>
              <w:rPr>
                <w:rFonts w:eastAsia="方正仿宋简体"/>
                <w:sz w:val="24"/>
                <w:szCs w:val="24"/>
              </w:rPr>
              <w:t>=二级</w:t>
            </w:r>
          </w:p>
          <w:p>
            <w:pPr>
              <w:rPr>
                <w:rFonts w:eastAsia="方正仿宋简体"/>
                <w:sz w:val="24"/>
                <w:szCs w:val="24"/>
              </w:rPr>
            </w:pPr>
            <w:r>
              <w:rPr>
                <w:rFonts w:hint="eastAsia" w:ascii="方正仿宋简体" w:eastAsia="方正仿宋简体"/>
                <w:sz w:val="24"/>
                <w:szCs w:val="24"/>
              </w:rPr>
              <w:t>“</w:t>
            </w:r>
            <w:r>
              <w:rPr>
                <w:rFonts w:eastAsia="方正仿宋简体"/>
                <w:sz w:val="24"/>
                <w:szCs w:val="24"/>
              </w:rPr>
              <w:t>3</w:t>
            </w:r>
            <w:r>
              <w:rPr>
                <w:rFonts w:hint="eastAsia" w:ascii="方正仿宋简体" w:eastAsia="方正仿宋简体"/>
                <w:sz w:val="24"/>
                <w:szCs w:val="24"/>
              </w:rPr>
              <w:t>”</w:t>
            </w:r>
            <w:r>
              <w:rPr>
                <w:rFonts w:eastAsia="方正仿宋简体"/>
                <w:sz w:val="24"/>
                <w:szCs w:val="24"/>
              </w:rPr>
              <w:t>=三级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KHXGED</w:t>
            </w:r>
          </w:p>
        </w:tc>
        <w:tc>
          <w:tcPr>
            <w:tcW w:w="2291" w:type="dxa"/>
            <w:vAlign w:val="center"/>
          </w:tcPr>
          <w:p>
            <w:pPr>
              <w:rPr>
                <w:rFonts w:eastAsia="方正仿宋简体"/>
                <w:sz w:val="24"/>
                <w:szCs w:val="24"/>
              </w:rPr>
            </w:pPr>
            <w:r>
              <w:rPr>
                <w:rFonts w:eastAsia="方正仿宋简体"/>
                <w:sz w:val="24"/>
                <w:szCs w:val="24"/>
              </w:rPr>
              <w:t>投资者限购可买入额度</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18,2</w:t>
            </w:r>
          </w:p>
        </w:tc>
        <w:tc>
          <w:tcPr>
            <w:tcW w:w="2785" w:type="dxa"/>
            <w:vAlign w:val="center"/>
          </w:tcPr>
          <w:p>
            <w:pPr>
              <w:rPr>
                <w:rFonts w:eastAsia="方正仿宋简体"/>
                <w:sz w:val="24"/>
                <w:szCs w:val="24"/>
              </w:rPr>
            </w:pPr>
            <w:r>
              <w:rPr>
                <w:rFonts w:eastAsia="方正仿宋简体"/>
                <w:sz w:val="24"/>
                <w:szCs w:val="24"/>
              </w:rPr>
              <w:t>当日个人投资者限购总金额额度（买入额度，包括已使用和未使用），单位：元，人民币计价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YMTH</w:t>
            </w:r>
          </w:p>
        </w:tc>
        <w:tc>
          <w:tcPr>
            <w:tcW w:w="2291" w:type="dxa"/>
            <w:vAlign w:val="center"/>
          </w:tcPr>
          <w:p>
            <w:pPr>
              <w:rPr>
                <w:rFonts w:eastAsia="方正仿宋简体"/>
                <w:sz w:val="24"/>
                <w:szCs w:val="24"/>
              </w:rPr>
            </w:pPr>
            <w:r>
              <w:rPr>
                <w:rFonts w:eastAsia="方正仿宋简体"/>
                <w:sz w:val="24"/>
                <w:szCs w:val="24"/>
              </w:rPr>
              <w:t>一码通账户号码</w:t>
            </w:r>
          </w:p>
        </w:tc>
        <w:tc>
          <w:tcPr>
            <w:tcW w:w="735" w:type="dxa"/>
            <w:vAlign w:val="center"/>
          </w:tcPr>
          <w:p>
            <w:pPr>
              <w:jc w:val="center"/>
              <w:rPr>
                <w:rFonts w:eastAsia="方正仿宋简体"/>
                <w:sz w:val="24"/>
                <w:szCs w:val="24"/>
              </w:rPr>
            </w:pPr>
            <w:r>
              <w:rPr>
                <w:rFonts w:eastAsia="方正仿宋简体"/>
                <w:sz w:val="24"/>
                <w:szCs w:val="24"/>
              </w:rPr>
              <w:t>N</w:t>
            </w:r>
          </w:p>
        </w:tc>
        <w:tc>
          <w:tcPr>
            <w:tcW w:w="709" w:type="dxa"/>
            <w:vAlign w:val="center"/>
          </w:tcPr>
          <w:p>
            <w:pPr>
              <w:jc w:val="center"/>
              <w:rPr>
                <w:rFonts w:eastAsia="方正仿宋简体"/>
                <w:sz w:val="24"/>
                <w:szCs w:val="24"/>
              </w:rPr>
            </w:pPr>
            <w:r>
              <w:rPr>
                <w:rFonts w:eastAsia="方正仿宋简体"/>
                <w:sz w:val="24"/>
                <w:szCs w:val="24"/>
              </w:rPr>
              <w:t>20</w:t>
            </w:r>
          </w:p>
        </w:tc>
        <w:tc>
          <w:tcPr>
            <w:tcW w:w="2785" w:type="dxa"/>
            <w:vAlign w:val="center"/>
          </w:tcPr>
          <w:p>
            <w:pPr>
              <w:rPr>
                <w:rFonts w:eastAsia="方正仿宋简体"/>
                <w:sz w:val="24"/>
                <w:szCs w:val="24"/>
              </w:rPr>
            </w:pPr>
            <w:r>
              <w:rPr>
                <w:rFonts w:eastAsia="方正仿宋简体"/>
                <w:sz w:val="24"/>
                <w:szCs w:val="24"/>
              </w:rPr>
              <w:t>中国结算为投资者配发的一码通账户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jc w:val="center"/>
        </w:trPr>
        <w:tc>
          <w:tcPr>
            <w:tcW w:w="776" w:type="dxa"/>
            <w:vAlign w:val="center"/>
          </w:tcPr>
          <w:p>
            <w:pPr>
              <w:pStyle w:val="58"/>
              <w:widowControl/>
              <w:numPr>
                <w:ilvl w:val="0"/>
                <w:numId w:val="108"/>
              </w:numPr>
              <w:ind w:left="0" w:right="-162" w:rightChars="-77" w:firstLine="0" w:firstLineChars="0"/>
              <w:jc w:val="center"/>
              <w:rPr>
                <w:rFonts w:eastAsia="方正仿宋简体"/>
                <w:sz w:val="24"/>
                <w:szCs w:val="24"/>
              </w:rPr>
            </w:pPr>
          </w:p>
        </w:tc>
        <w:tc>
          <w:tcPr>
            <w:tcW w:w="1378" w:type="dxa"/>
            <w:vAlign w:val="center"/>
          </w:tcPr>
          <w:p>
            <w:pPr>
              <w:jc w:val="left"/>
              <w:rPr>
                <w:rFonts w:eastAsia="方正仿宋简体"/>
                <w:sz w:val="24"/>
                <w:szCs w:val="24"/>
              </w:rPr>
            </w:pPr>
            <w:r>
              <w:rPr>
                <w:rFonts w:eastAsia="方正仿宋简体"/>
                <w:sz w:val="24"/>
                <w:szCs w:val="24"/>
              </w:rPr>
              <w:t>BLZD</w:t>
            </w:r>
          </w:p>
        </w:tc>
        <w:tc>
          <w:tcPr>
            <w:tcW w:w="2291" w:type="dxa"/>
            <w:vAlign w:val="center"/>
          </w:tcPr>
          <w:p>
            <w:pPr>
              <w:rPr>
                <w:rFonts w:eastAsia="方正仿宋简体"/>
                <w:sz w:val="24"/>
                <w:szCs w:val="24"/>
              </w:rPr>
            </w:pPr>
            <w:r>
              <w:rPr>
                <w:rFonts w:eastAsia="方正仿宋简体"/>
                <w:sz w:val="24"/>
                <w:szCs w:val="24"/>
              </w:rPr>
              <w:t>保留字段</w:t>
            </w:r>
          </w:p>
        </w:tc>
        <w:tc>
          <w:tcPr>
            <w:tcW w:w="735" w:type="dxa"/>
            <w:vAlign w:val="center"/>
          </w:tcPr>
          <w:p>
            <w:pPr>
              <w:jc w:val="center"/>
              <w:rPr>
                <w:rFonts w:eastAsia="方正仿宋简体"/>
                <w:sz w:val="24"/>
                <w:szCs w:val="24"/>
              </w:rPr>
            </w:pPr>
            <w:r>
              <w:rPr>
                <w:rFonts w:eastAsia="方正仿宋简体"/>
                <w:sz w:val="24"/>
                <w:szCs w:val="24"/>
              </w:rPr>
              <w:t>C</w:t>
            </w:r>
          </w:p>
        </w:tc>
        <w:tc>
          <w:tcPr>
            <w:tcW w:w="709" w:type="dxa"/>
            <w:vAlign w:val="center"/>
          </w:tcPr>
          <w:p>
            <w:pPr>
              <w:jc w:val="center"/>
              <w:rPr>
                <w:rFonts w:eastAsia="方正仿宋简体"/>
                <w:sz w:val="24"/>
                <w:szCs w:val="24"/>
              </w:rPr>
            </w:pPr>
            <w:r>
              <w:rPr>
                <w:rFonts w:eastAsia="方正仿宋简体"/>
                <w:sz w:val="24"/>
                <w:szCs w:val="24"/>
              </w:rPr>
              <w:t>2</w:t>
            </w:r>
          </w:p>
        </w:tc>
        <w:tc>
          <w:tcPr>
            <w:tcW w:w="2785" w:type="dxa"/>
            <w:vAlign w:val="center"/>
          </w:tcPr>
          <w:p>
            <w:pPr>
              <w:rPr>
                <w:rFonts w:eastAsia="方正仿宋简体"/>
                <w:sz w:val="24"/>
                <w:szCs w:val="24"/>
              </w:rPr>
            </w:pPr>
            <w:r>
              <w:rPr>
                <w:rFonts w:eastAsia="方正仿宋简体"/>
                <w:sz w:val="24"/>
                <w:szCs w:val="24"/>
              </w:rPr>
              <w:t>保留字段，暂时无业务含义，空格填充</w:t>
            </w:r>
          </w:p>
        </w:tc>
      </w:tr>
    </w:tbl>
    <w:p>
      <w:pPr>
        <w:spacing w:line="400" w:lineRule="exact"/>
        <w:rPr>
          <w:rFonts w:eastAsia="方正仿宋简体"/>
          <w:sz w:val="24"/>
        </w:rPr>
      </w:pPr>
      <w:r>
        <w:rPr>
          <w:rFonts w:eastAsia="方正仿宋简体"/>
          <w:sz w:val="24"/>
        </w:rPr>
        <w:t>说明：</w:t>
      </w:r>
    </w:p>
    <w:p>
      <w:pPr>
        <w:pStyle w:val="58"/>
        <w:numPr>
          <w:ilvl w:val="0"/>
          <w:numId w:val="109"/>
        </w:numPr>
        <w:spacing w:line="400" w:lineRule="exact"/>
        <w:ind w:left="0" w:firstLine="480"/>
        <w:contextualSpacing/>
        <w:rPr>
          <w:rFonts w:eastAsia="方正仿宋简体"/>
          <w:sz w:val="24"/>
        </w:rPr>
      </w:pPr>
      <w:r>
        <w:rPr>
          <w:rFonts w:eastAsia="方正仿宋简体"/>
          <w:sz w:val="24"/>
        </w:rPr>
        <w:t>数据按每个投资者一条记录的形式汇总统计报送，如单个投资者开立有多个衍生品合约账户，取开户时间最早的有效合约账户及其对应的A股证券账户；如投资者存在多个信用证券账户，取开户时间最早的有效信用证券账户。</w:t>
      </w:r>
    </w:p>
    <w:p>
      <w:pPr>
        <w:pStyle w:val="58"/>
        <w:numPr>
          <w:ilvl w:val="0"/>
          <w:numId w:val="109"/>
        </w:numPr>
        <w:spacing w:line="400" w:lineRule="exact"/>
        <w:ind w:left="0" w:firstLine="480"/>
        <w:contextualSpacing/>
        <w:rPr>
          <w:rFonts w:eastAsia="方正仿宋简体"/>
          <w:sz w:val="24"/>
        </w:rPr>
      </w:pPr>
      <w:r>
        <w:rPr>
          <w:rFonts w:eastAsia="方正仿宋简体"/>
          <w:sz w:val="24"/>
        </w:rPr>
        <w:t>数据文件采用DBF文件格式；</w:t>
      </w:r>
    </w:p>
    <w:p>
      <w:pPr>
        <w:pStyle w:val="58"/>
        <w:numPr>
          <w:ilvl w:val="0"/>
          <w:numId w:val="109"/>
        </w:numPr>
        <w:spacing w:line="400" w:lineRule="exact"/>
        <w:ind w:left="0" w:firstLine="480"/>
        <w:contextualSpacing/>
        <w:rPr>
          <w:rFonts w:eastAsia="方正仿宋简体"/>
          <w:sz w:val="24"/>
        </w:rPr>
      </w:pPr>
      <w:r>
        <w:rPr>
          <w:rFonts w:eastAsia="方正仿宋简体"/>
          <w:sz w:val="24"/>
        </w:rPr>
        <w:t>对于数值型字段，如果含小数部分，则字段长度包含小数点位；对于字符型字段，如无特别说明，字段内容要求左对齐，字段长度不得超过规定长度；</w:t>
      </w:r>
    </w:p>
    <w:p>
      <w:pPr>
        <w:pStyle w:val="58"/>
        <w:numPr>
          <w:ilvl w:val="0"/>
          <w:numId w:val="109"/>
        </w:numPr>
        <w:spacing w:line="400" w:lineRule="exact"/>
        <w:ind w:left="0" w:firstLine="480"/>
        <w:contextualSpacing/>
        <w:rPr>
          <w:rFonts w:eastAsia="方正仿宋简体"/>
          <w:sz w:val="24"/>
        </w:rPr>
      </w:pPr>
      <w:r>
        <w:rPr>
          <w:rFonts w:eastAsia="方正仿宋简体"/>
          <w:sz w:val="24"/>
        </w:rPr>
        <w:t>数据文件名采用形如</w:t>
      </w:r>
      <w:r>
        <w:rPr>
          <w:rFonts w:hint="eastAsia" w:ascii="方正仿宋简体" w:eastAsia="方正仿宋简体"/>
          <w:sz w:val="24"/>
        </w:rPr>
        <w:t>“</w:t>
      </w:r>
      <w:r>
        <w:rPr>
          <w:rFonts w:eastAsia="方正仿宋简体"/>
          <w:sz w:val="24"/>
        </w:rPr>
        <w:t>QQHGBS_XXXXXX_CCYYMMDD.dbf</w:t>
      </w:r>
      <w:r>
        <w:rPr>
          <w:rFonts w:hint="eastAsia" w:ascii="方正仿宋简体" w:eastAsia="方正仿宋简体"/>
          <w:sz w:val="24"/>
        </w:rPr>
        <w:t>”</w:t>
      </w:r>
      <w:r>
        <w:rPr>
          <w:rFonts w:eastAsia="方正仿宋简体"/>
          <w:sz w:val="24"/>
        </w:rPr>
        <w:t>的命名规范，其中CCYY、MM、DD对应报送日期的年、月、日；</w:t>
      </w:r>
      <w:r>
        <w:rPr>
          <w:rFonts w:hint="eastAsia" w:ascii="方正仿宋简体" w:eastAsia="方正仿宋简体"/>
          <w:sz w:val="24"/>
        </w:rPr>
        <w:t>“</w:t>
      </w:r>
      <w:r>
        <w:rPr>
          <w:rFonts w:eastAsia="方正仿宋简体"/>
          <w:sz w:val="24"/>
        </w:rPr>
        <w:t>.dbf</w:t>
      </w:r>
      <w:r>
        <w:rPr>
          <w:rFonts w:hint="eastAsia" w:ascii="方正仿宋简体" w:eastAsia="方正仿宋简体"/>
          <w:sz w:val="24"/>
        </w:rPr>
        <w:t>”</w:t>
      </w:r>
      <w:r>
        <w:rPr>
          <w:rFonts w:eastAsia="方正仿宋简体"/>
          <w:sz w:val="24"/>
        </w:rPr>
        <w:t>为文件扩展名。例如</w:t>
      </w:r>
      <w:r>
        <w:rPr>
          <w:rFonts w:eastAsia="方正仿宋简体"/>
          <w:sz w:val="24"/>
          <w:szCs w:val="24"/>
        </w:rPr>
        <w:t>：</w:t>
      </w:r>
      <w:r>
        <w:rPr>
          <w:rFonts w:eastAsia="方正仿宋简体"/>
          <w:sz w:val="24"/>
        </w:rPr>
        <w:t>报送日期为2015年6月1日</w:t>
      </w:r>
      <w:r>
        <w:rPr>
          <w:rFonts w:eastAsia="方正仿宋简体"/>
          <w:sz w:val="24"/>
          <w:szCs w:val="24"/>
        </w:rPr>
        <w:t>，</w:t>
      </w:r>
      <w:r>
        <w:rPr>
          <w:rFonts w:eastAsia="方正仿宋简体"/>
          <w:sz w:val="24"/>
        </w:rPr>
        <w:t>则对应报送的数据文件名为</w:t>
      </w:r>
      <w:r>
        <w:rPr>
          <w:rFonts w:hint="eastAsia" w:ascii="方正仿宋简体" w:eastAsia="方正仿宋简体"/>
          <w:sz w:val="24"/>
        </w:rPr>
        <w:t>“</w:t>
      </w:r>
      <w:r>
        <w:rPr>
          <w:rFonts w:eastAsia="方正仿宋简体"/>
          <w:sz w:val="24"/>
        </w:rPr>
        <w:t>QQHGBS_000100_20150601.dbf</w:t>
      </w:r>
      <w:r>
        <w:rPr>
          <w:rFonts w:hint="eastAsia" w:ascii="方正仿宋简体" w:eastAsia="方正仿宋简体"/>
          <w:sz w:val="24"/>
        </w:rPr>
        <w:t>”</w:t>
      </w:r>
      <w:r>
        <w:rPr>
          <w:rFonts w:eastAsia="方正仿宋简体"/>
          <w:sz w:val="24"/>
        </w:rPr>
        <w:t>；</w:t>
      </w:r>
    </w:p>
    <w:p>
      <w:pPr>
        <w:pStyle w:val="58"/>
        <w:numPr>
          <w:ilvl w:val="0"/>
          <w:numId w:val="109"/>
        </w:numPr>
        <w:spacing w:line="400" w:lineRule="exact"/>
        <w:ind w:left="0" w:firstLine="480"/>
        <w:contextualSpacing/>
        <w:rPr>
          <w:rFonts w:eastAsia="方正仿宋简体"/>
          <w:sz w:val="24"/>
        </w:rPr>
      </w:pPr>
      <w:r>
        <w:rPr>
          <w:rFonts w:eastAsia="方正仿宋简体"/>
          <w:sz w:val="24"/>
        </w:rPr>
        <w:t>当日资金划入划出净额=当日总资金划入金额-当日总资金划出金额。涉及多家银行的应合并计算；</w:t>
      </w:r>
    </w:p>
    <w:p>
      <w:pPr>
        <w:pStyle w:val="58"/>
        <w:numPr>
          <w:ilvl w:val="0"/>
          <w:numId w:val="109"/>
        </w:numPr>
        <w:spacing w:line="400" w:lineRule="exact"/>
        <w:ind w:left="0" w:firstLine="480" w:firstLineChars="0"/>
        <w:contextualSpacing/>
        <w:rPr>
          <w:rFonts w:eastAsia="方正仿宋简体"/>
          <w:sz w:val="24"/>
        </w:rPr>
      </w:pPr>
      <w:r>
        <w:rPr>
          <w:rFonts w:eastAsia="方正仿宋简体"/>
          <w:sz w:val="24"/>
        </w:rPr>
        <w:t>上一交易日衍生品资金账户可用保证金余额=上一交易日衍生品资金账户保证金总额-上一交易日衍生品维持保证金金额（深、沪证券市场及其他市场维持保证金合计）-其他原因冻结的保证金（如行权交收等）。</w:t>
      </w:r>
    </w:p>
    <w:p>
      <w:pPr>
        <w:pStyle w:val="58"/>
        <w:numPr>
          <w:ilvl w:val="0"/>
          <w:numId w:val="109"/>
        </w:numPr>
        <w:spacing w:line="400" w:lineRule="exact"/>
        <w:ind w:left="0" w:firstLine="480" w:firstLineChars="0"/>
        <w:contextualSpacing/>
        <w:rPr>
          <w:rFonts w:eastAsia="方正仿宋简体"/>
          <w:sz w:val="24"/>
        </w:rPr>
      </w:pPr>
      <w:r>
        <w:rPr>
          <w:rFonts w:eastAsia="方正仿宋简体"/>
          <w:sz w:val="24"/>
        </w:rPr>
        <w:t>衍生品合约市值权益=∑（合约结算价×权利仓张数×合约单位）-∑[合约结算价×义务仓张数（含备兑）×合约单位]。按所持有合约汇总。单位：元，保留两位小数。</w:t>
      </w:r>
    </w:p>
    <w:p>
      <w:pPr>
        <w:pStyle w:val="58"/>
        <w:ind w:firstLine="0" w:firstLineChars="0"/>
        <w:rPr>
          <w:rFonts w:eastAsia="方正仿宋简体"/>
          <w:bCs/>
          <w:sz w:val="30"/>
          <w:szCs w:val="30"/>
        </w:rPr>
      </w:pPr>
      <w:r>
        <w:rPr>
          <w:rFonts w:eastAsia="方正仿宋简体"/>
          <w:b/>
          <w:bCs/>
          <w:sz w:val="32"/>
          <w:szCs w:val="32"/>
        </w:rPr>
        <w:br w:type="page"/>
      </w:r>
      <w:bookmarkStart w:id="372" w:name="_Toc25049538"/>
      <w:r>
        <w:rPr>
          <w:rFonts w:eastAsia="方正仿宋简体"/>
          <w:bCs/>
          <w:sz w:val="30"/>
          <w:szCs w:val="30"/>
        </w:rPr>
        <w:t>附件10：股票期权业务程序化交易报备表</w:t>
      </w:r>
      <w:bookmarkEnd w:id="372"/>
      <w:r>
        <w:rPr>
          <w:rFonts w:hint="eastAsia" w:eastAsia="方正仿宋简体"/>
          <w:bCs/>
          <w:sz w:val="30"/>
          <w:szCs w:val="30"/>
          <w:lang w:eastAsia="zh-CN"/>
        </w:rPr>
        <w:t>样表</w:t>
      </w:r>
    </w:p>
    <w:tbl>
      <w:tblPr>
        <w:tblStyle w:val="34"/>
        <w:tblW w:w="10492" w:type="dxa"/>
        <w:tblInd w:w="-885" w:type="dxa"/>
        <w:tblLayout w:type="autofit"/>
        <w:tblCellMar>
          <w:top w:w="0" w:type="dxa"/>
          <w:left w:w="108" w:type="dxa"/>
          <w:bottom w:w="0" w:type="dxa"/>
          <w:right w:w="108" w:type="dxa"/>
        </w:tblCellMar>
      </w:tblPr>
      <w:tblGrid>
        <w:gridCol w:w="728"/>
        <w:gridCol w:w="1133"/>
        <w:gridCol w:w="833"/>
        <w:gridCol w:w="15"/>
        <w:gridCol w:w="566"/>
        <w:gridCol w:w="1274"/>
        <w:gridCol w:w="849"/>
        <w:gridCol w:w="566"/>
        <w:gridCol w:w="416"/>
        <w:gridCol w:w="220"/>
        <w:gridCol w:w="71"/>
        <w:gridCol w:w="1132"/>
        <w:gridCol w:w="283"/>
        <w:gridCol w:w="142"/>
        <w:gridCol w:w="2264"/>
      </w:tblGrid>
      <w:tr>
        <w:tblPrEx>
          <w:tblCellMar>
            <w:top w:w="0" w:type="dxa"/>
            <w:left w:w="108" w:type="dxa"/>
            <w:bottom w:w="0" w:type="dxa"/>
            <w:right w:w="108" w:type="dxa"/>
          </w:tblCellMar>
        </w:tblPrEx>
        <w:trPr>
          <w:trHeight w:val="270" w:hRule="atLeast"/>
        </w:trPr>
        <w:tc>
          <w:tcPr>
            <w:tcW w:w="2694"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ind w:right="-573" w:rightChars="-273"/>
              <w:jc w:val="left"/>
              <w:rPr>
                <w:rFonts w:eastAsia="方正仿宋简体"/>
                <w:kern w:val="0"/>
                <w:sz w:val="24"/>
                <w:szCs w:val="28"/>
              </w:rPr>
            </w:pPr>
            <w:r>
              <w:rPr>
                <w:rFonts w:eastAsia="方正仿宋简体"/>
                <w:kern w:val="0"/>
                <w:sz w:val="24"/>
                <w:szCs w:val="28"/>
              </w:rPr>
              <w:t>期权经营机构名称</w:t>
            </w:r>
          </w:p>
        </w:tc>
        <w:tc>
          <w:tcPr>
            <w:tcW w:w="3686" w:type="dxa"/>
            <w:gridSpan w:val="6"/>
            <w:tcBorders>
              <w:top w:val="single" w:color="auto" w:sz="4" w:space="0"/>
              <w:left w:val="nil"/>
              <w:bottom w:val="single" w:color="auto" w:sz="4" w:space="0"/>
              <w:right w:val="single" w:color="000000" w:sz="4" w:space="0"/>
            </w:tcBorders>
            <w:shd w:val="clear" w:color="auto" w:fill="auto"/>
            <w:noWrap/>
            <w:vAlign w:val="center"/>
          </w:tcPr>
          <w:p>
            <w:pPr>
              <w:widowControl/>
              <w:rPr>
                <w:rFonts w:eastAsia="方正仿宋简体"/>
                <w:kern w:val="0"/>
                <w:sz w:val="24"/>
                <w:szCs w:val="28"/>
              </w:rPr>
            </w:pPr>
          </w:p>
        </w:tc>
        <w:tc>
          <w:tcPr>
            <w:tcW w:w="1848" w:type="dxa"/>
            <w:gridSpan w:val="5"/>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eastAsia="方正仿宋简体"/>
                <w:kern w:val="0"/>
                <w:sz w:val="24"/>
                <w:szCs w:val="28"/>
              </w:rPr>
            </w:pPr>
            <w:r>
              <w:rPr>
                <w:rFonts w:eastAsia="方正仿宋简体"/>
                <w:kern w:val="0"/>
                <w:sz w:val="24"/>
                <w:szCs w:val="28"/>
              </w:rPr>
              <w:t>期权经营机构编码</w:t>
            </w:r>
          </w:p>
        </w:tc>
        <w:tc>
          <w:tcPr>
            <w:tcW w:w="2264" w:type="dxa"/>
            <w:tcBorders>
              <w:top w:val="single" w:color="auto" w:sz="4" w:space="0"/>
              <w:left w:val="nil"/>
              <w:bottom w:val="single" w:color="auto" w:sz="4" w:space="0"/>
              <w:right w:val="single" w:color="auto" w:sz="4" w:space="0"/>
            </w:tcBorders>
            <w:shd w:val="clear" w:color="auto" w:fill="auto"/>
            <w:noWrap/>
            <w:vAlign w:val="center"/>
          </w:tcPr>
          <w:p>
            <w:pPr>
              <w:widowControl/>
              <w:rPr>
                <w:rFonts w:eastAsia="方正仿宋简体"/>
                <w:kern w:val="0"/>
                <w:sz w:val="24"/>
                <w:szCs w:val="28"/>
              </w:rPr>
            </w:pPr>
          </w:p>
        </w:tc>
      </w:tr>
      <w:tr>
        <w:tblPrEx>
          <w:tblCellMar>
            <w:top w:w="0" w:type="dxa"/>
            <w:left w:w="108" w:type="dxa"/>
            <w:bottom w:w="0" w:type="dxa"/>
            <w:right w:w="108" w:type="dxa"/>
          </w:tblCellMar>
        </w:tblPrEx>
        <w:trPr>
          <w:trHeight w:val="270" w:hRule="atLeast"/>
        </w:trPr>
        <w:tc>
          <w:tcPr>
            <w:tcW w:w="2694"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ind w:right="-573" w:rightChars="-273"/>
              <w:jc w:val="left"/>
              <w:rPr>
                <w:rFonts w:eastAsia="方正仿宋简体"/>
                <w:kern w:val="0"/>
                <w:sz w:val="24"/>
                <w:szCs w:val="28"/>
              </w:rPr>
            </w:pPr>
            <w:r>
              <w:rPr>
                <w:rFonts w:eastAsia="方正仿宋简体"/>
                <w:kern w:val="0"/>
                <w:sz w:val="24"/>
                <w:szCs w:val="28"/>
              </w:rPr>
              <w:t>报备账户类型</w:t>
            </w:r>
          </w:p>
        </w:tc>
        <w:tc>
          <w:tcPr>
            <w:tcW w:w="3686" w:type="dxa"/>
            <w:gridSpan w:val="6"/>
            <w:tcBorders>
              <w:top w:val="single" w:color="auto" w:sz="4" w:space="0"/>
              <w:left w:val="nil"/>
              <w:bottom w:val="single" w:color="auto" w:sz="4" w:space="0"/>
              <w:right w:val="single" w:color="000000" w:sz="4" w:space="0"/>
            </w:tcBorders>
            <w:shd w:val="clear" w:color="auto" w:fill="auto"/>
            <w:noWrap/>
            <w:vAlign w:val="center"/>
          </w:tcPr>
          <w:p>
            <w:pPr>
              <w:pStyle w:val="58"/>
              <w:numPr>
                <w:ilvl w:val="0"/>
                <w:numId w:val="110"/>
              </w:numPr>
              <w:spacing w:before="156" w:beforeLines="50" w:after="156" w:afterLines="50"/>
              <w:ind w:firstLineChars="0"/>
              <w:rPr>
                <w:rFonts w:eastAsia="方正仿宋简体"/>
                <w:kern w:val="0"/>
                <w:sz w:val="24"/>
                <w:szCs w:val="28"/>
              </w:rPr>
            </w:pPr>
            <w:r>
              <w:rPr>
                <w:rFonts w:eastAsia="方正仿宋简体"/>
                <w:kern w:val="0"/>
                <w:sz w:val="24"/>
                <w:szCs w:val="28"/>
              </w:rPr>
              <w:t>首次报备</w:t>
            </w:r>
          </w:p>
          <w:p>
            <w:pPr>
              <w:pStyle w:val="58"/>
              <w:numPr>
                <w:ilvl w:val="0"/>
                <w:numId w:val="110"/>
              </w:numPr>
              <w:spacing w:before="156" w:beforeLines="50" w:after="156" w:afterLines="50"/>
              <w:ind w:firstLineChars="0"/>
              <w:rPr>
                <w:rFonts w:eastAsia="方正仿宋简体"/>
                <w:kern w:val="0"/>
                <w:sz w:val="24"/>
                <w:szCs w:val="28"/>
              </w:rPr>
            </w:pPr>
            <w:r>
              <w:rPr>
                <w:rFonts w:eastAsia="方正仿宋简体"/>
                <w:kern w:val="0"/>
                <w:sz w:val="24"/>
                <w:szCs w:val="28"/>
              </w:rPr>
              <w:t>变更报备</w:t>
            </w:r>
          </w:p>
          <w:p>
            <w:pPr>
              <w:pStyle w:val="58"/>
              <w:numPr>
                <w:ilvl w:val="0"/>
                <w:numId w:val="110"/>
              </w:numPr>
              <w:spacing w:before="156" w:beforeLines="50" w:after="156" w:afterLines="50"/>
              <w:ind w:firstLineChars="0"/>
              <w:rPr>
                <w:rFonts w:eastAsia="方正仿宋简体"/>
                <w:kern w:val="0"/>
                <w:sz w:val="24"/>
                <w:szCs w:val="28"/>
              </w:rPr>
            </w:pPr>
            <w:r>
              <w:rPr>
                <w:rFonts w:eastAsia="方正仿宋简体"/>
                <w:kern w:val="0"/>
                <w:sz w:val="24"/>
                <w:szCs w:val="28"/>
              </w:rPr>
              <w:t>撤销报备</w:t>
            </w:r>
          </w:p>
        </w:tc>
        <w:tc>
          <w:tcPr>
            <w:tcW w:w="1848" w:type="dxa"/>
            <w:gridSpan w:val="5"/>
            <w:tcBorders>
              <w:top w:val="single" w:color="auto" w:sz="4" w:space="0"/>
              <w:left w:val="nil"/>
              <w:bottom w:val="single" w:color="auto" w:sz="4" w:space="0"/>
              <w:right w:val="single" w:color="auto" w:sz="4" w:space="0"/>
            </w:tcBorders>
            <w:shd w:val="clear" w:color="auto" w:fill="auto"/>
            <w:noWrap/>
            <w:vAlign w:val="center"/>
          </w:tcPr>
          <w:p>
            <w:pPr>
              <w:widowControl/>
              <w:jc w:val="left"/>
              <w:rPr>
                <w:rFonts w:eastAsia="方正仿宋简体"/>
                <w:kern w:val="0"/>
                <w:sz w:val="24"/>
                <w:szCs w:val="28"/>
              </w:rPr>
            </w:pPr>
            <w:r>
              <w:rPr>
                <w:rFonts w:eastAsia="方正仿宋简体"/>
                <w:kern w:val="0"/>
                <w:sz w:val="24"/>
                <w:szCs w:val="28"/>
              </w:rPr>
              <w:t>报备账户类型</w:t>
            </w:r>
          </w:p>
        </w:tc>
        <w:tc>
          <w:tcPr>
            <w:tcW w:w="2264" w:type="dxa"/>
            <w:tcBorders>
              <w:top w:val="single" w:color="auto" w:sz="4" w:space="0"/>
              <w:left w:val="nil"/>
              <w:bottom w:val="single" w:color="auto" w:sz="4" w:space="0"/>
              <w:right w:val="single" w:color="auto" w:sz="4" w:space="0"/>
            </w:tcBorders>
            <w:shd w:val="clear" w:color="auto" w:fill="auto"/>
            <w:noWrap/>
            <w:vAlign w:val="center"/>
          </w:tcPr>
          <w:p>
            <w:pPr>
              <w:pStyle w:val="58"/>
              <w:numPr>
                <w:ilvl w:val="0"/>
                <w:numId w:val="110"/>
              </w:numPr>
              <w:spacing w:before="156" w:beforeLines="50" w:after="156" w:afterLines="50"/>
              <w:ind w:firstLineChars="0"/>
              <w:rPr>
                <w:rFonts w:eastAsia="方正仿宋简体"/>
                <w:kern w:val="0"/>
                <w:sz w:val="24"/>
                <w:szCs w:val="28"/>
              </w:rPr>
            </w:pPr>
            <w:r>
              <w:rPr>
                <w:rFonts w:eastAsia="方正仿宋简体"/>
                <w:kern w:val="0"/>
                <w:sz w:val="24"/>
                <w:szCs w:val="28"/>
              </w:rPr>
              <w:t>个人账户</w:t>
            </w:r>
          </w:p>
          <w:p>
            <w:pPr>
              <w:pStyle w:val="58"/>
              <w:numPr>
                <w:ilvl w:val="0"/>
                <w:numId w:val="110"/>
              </w:numPr>
              <w:spacing w:before="156" w:beforeLines="50" w:after="156" w:afterLines="50"/>
              <w:ind w:firstLineChars="0"/>
              <w:rPr>
                <w:rFonts w:eastAsia="方正仿宋简体"/>
                <w:kern w:val="0"/>
                <w:sz w:val="24"/>
                <w:szCs w:val="28"/>
              </w:rPr>
            </w:pPr>
            <w:r>
              <w:rPr>
                <w:rFonts w:eastAsia="方正仿宋简体"/>
                <w:kern w:val="0"/>
                <w:sz w:val="24"/>
                <w:szCs w:val="28"/>
              </w:rPr>
              <w:t>机构账户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492" w:type="dxa"/>
            <w:gridSpan w:val="15"/>
            <w:shd w:val="clear" w:color="auto" w:fill="EEECE1"/>
          </w:tcPr>
          <w:p>
            <w:pPr>
              <w:spacing w:before="156" w:beforeLines="50" w:after="156" w:afterLines="50"/>
              <w:jc w:val="center"/>
              <w:rPr>
                <w:rFonts w:eastAsia="方正仿宋简体"/>
                <w:b/>
                <w:sz w:val="24"/>
                <w:szCs w:val="24"/>
              </w:rPr>
            </w:pPr>
            <w:r>
              <w:rPr>
                <w:rFonts w:eastAsia="方正仿宋简体"/>
                <w:b/>
                <w:sz w:val="24"/>
                <w:szCs w:val="24"/>
              </w:rPr>
              <w:t>个人账户报备信息（个人账户填写）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账户名称</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r>
              <w:rPr>
                <w:rFonts w:eastAsia="方正仿宋简体"/>
                <w:sz w:val="24"/>
                <w:szCs w:val="24"/>
              </w:rPr>
              <w:t>合约账户</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两融账户</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身份证或开户有效证件</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r>
              <w:rPr>
                <w:rFonts w:eastAsia="方正仿宋简体"/>
                <w:sz w:val="24"/>
                <w:szCs w:val="24"/>
              </w:rPr>
              <w:t>交易单元</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联系电话</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r>
              <w:rPr>
                <w:rFonts w:eastAsia="方正仿宋简体"/>
                <w:sz w:val="24"/>
                <w:szCs w:val="24"/>
              </w:rPr>
              <w:t>电子邮箱</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Borders>
              <w:bottom w:val="single" w:color="auto" w:sz="4" w:space="0"/>
            </w:tcBorders>
          </w:tcPr>
          <w:p>
            <w:pPr>
              <w:spacing w:before="156" w:beforeLines="50" w:after="156" w:afterLines="50"/>
              <w:rPr>
                <w:rFonts w:eastAsia="方正仿宋简体"/>
                <w:sz w:val="24"/>
                <w:szCs w:val="24"/>
              </w:rPr>
            </w:pPr>
            <w:r>
              <w:rPr>
                <w:rFonts w:eastAsia="方正仿宋简体"/>
                <w:sz w:val="24"/>
                <w:szCs w:val="24"/>
              </w:rPr>
              <w:t>资金规模</w:t>
            </w:r>
          </w:p>
        </w:tc>
        <w:tc>
          <w:tcPr>
            <w:tcW w:w="2689" w:type="dxa"/>
            <w:gridSpan w:val="3"/>
            <w:tcBorders>
              <w:bottom w:val="single" w:color="auto" w:sz="4" w:space="0"/>
            </w:tcBorders>
          </w:tcPr>
          <w:p>
            <w:pPr>
              <w:spacing w:before="156" w:beforeLines="50" w:after="156" w:afterLines="50"/>
              <w:rPr>
                <w:rFonts w:eastAsia="方正仿宋简体"/>
                <w:sz w:val="24"/>
                <w:szCs w:val="24"/>
              </w:rPr>
            </w:pPr>
          </w:p>
        </w:tc>
        <w:tc>
          <w:tcPr>
            <w:tcW w:w="2405" w:type="dxa"/>
            <w:gridSpan w:val="5"/>
            <w:tcBorders>
              <w:bottom w:val="single" w:color="auto" w:sz="4" w:space="0"/>
            </w:tcBorders>
          </w:tcPr>
          <w:p>
            <w:pPr>
              <w:spacing w:before="156" w:beforeLines="50" w:after="156" w:afterLines="50"/>
              <w:rPr>
                <w:rFonts w:eastAsia="方正仿宋简体"/>
                <w:sz w:val="24"/>
                <w:szCs w:val="24"/>
              </w:rPr>
            </w:pPr>
            <w:r>
              <w:rPr>
                <w:rFonts w:eastAsia="方正仿宋简体"/>
                <w:sz w:val="24"/>
                <w:szCs w:val="24"/>
              </w:rPr>
              <w:t>资金来源</w:t>
            </w:r>
          </w:p>
        </w:tc>
        <w:tc>
          <w:tcPr>
            <w:tcW w:w="2689" w:type="dxa"/>
            <w:gridSpan w:val="3"/>
            <w:tcBorders>
              <w:bottom w:val="single" w:color="auto" w:sz="4" w:space="0"/>
            </w:tcBorders>
          </w:tcPr>
          <w:p>
            <w:pPr>
              <w:spacing w:before="156" w:beforeLines="50" w:after="156" w:afterLines="50"/>
              <w:rPr>
                <w:rFonts w:eastAsia="方正仿宋简体"/>
                <w:sz w:val="24"/>
                <w:szCs w:val="24"/>
              </w:rPr>
            </w:pPr>
            <w:r>
              <w:rPr>
                <w:rFonts w:eastAsia="方正仿宋简体"/>
                <w:sz w:val="24"/>
                <w:szCs w:val="28"/>
              </w:rPr>
              <w:t xml:space="preserve">□ </w:t>
            </w:r>
            <w:r>
              <w:rPr>
                <w:rFonts w:eastAsia="方正仿宋简体"/>
                <w:sz w:val="24"/>
                <w:szCs w:val="24"/>
              </w:rPr>
              <w:t>个人自有资金</w:t>
            </w:r>
          </w:p>
          <w:p>
            <w:pPr>
              <w:spacing w:before="156" w:beforeLines="50" w:after="156" w:afterLines="50"/>
              <w:rPr>
                <w:rFonts w:eastAsia="方正仿宋简体"/>
                <w:sz w:val="24"/>
                <w:szCs w:val="24"/>
              </w:rPr>
            </w:pPr>
            <w:r>
              <w:rPr>
                <w:rFonts w:eastAsia="方正仿宋简体"/>
                <w:sz w:val="24"/>
                <w:szCs w:val="28"/>
              </w:rPr>
              <w:t xml:space="preserve">□ </w:t>
            </w:r>
            <w:r>
              <w:rPr>
                <w:rFonts w:eastAsia="方正仿宋简体"/>
                <w:sz w:val="24"/>
                <w:szCs w:val="24"/>
              </w:rPr>
              <w:t>其他（请填写）</w:t>
            </w:r>
          </w:p>
          <w:p>
            <w:pPr>
              <w:spacing w:before="156" w:beforeLines="50" w:after="156" w:afterLines="50"/>
              <w:rPr>
                <w:rFonts w:eastAsia="方正仿宋简体"/>
                <w:sz w:val="24"/>
                <w:szCs w:val="24"/>
              </w:rPr>
            </w:pPr>
            <w:r>
              <w:rPr>
                <w:rFonts w:eastAsia="方正仿宋简体"/>
                <w:sz w:val="24"/>
                <w:szCs w:val="24"/>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492" w:type="dxa"/>
            <w:gridSpan w:val="15"/>
            <w:shd w:val="clear" w:color="auto" w:fill="EEECE1"/>
          </w:tcPr>
          <w:p>
            <w:pPr>
              <w:spacing w:before="156" w:beforeLines="50" w:after="156" w:afterLines="50"/>
              <w:jc w:val="center"/>
              <w:rPr>
                <w:rFonts w:eastAsia="方正仿宋简体"/>
                <w:b/>
                <w:sz w:val="24"/>
                <w:szCs w:val="24"/>
              </w:rPr>
            </w:pPr>
            <w:r>
              <w:rPr>
                <w:rFonts w:eastAsia="方正仿宋简体"/>
                <w:b/>
                <w:sz w:val="24"/>
                <w:szCs w:val="24"/>
              </w:rPr>
              <w:t>机构账户报备信息（机构账户填写）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账户名称</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r>
              <w:rPr>
                <w:rFonts w:eastAsia="方正仿宋简体"/>
                <w:sz w:val="24"/>
                <w:szCs w:val="24"/>
              </w:rPr>
              <w:t>合约账户</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两融账户</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r>
              <w:rPr>
                <w:rFonts w:eastAsia="方正仿宋简体"/>
                <w:sz w:val="24"/>
                <w:szCs w:val="24"/>
              </w:rPr>
              <w:t>期货账户</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组织机构代码</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r>
              <w:rPr>
                <w:rFonts w:eastAsia="方正仿宋简体"/>
                <w:sz w:val="24"/>
                <w:szCs w:val="24"/>
              </w:rPr>
              <w:t>交易单元</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联系人电话</w:t>
            </w:r>
          </w:p>
        </w:tc>
        <w:tc>
          <w:tcPr>
            <w:tcW w:w="2689" w:type="dxa"/>
            <w:gridSpan w:val="3"/>
          </w:tcPr>
          <w:p>
            <w:pPr>
              <w:spacing w:before="156" w:beforeLines="50" w:after="156" w:afterLines="50"/>
              <w:rPr>
                <w:rFonts w:eastAsia="方正仿宋简体"/>
                <w:sz w:val="24"/>
                <w:szCs w:val="24"/>
              </w:rPr>
            </w:pPr>
          </w:p>
        </w:tc>
        <w:tc>
          <w:tcPr>
            <w:tcW w:w="2405" w:type="dxa"/>
            <w:gridSpan w:val="5"/>
          </w:tcPr>
          <w:p>
            <w:pPr>
              <w:spacing w:before="156" w:beforeLines="50" w:after="156" w:afterLines="50"/>
              <w:rPr>
                <w:rFonts w:eastAsia="方正仿宋简体"/>
                <w:sz w:val="24"/>
                <w:szCs w:val="24"/>
              </w:rPr>
            </w:pPr>
            <w:r>
              <w:rPr>
                <w:rFonts w:eastAsia="方正仿宋简体"/>
                <w:sz w:val="24"/>
                <w:szCs w:val="24"/>
              </w:rPr>
              <w:t>联系人邮箱</w:t>
            </w:r>
          </w:p>
        </w:tc>
        <w:tc>
          <w:tcPr>
            <w:tcW w:w="2689" w:type="dxa"/>
            <w:gridSpan w:val="3"/>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账户类型</w:t>
            </w:r>
          </w:p>
        </w:tc>
        <w:tc>
          <w:tcPr>
            <w:tcW w:w="7783" w:type="dxa"/>
            <w:gridSpan w:val="11"/>
          </w:tcPr>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一般机构                         </w:t>
            </w:r>
            <w:r>
              <w:rPr>
                <w:rFonts w:eastAsia="方正仿宋简体"/>
                <w:sz w:val="24"/>
                <w:szCs w:val="28"/>
              </w:rPr>
              <w:t>□</w:t>
            </w:r>
            <w:r>
              <w:rPr>
                <w:rFonts w:eastAsia="方正仿宋简体"/>
                <w:sz w:val="24"/>
                <w:szCs w:val="24"/>
              </w:rPr>
              <w:t xml:space="preserve">券商自营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券商集合理财                     </w:t>
            </w:r>
            <w:r>
              <w:rPr>
                <w:rFonts w:eastAsia="方正仿宋简体"/>
                <w:sz w:val="24"/>
                <w:szCs w:val="28"/>
              </w:rPr>
              <w:t>□</w:t>
            </w:r>
            <w:r>
              <w:rPr>
                <w:rFonts w:eastAsia="方正仿宋简体"/>
                <w:sz w:val="24"/>
                <w:szCs w:val="24"/>
              </w:rPr>
              <w:t xml:space="preserve">公募基金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公募专户                         </w:t>
            </w:r>
            <w:r>
              <w:rPr>
                <w:rFonts w:eastAsia="方正仿宋简体"/>
                <w:sz w:val="24"/>
                <w:szCs w:val="28"/>
              </w:rPr>
              <w:t>□</w:t>
            </w:r>
            <w:r>
              <w:rPr>
                <w:rFonts w:eastAsia="方正仿宋简体"/>
                <w:sz w:val="24"/>
                <w:szCs w:val="24"/>
              </w:rPr>
              <w:t xml:space="preserve">保险产品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 xml:space="preserve">信托产品                         </w:t>
            </w:r>
            <w:r>
              <w:rPr>
                <w:rFonts w:eastAsia="方正仿宋简体"/>
                <w:sz w:val="24"/>
                <w:szCs w:val="28"/>
              </w:rPr>
              <w:t>□</w:t>
            </w:r>
            <w:r>
              <w:rPr>
                <w:rFonts w:eastAsia="方正仿宋简体"/>
                <w:sz w:val="24"/>
                <w:szCs w:val="24"/>
              </w:rPr>
              <w:t xml:space="preserve">私募基金                         </w:t>
            </w:r>
          </w:p>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szCs w:val="24"/>
              </w:rPr>
              <w:t>其他（请填写）</w:t>
            </w:r>
            <w:r>
              <w:rPr>
                <w:rFonts w:eastAsia="方正仿宋简体"/>
                <w:sz w:val="24"/>
                <w:szCs w:val="24"/>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2709" w:type="dxa"/>
            <w:gridSpan w:val="4"/>
            <w:vAlign w:val="center"/>
          </w:tcPr>
          <w:p>
            <w:pPr>
              <w:widowControl/>
              <w:jc w:val="left"/>
              <w:rPr>
                <w:rFonts w:eastAsia="方正仿宋简体"/>
                <w:color w:val="000000"/>
                <w:sz w:val="24"/>
                <w:szCs w:val="28"/>
              </w:rPr>
            </w:pPr>
            <w:r>
              <w:rPr>
                <w:rFonts w:eastAsia="方正仿宋简体"/>
                <w:color w:val="000000"/>
                <w:sz w:val="24"/>
                <w:szCs w:val="28"/>
              </w:rPr>
              <w:t>资产规模</w:t>
            </w:r>
          </w:p>
        </w:tc>
        <w:tc>
          <w:tcPr>
            <w:tcW w:w="3255" w:type="dxa"/>
            <w:gridSpan w:val="4"/>
          </w:tcPr>
          <w:p>
            <w:pPr>
              <w:widowControl/>
              <w:rPr>
                <w:rFonts w:eastAsia="方正仿宋简体"/>
                <w:color w:val="000000"/>
                <w:sz w:val="24"/>
                <w:szCs w:val="28"/>
              </w:rPr>
            </w:pPr>
          </w:p>
        </w:tc>
        <w:tc>
          <w:tcPr>
            <w:tcW w:w="2264" w:type="dxa"/>
            <w:gridSpan w:val="6"/>
            <w:vAlign w:val="center"/>
          </w:tcPr>
          <w:p>
            <w:pPr>
              <w:widowControl/>
              <w:jc w:val="left"/>
              <w:rPr>
                <w:rFonts w:eastAsia="方正仿宋简体"/>
                <w:color w:val="000000"/>
                <w:sz w:val="24"/>
                <w:szCs w:val="28"/>
              </w:rPr>
            </w:pPr>
            <w:r>
              <w:rPr>
                <w:rFonts w:eastAsia="方正仿宋简体"/>
                <w:color w:val="000000"/>
                <w:sz w:val="24"/>
                <w:szCs w:val="28"/>
              </w:rPr>
              <w:t>期权交易资金规模</w:t>
            </w:r>
          </w:p>
        </w:tc>
        <w:tc>
          <w:tcPr>
            <w:tcW w:w="2264" w:type="dxa"/>
          </w:tcPr>
          <w:p>
            <w:pPr>
              <w:pStyle w:val="58"/>
              <w:widowControl/>
              <w:ind w:left="360" w:firstLine="0" w:firstLineChars="0"/>
              <w:rPr>
                <w:rFonts w:eastAsia="方正仿宋简体"/>
                <w:color w:val="000000"/>
                <w:sz w:val="24"/>
                <w:szCs w:val="28"/>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trPr>
        <w:tc>
          <w:tcPr>
            <w:tcW w:w="2709" w:type="dxa"/>
            <w:gridSpan w:val="4"/>
          </w:tcPr>
          <w:p>
            <w:pPr>
              <w:spacing w:before="156" w:beforeLines="50" w:after="156" w:afterLines="50"/>
              <w:rPr>
                <w:rFonts w:eastAsia="方正仿宋简体"/>
                <w:sz w:val="24"/>
                <w:szCs w:val="24"/>
              </w:rPr>
            </w:pPr>
            <w:r>
              <w:rPr>
                <w:rFonts w:eastAsia="方正仿宋简体"/>
                <w:sz w:val="24"/>
                <w:szCs w:val="24"/>
              </w:rPr>
              <w:t>资金来源</w:t>
            </w:r>
          </w:p>
        </w:tc>
        <w:tc>
          <w:tcPr>
            <w:tcW w:w="7783" w:type="dxa"/>
            <w:gridSpan w:val="11"/>
          </w:tcPr>
          <w:p>
            <w:pPr>
              <w:spacing w:before="156" w:beforeLines="50" w:after="156" w:afterLines="50"/>
              <w:rPr>
                <w:rFonts w:eastAsia="方正仿宋简体"/>
                <w:sz w:val="24"/>
                <w:szCs w:val="24"/>
              </w:rPr>
            </w:pPr>
            <w:r>
              <w:rPr>
                <w:rFonts w:eastAsia="方正仿宋简体"/>
                <w:sz w:val="24"/>
                <w:szCs w:val="28"/>
              </w:rPr>
              <w:t>□</w:t>
            </w:r>
            <w:r>
              <w:rPr>
                <w:rFonts w:eastAsia="方正仿宋简体"/>
                <w:sz w:val="24"/>
              </w:rPr>
              <w:t>自有资金（一般法人）；</w:t>
            </w:r>
            <w:r>
              <w:rPr>
                <w:rFonts w:eastAsia="方正仿宋简体"/>
                <w:sz w:val="24"/>
                <w:szCs w:val="28"/>
              </w:rPr>
              <w:t>□</w:t>
            </w:r>
            <w:r>
              <w:rPr>
                <w:rFonts w:eastAsia="方正仿宋简体"/>
                <w:sz w:val="24"/>
              </w:rPr>
              <w:t>券商自营；</w:t>
            </w:r>
            <w:r>
              <w:rPr>
                <w:rFonts w:eastAsia="方正仿宋简体"/>
                <w:sz w:val="24"/>
                <w:szCs w:val="28"/>
              </w:rPr>
              <w:t>□公募基金；□私募基金；□证券公司定向计划</w:t>
            </w:r>
            <w:r>
              <w:rPr>
                <w:rFonts w:eastAsia="方正仿宋简体"/>
                <w:sz w:val="24"/>
              </w:rPr>
              <w:t>；</w:t>
            </w:r>
            <w:r>
              <w:rPr>
                <w:rFonts w:eastAsia="方正仿宋简体"/>
                <w:sz w:val="24"/>
                <w:szCs w:val="28"/>
              </w:rPr>
              <w:t>□证券公司集合计划</w:t>
            </w:r>
            <w:r>
              <w:rPr>
                <w:rFonts w:eastAsia="方正仿宋简体"/>
                <w:sz w:val="24"/>
              </w:rPr>
              <w:t>；</w:t>
            </w:r>
            <w:r>
              <w:rPr>
                <w:rFonts w:eastAsia="方正仿宋简体"/>
                <w:sz w:val="24"/>
                <w:szCs w:val="28"/>
              </w:rPr>
              <w:t>□</w:t>
            </w:r>
            <w:r>
              <w:rPr>
                <w:rFonts w:eastAsia="方正仿宋简体"/>
                <w:sz w:val="24"/>
              </w:rPr>
              <w:t>基金公司特定客户资管计划；</w:t>
            </w:r>
            <w:r>
              <w:rPr>
                <w:rFonts w:eastAsia="方正仿宋简体"/>
                <w:sz w:val="24"/>
                <w:szCs w:val="28"/>
              </w:rPr>
              <w:t>□</w:t>
            </w:r>
            <w:r>
              <w:rPr>
                <w:rFonts w:eastAsia="方正仿宋简体"/>
                <w:sz w:val="24"/>
              </w:rPr>
              <w:t>商业银行理财产品；</w:t>
            </w:r>
            <w:r>
              <w:rPr>
                <w:rFonts w:eastAsia="方正仿宋简体"/>
                <w:sz w:val="24"/>
                <w:szCs w:val="28"/>
              </w:rPr>
              <w:t>□</w:t>
            </w:r>
            <w:r>
              <w:rPr>
                <w:rFonts w:eastAsia="方正仿宋简体"/>
                <w:sz w:val="24"/>
              </w:rPr>
              <w:t>保险公司资管计划；</w:t>
            </w:r>
            <w:r>
              <w:rPr>
                <w:rFonts w:eastAsia="方正仿宋简体"/>
                <w:sz w:val="24"/>
                <w:szCs w:val="28"/>
              </w:rPr>
              <w:t>□</w:t>
            </w:r>
            <w:r>
              <w:rPr>
                <w:rFonts w:eastAsia="方正仿宋简体"/>
                <w:sz w:val="24"/>
              </w:rPr>
              <w:t>保险产品；</w:t>
            </w:r>
            <w:r>
              <w:rPr>
                <w:rFonts w:eastAsia="方正仿宋简体"/>
                <w:sz w:val="24"/>
                <w:szCs w:val="28"/>
              </w:rPr>
              <w:t>□</w:t>
            </w:r>
            <w:r>
              <w:rPr>
                <w:rFonts w:eastAsia="方正仿宋简体"/>
                <w:sz w:val="24"/>
              </w:rPr>
              <w:t>信托产品；</w:t>
            </w:r>
            <w:r>
              <w:rPr>
                <w:rFonts w:eastAsia="方正仿宋简体"/>
                <w:sz w:val="24"/>
                <w:szCs w:val="28"/>
              </w:rPr>
              <w:t>□</w:t>
            </w:r>
            <w:r>
              <w:rPr>
                <w:rFonts w:eastAsia="方正仿宋简体"/>
                <w:sz w:val="24"/>
              </w:rPr>
              <w:t>期货公司资管计划；</w:t>
            </w:r>
            <w:r>
              <w:rPr>
                <w:rFonts w:eastAsia="方正仿宋简体"/>
                <w:sz w:val="24"/>
                <w:szCs w:val="28"/>
              </w:rPr>
              <w:t>□</w:t>
            </w:r>
            <w:r>
              <w:rPr>
                <w:rFonts w:eastAsia="方正仿宋简体"/>
                <w:sz w:val="24"/>
              </w:rPr>
              <w:t>QFII；</w:t>
            </w:r>
            <w:r>
              <w:rPr>
                <w:rFonts w:eastAsia="方正仿宋简体"/>
                <w:sz w:val="24"/>
                <w:szCs w:val="28"/>
              </w:rPr>
              <w:t>□</w:t>
            </w:r>
            <w:r>
              <w:rPr>
                <w:rFonts w:eastAsia="方正仿宋简体"/>
                <w:sz w:val="24"/>
              </w:rPr>
              <w:t>RQFII；</w:t>
            </w:r>
            <w:r>
              <w:rPr>
                <w:rFonts w:eastAsia="方正仿宋简体"/>
                <w:sz w:val="24"/>
                <w:szCs w:val="28"/>
              </w:rPr>
              <w:t>□</w:t>
            </w:r>
            <w:r>
              <w:rPr>
                <w:rFonts w:eastAsia="方正仿宋简体"/>
                <w:sz w:val="24"/>
              </w:rPr>
              <w:t>企业年金；</w:t>
            </w:r>
            <w:r>
              <w:rPr>
                <w:rFonts w:eastAsia="方正仿宋简体"/>
                <w:sz w:val="24"/>
                <w:szCs w:val="28"/>
              </w:rPr>
              <w:t>□</w:t>
            </w:r>
            <w:r>
              <w:rPr>
                <w:rFonts w:eastAsia="方正仿宋简体"/>
                <w:sz w:val="24"/>
              </w:rPr>
              <w:t>其他</w:t>
            </w:r>
            <w:r>
              <w:rPr>
                <w:rFonts w:eastAsia="方正仿宋简体"/>
                <w:sz w:val="24"/>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8" w:hRule="atLeast"/>
        </w:trPr>
        <w:tc>
          <w:tcPr>
            <w:tcW w:w="2709" w:type="dxa"/>
            <w:gridSpan w:val="4"/>
            <w:vAlign w:val="center"/>
          </w:tcPr>
          <w:p>
            <w:pPr>
              <w:widowControl/>
              <w:jc w:val="left"/>
              <w:rPr>
                <w:rFonts w:eastAsia="方正仿宋简体"/>
                <w:color w:val="000000"/>
                <w:sz w:val="24"/>
                <w:szCs w:val="28"/>
              </w:rPr>
            </w:pPr>
            <w:r>
              <w:rPr>
                <w:rFonts w:eastAsia="方正仿宋简体"/>
                <w:color w:val="000000"/>
                <w:sz w:val="24"/>
                <w:szCs w:val="28"/>
              </w:rPr>
              <w:t>资金是否使用杠杆</w:t>
            </w:r>
          </w:p>
        </w:tc>
        <w:tc>
          <w:tcPr>
            <w:tcW w:w="3255" w:type="dxa"/>
            <w:gridSpan w:val="4"/>
          </w:tcPr>
          <w:p>
            <w:pPr>
              <w:widowControl/>
              <w:rPr>
                <w:rFonts w:eastAsia="方正仿宋简体"/>
                <w:color w:val="000000"/>
                <w:sz w:val="24"/>
                <w:szCs w:val="28"/>
              </w:rPr>
            </w:pPr>
          </w:p>
        </w:tc>
        <w:tc>
          <w:tcPr>
            <w:tcW w:w="2264" w:type="dxa"/>
            <w:gridSpan w:val="6"/>
            <w:vAlign w:val="center"/>
          </w:tcPr>
          <w:p>
            <w:pPr>
              <w:widowControl/>
              <w:jc w:val="left"/>
              <w:rPr>
                <w:rFonts w:eastAsia="方正仿宋简体"/>
                <w:color w:val="000000"/>
                <w:sz w:val="24"/>
                <w:szCs w:val="28"/>
              </w:rPr>
            </w:pPr>
            <w:r>
              <w:rPr>
                <w:rFonts w:eastAsia="方正仿宋简体"/>
                <w:color w:val="000000"/>
                <w:sz w:val="24"/>
                <w:szCs w:val="28"/>
              </w:rPr>
              <w:t>资金杠杆倍数</w:t>
            </w:r>
          </w:p>
        </w:tc>
        <w:tc>
          <w:tcPr>
            <w:tcW w:w="2264" w:type="dxa"/>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Borders>
              <w:bottom w:val="single" w:color="auto" w:sz="4" w:space="0"/>
            </w:tcBorders>
            <w:vAlign w:val="center"/>
          </w:tcPr>
          <w:p>
            <w:pPr>
              <w:widowControl/>
              <w:jc w:val="left"/>
              <w:rPr>
                <w:rFonts w:eastAsia="方正仿宋简体"/>
                <w:color w:val="000000"/>
                <w:sz w:val="24"/>
                <w:szCs w:val="28"/>
              </w:rPr>
            </w:pPr>
            <w:r>
              <w:rPr>
                <w:rFonts w:eastAsia="方正仿宋简体"/>
                <w:color w:val="000000"/>
                <w:sz w:val="24"/>
                <w:szCs w:val="28"/>
              </w:rPr>
              <w:t>企业性质</w:t>
            </w:r>
          </w:p>
        </w:tc>
        <w:tc>
          <w:tcPr>
            <w:tcW w:w="3255" w:type="dxa"/>
            <w:gridSpan w:val="4"/>
            <w:tcBorders>
              <w:bottom w:val="single" w:color="auto" w:sz="4" w:space="0"/>
            </w:tcBorders>
          </w:tcPr>
          <w:p>
            <w:pPr>
              <w:pStyle w:val="58"/>
              <w:widowControl/>
              <w:numPr>
                <w:ilvl w:val="0"/>
                <w:numId w:val="111"/>
              </w:numPr>
              <w:ind w:firstLineChars="0"/>
              <w:rPr>
                <w:rFonts w:eastAsia="方正仿宋简体"/>
                <w:sz w:val="24"/>
              </w:rPr>
            </w:pPr>
            <w:r>
              <w:rPr>
                <w:rFonts w:eastAsia="方正仿宋简体"/>
                <w:sz w:val="24"/>
              </w:rPr>
              <w:t>国有企业</w:t>
            </w:r>
          </w:p>
          <w:p>
            <w:pPr>
              <w:pStyle w:val="58"/>
              <w:widowControl/>
              <w:numPr>
                <w:ilvl w:val="0"/>
                <w:numId w:val="111"/>
              </w:numPr>
              <w:ind w:firstLineChars="0"/>
              <w:rPr>
                <w:rFonts w:eastAsia="方正仿宋简体"/>
                <w:sz w:val="24"/>
              </w:rPr>
            </w:pPr>
            <w:r>
              <w:rPr>
                <w:rFonts w:eastAsia="方正仿宋简体"/>
                <w:sz w:val="24"/>
              </w:rPr>
              <w:t>国有控股</w:t>
            </w:r>
          </w:p>
          <w:p>
            <w:pPr>
              <w:pStyle w:val="58"/>
              <w:widowControl/>
              <w:numPr>
                <w:ilvl w:val="0"/>
                <w:numId w:val="111"/>
              </w:numPr>
              <w:ind w:firstLineChars="0"/>
              <w:rPr>
                <w:rFonts w:eastAsia="方正仿宋简体"/>
                <w:sz w:val="24"/>
              </w:rPr>
            </w:pPr>
            <w:r>
              <w:rPr>
                <w:rFonts w:eastAsia="方正仿宋简体"/>
                <w:sz w:val="24"/>
              </w:rPr>
              <w:t>合资企业</w:t>
            </w:r>
          </w:p>
          <w:p>
            <w:pPr>
              <w:pStyle w:val="58"/>
              <w:widowControl/>
              <w:numPr>
                <w:ilvl w:val="0"/>
                <w:numId w:val="111"/>
              </w:numPr>
              <w:ind w:firstLineChars="0"/>
              <w:rPr>
                <w:rFonts w:eastAsia="方正仿宋简体"/>
                <w:sz w:val="24"/>
              </w:rPr>
            </w:pPr>
            <w:r>
              <w:rPr>
                <w:rFonts w:eastAsia="方正仿宋简体"/>
                <w:sz w:val="24"/>
              </w:rPr>
              <w:t>私营企业</w:t>
            </w:r>
          </w:p>
          <w:p>
            <w:pPr>
              <w:pStyle w:val="58"/>
              <w:widowControl/>
              <w:numPr>
                <w:ilvl w:val="0"/>
                <w:numId w:val="111"/>
              </w:numPr>
              <w:ind w:firstLineChars="0"/>
              <w:rPr>
                <w:rFonts w:eastAsia="方正仿宋简体"/>
                <w:color w:val="000000"/>
                <w:sz w:val="24"/>
                <w:szCs w:val="28"/>
              </w:rPr>
            </w:pPr>
            <w:r>
              <w:rPr>
                <w:rFonts w:eastAsia="方正仿宋简体"/>
                <w:sz w:val="24"/>
              </w:rPr>
              <w:t xml:space="preserve">其他 (请填写)        </w:t>
            </w:r>
          </w:p>
        </w:tc>
        <w:tc>
          <w:tcPr>
            <w:tcW w:w="2264" w:type="dxa"/>
            <w:gridSpan w:val="6"/>
            <w:tcBorders>
              <w:bottom w:val="single" w:color="auto" w:sz="4" w:space="0"/>
            </w:tcBorders>
            <w:vAlign w:val="center"/>
          </w:tcPr>
          <w:p>
            <w:pPr>
              <w:widowControl/>
              <w:jc w:val="left"/>
              <w:rPr>
                <w:rFonts w:eastAsia="方正仿宋简体"/>
                <w:color w:val="000000"/>
                <w:sz w:val="24"/>
                <w:szCs w:val="28"/>
              </w:rPr>
            </w:pPr>
            <w:r>
              <w:rPr>
                <w:rFonts w:eastAsia="方正仿宋简体"/>
                <w:color w:val="000000"/>
                <w:sz w:val="24"/>
                <w:szCs w:val="28"/>
              </w:rPr>
              <w:t>实际控制人</w:t>
            </w:r>
          </w:p>
        </w:tc>
        <w:tc>
          <w:tcPr>
            <w:tcW w:w="2264" w:type="dxa"/>
            <w:tcBorders>
              <w:bottom w:val="single" w:color="auto" w:sz="4" w:space="0"/>
            </w:tcBorders>
          </w:tcPr>
          <w:p>
            <w:pPr>
              <w:pStyle w:val="58"/>
              <w:widowControl/>
              <w:numPr>
                <w:ilvl w:val="0"/>
                <w:numId w:val="111"/>
              </w:numPr>
              <w:ind w:firstLineChars="0"/>
              <w:rPr>
                <w:rFonts w:eastAsia="方正仿宋简体"/>
                <w:sz w:val="24"/>
              </w:rPr>
            </w:pPr>
            <w:r>
              <w:rPr>
                <w:rFonts w:eastAsia="方正仿宋简体"/>
                <w:sz w:val="24"/>
              </w:rPr>
              <w:t>国有</w:t>
            </w:r>
          </w:p>
          <w:p>
            <w:pPr>
              <w:pStyle w:val="58"/>
              <w:widowControl/>
              <w:numPr>
                <w:ilvl w:val="0"/>
                <w:numId w:val="111"/>
              </w:numPr>
              <w:ind w:firstLineChars="0"/>
              <w:rPr>
                <w:rFonts w:eastAsia="方正仿宋简体"/>
                <w:sz w:val="24"/>
              </w:rPr>
            </w:pPr>
            <w:r>
              <w:rPr>
                <w:rFonts w:eastAsia="方正仿宋简体"/>
                <w:sz w:val="24"/>
              </w:rPr>
              <w:t>私营</w:t>
            </w:r>
          </w:p>
          <w:p>
            <w:pPr>
              <w:pStyle w:val="58"/>
              <w:widowControl/>
              <w:numPr>
                <w:ilvl w:val="0"/>
                <w:numId w:val="111"/>
              </w:numPr>
              <w:ind w:firstLineChars="0"/>
              <w:rPr>
                <w:rFonts w:eastAsia="方正仿宋简体"/>
                <w:sz w:val="24"/>
              </w:rPr>
            </w:pPr>
            <w:r>
              <w:rPr>
                <w:rFonts w:eastAsia="方正仿宋简体"/>
                <w:sz w:val="24"/>
              </w:rPr>
              <w:t>外资</w:t>
            </w:r>
          </w:p>
          <w:p>
            <w:pPr>
              <w:pStyle w:val="58"/>
              <w:widowControl/>
              <w:numPr>
                <w:ilvl w:val="0"/>
                <w:numId w:val="111"/>
              </w:numPr>
              <w:ind w:firstLineChars="0"/>
              <w:rPr>
                <w:rFonts w:eastAsia="方正仿宋简体"/>
                <w:sz w:val="24"/>
              </w:rPr>
            </w:pPr>
            <w:r>
              <w:rPr>
                <w:rFonts w:eastAsia="方正仿宋简体"/>
                <w:sz w:val="24"/>
              </w:rPr>
              <w:t>其他(请填写)</w:t>
            </w:r>
          </w:p>
          <w:p>
            <w:pPr>
              <w:pStyle w:val="58"/>
              <w:widowControl/>
              <w:ind w:left="360" w:firstLine="0" w:firstLineChars="0"/>
              <w:rPr>
                <w:rFonts w:eastAsia="方正仿宋简体"/>
                <w:color w:val="000000"/>
                <w:sz w:val="24"/>
                <w:szCs w:val="28"/>
                <w:u w:val="single"/>
              </w:rPr>
            </w:pPr>
            <w:r>
              <w:rPr>
                <w:rFonts w:eastAsia="方正仿宋简体"/>
                <w:sz w:val="24"/>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trPr>
        <w:tc>
          <w:tcPr>
            <w:tcW w:w="10492" w:type="dxa"/>
            <w:gridSpan w:val="15"/>
            <w:shd w:val="clear" w:color="auto" w:fill="EEECE1"/>
            <w:vAlign w:val="center"/>
          </w:tcPr>
          <w:p>
            <w:pPr>
              <w:widowControl/>
              <w:jc w:val="center"/>
              <w:rPr>
                <w:rFonts w:eastAsia="方正仿宋简体"/>
                <w:b/>
                <w:color w:val="000000"/>
                <w:sz w:val="24"/>
                <w:szCs w:val="28"/>
              </w:rPr>
            </w:pPr>
            <w:r>
              <w:rPr>
                <w:rFonts w:eastAsia="方正仿宋简体"/>
                <w:b/>
                <w:sz w:val="24"/>
                <w:szCs w:val="24"/>
              </w:rPr>
              <w:t>机构账户主要交易员信息（机构账户填写）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trPr>
        <w:tc>
          <w:tcPr>
            <w:tcW w:w="728" w:type="dxa"/>
            <w:vAlign w:val="center"/>
          </w:tcPr>
          <w:p>
            <w:pPr>
              <w:widowControl/>
              <w:rPr>
                <w:rFonts w:eastAsia="方正仿宋简体"/>
                <w:color w:val="000000"/>
                <w:sz w:val="24"/>
                <w:szCs w:val="28"/>
              </w:rPr>
            </w:pPr>
            <w:r>
              <w:rPr>
                <w:rFonts w:eastAsia="方正仿宋简体"/>
                <w:color w:val="000000"/>
                <w:sz w:val="24"/>
                <w:szCs w:val="28"/>
              </w:rPr>
              <w:t>序号</w:t>
            </w:r>
          </w:p>
        </w:tc>
        <w:tc>
          <w:tcPr>
            <w:tcW w:w="1133" w:type="dxa"/>
            <w:vAlign w:val="center"/>
          </w:tcPr>
          <w:p>
            <w:pPr>
              <w:widowControl/>
              <w:rPr>
                <w:rFonts w:eastAsia="方正仿宋简体"/>
                <w:color w:val="000000"/>
                <w:sz w:val="24"/>
                <w:szCs w:val="28"/>
              </w:rPr>
            </w:pPr>
            <w:r>
              <w:rPr>
                <w:rFonts w:eastAsia="方正仿宋简体"/>
                <w:color w:val="000000"/>
                <w:sz w:val="24"/>
                <w:szCs w:val="28"/>
              </w:rPr>
              <w:t>名字</w:t>
            </w:r>
          </w:p>
        </w:tc>
        <w:tc>
          <w:tcPr>
            <w:tcW w:w="1414" w:type="dxa"/>
            <w:gridSpan w:val="3"/>
            <w:vAlign w:val="center"/>
          </w:tcPr>
          <w:p>
            <w:pPr>
              <w:widowControl/>
              <w:rPr>
                <w:rFonts w:eastAsia="方正仿宋简体"/>
                <w:color w:val="000000"/>
                <w:sz w:val="24"/>
                <w:szCs w:val="28"/>
              </w:rPr>
            </w:pPr>
            <w:r>
              <w:rPr>
                <w:rFonts w:eastAsia="方正仿宋简体"/>
                <w:color w:val="000000"/>
                <w:sz w:val="24"/>
                <w:szCs w:val="28"/>
              </w:rPr>
              <w:t>工作城市</w:t>
            </w:r>
          </w:p>
        </w:tc>
        <w:tc>
          <w:tcPr>
            <w:tcW w:w="1274" w:type="dxa"/>
            <w:vAlign w:val="center"/>
          </w:tcPr>
          <w:p>
            <w:pPr>
              <w:widowControl/>
              <w:rPr>
                <w:rFonts w:eastAsia="方正仿宋简体"/>
                <w:color w:val="000000"/>
                <w:sz w:val="24"/>
                <w:szCs w:val="28"/>
              </w:rPr>
            </w:pPr>
            <w:r>
              <w:rPr>
                <w:rFonts w:eastAsia="方正仿宋简体"/>
                <w:color w:val="000000"/>
                <w:sz w:val="24"/>
                <w:szCs w:val="28"/>
              </w:rPr>
              <w:t>工作年限</w:t>
            </w:r>
          </w:p>
        </w:tc>
        <w:tc>
          <w:tcPr>
            <w:tcW w:w="1415" w:type="dxa"/>
            <w:gridSpan w:val="2"/>
            <w:vAlign w:val="center"/>
          </w:tcPr>
          <w:p>
            <w:pPr>
              <w:widowControl/>
              <w:rPr>
                <w:rFonts w:eastAsia="方正仿宋简体"/>
                <w:color w:val="000000"/>
                <w:sz w:val="24"/>
                <w:szCs w:val="28"/>
              </w:rPr>
            </w:pPr>
            <w:r>
              <w:rPr>
                <w:rFonts w:eastAsia="方正仿宋简体"/>
                <w:color w:val="000000"/>
                <w:sz w:val="24"/>
                <w:szCs w:val="28"/>
              </w:rPr>
              <w:t>联系方式</w:t>
            </w:r>
          </w:p>
        </w:tc>
        <w:tc>
          <w:tcPr>
            <w:tcW w:w="1839" w:type="dxa"/>
            <w:gridSpan w:val="4"/>
            <w:vAlign w:val="center"/>
          </w:tcPr>
          <w:p>
            <w:pPr>
              <w:widowControl/>
              <w:rPr>
                <w:rFonts w:eastAsia="方正仿宋简体"/>
                <w:color w:val="000000"/>
                <w:sz w:val="24"/>
                <w:szCs w:val="28"/>
              </w:rPr>
            </w:pPr>
            <w:r>
              <w:rPr>
                <w:rFonts w:eastAsia="方正仿宋简体"/>
                <w:color w:val="000000"/>
                <w:sz w:val="24"/>
                <w:szCs w:val="28"/>
              </w:rPr>
              <w:t>是否有境外交易经历（是/否）</w:t>
            </w:r>
          </w:p>
        </w:tc>
        <w:tc>
          <w:tcPr>
            <w:tcW w:w="2689" w:type="dxa"/>
            <w:gridSpan w:val="3"/>
            <w:vAlign w:val="center"/>
          </w:tcPr>
          <w:p>
            <w:pPr>
              <w:widowControl/>
              <w:rPr>
                <w:rFonts w:eastAsia="方正仿宋简体"/>
                <w:color w:val="000000"/>
                <w:sz w:val="24"/>
                <w:szCs w:val="28"/>
              </w:rPr>
            </w:pPr>
            <w:r>
              <w:rPr>
                <w:rFonts w:eastAsia="方正仿宋简体"/>
                <w:color w:val="000000"/>
                <w:sz w:val="24"/>
                <w:szCs w:val="28"/>
              </w:rPr>
              <w:t>期权交易经历简介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28" w:type="dxa"/>
            <w:vAlign w:val="center"/>
          </w:tcPr>
          <w:p>
            <w:pPr>
              <w:widowControl/>
              <w:jc w:val="center"/>
              <w:rPr>
                <w:rFonts w:eastAsia="方正仿宋简体"/>
                <w:color w:val="000000"/>
                <w:sz w:val="24"/>
                <w:szCs w:val="28"/>
              </w:rPr>
            </w:pPr>
            <w:r>
              <w:rPr>
                <w:rFonts w:eastAsia="方正仿宋简体"/>
                <w:color w:val="000000"/>
                <w:sz w:val="24"/>
                <w:szCs w:val="28"/>
              </w:rPr>
              <w:t>1</w:t>
            </w:r>
          </w:p>
        </w:tc>
        <w:tc>
          <w:tcPr>
            <w:tcW w:w="1133" w:type="dxa"/>
            <w:vAlign w:val="center"/>
          </w:tcPr>
          <w:p>
            <w:pPr>
              <w:widowControl/>
              <w:rPr>
                <w:rFonts w:eastAsia="方正仿宋简体"/>
                <w:color w:val="000000"/>
                <w:sz w:val="24"/>
                <w:szCs w:val="28"/>
              </w:rPr>
            </w:pPr>
          </w:p>
        </w:tc>
        <w:tc>
          <w:tcPr>
            <w:tcW w:w="1414" w:type="dxa"/>
            <w:gridSpan w:val="3"/>
            <w:vAlign w:val="center"/>
          </w:tcPr>
          <w:p>
            <w:pPr>
              <w:widowControl/>
              <w:rPr>
                <w:rFonts w:eastAsia="方正仿宋简体"/>
                <w:color w:val="000000"/>
                <w:sz w:val="24"/>
                <w:szCs w:val="28"/>
              </w:rPr>
            </w:pPr>
          </w:p>
        </w:tc>
        <w:tc>
          <w:tcPr>
            <w:tcW w:w="1274" w:type="dxa"/>
            <w:vAlign w:val="center"/>
          </w:tcPr>
          <w:p>
            <w:pPr>
              <w:widowControl/>
              <w:rPr>
                <w:rFonts w:eastAsia="方正仿宋简体"/>
                <w:color w:val="000000"/>
                <w:sz w:val="24"/>
                <w:szCs w:val="28"/>
              </w:rPr>
            </w:pPr>
          </w:p>
        </w:tc>
        <w:tc>
          <w:tcPr>
            <w:tcW w:w="1415" w:type="dxa"/>
            <w:gridSpan w:val="2"/>
            <w:vAlign w:val="center"/>
          </w:tcPr>
          <w:p>
            <w:pPr>
              <w:widowControl/>
              <w:rPr>
                <w:rFonts w:eastAsia="方正仿宋简体"/>
                <w:color w:val="000000"/>
                <w:sz w:val="24"/>
                <w:szCs w:val="28"/>
              </w:rPr>
            </w:pPr>
          </w:p>
        </w:tc>
        <w:tc>
          <w:tcPr>
            <w:tcW w:w="1839" w:type="dxa"/>
            <w:gridSpan w:val="4"/>
            <w:vAlign w:val="center"/>
          </w:tcPr>
          <w:p>
            <w:pPr>
              <w:widowControl/>
              <w:rPr>
                <w:rFonts w:eastAsia="方正仿宋简体"/>
                <w:color w:val="000000"/>
                <w:sz w:val="24"/>
                <w:szCs w:val="28"/>
              </w:rPr>
            </w:pPr>
          </w:p>
        </w:tc>
        <w:tc>
          <w:tcPr>
            <w:tcW w:w="2689" w:type="dxa"/>
            <w:gridSpan w:val="3"/>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728" w:type="dxa"/>
            <w:vAlign w:val="center"/>
          </w:tcPr>
          <w:p>
            <w:pPr>
              <w:widowControl/>
              <w:jc w:val="center"/>
              <w:rPr>
                <w:rFonts w:eastAsia="方正仿宋简体"/>
                <w:color w:val="000000"/>
                <w:sz w:val="24"/>
                <w:szCs w:val="28"/>
              </w:rPr>
            </w:pPr>
            <w:r>
              <w:rPr>
                <w:rFonts w:eastAsia="方正仿宋简体"/>
                <w:color w:val="000000"/>
                <w:sz w:val="24"/>
                <w:szCs w:val="28"/>
              </w:rPr>
              <w:t>2</w:t>
            </w:r>
          </w:p>
        </w:tc>
        <w:tc>
          <w:tcPr>
            <w:tcW w:w="1133" w:type="dxa"/>
            <w:vAlign w:val="center"/>
          </w:tcPr>
          <w:p>
            <w:pPr>
              <w:widowControl/>
              <w:rPr>
                <w:rFonts w:eastAsia="方正仿宋简体"/>
                <w:color w:val="000000"/>
                <w:sz w:val="24"/>
                <w:szCs w:val="28"/>
              </w:rPr>
            </w:pPr>
          </w:p>
        </w:tc>
        <w:tc>
          <w:tcPr>
            <w:tcW w:w="1414" w:type="dxa"/>
            <w:gridSpan w:val="3"/>
            <w:vAlign w:val="center"/>
          </w:tcPr>
          <w:p>
            <w:pPr>
              <w:widowControl/>
              <w:rPr>
                <w:rFonts w:eastAsia="方正仿宋简体"/>
                <w:color w:val="000000"/>
                <w:sz w:val="24"/>
                <w:szCs w:val="28"/>
              </w:rPr>
            </w:pPr>
          </w:p>
        </w:tc>
        <w:tc>
          <w:tcPr>
            <w:tcW w:w="1274" w:type="dxa"/>
            <w:vAlign w:val="center"/>
          </w:tcPr>
          <w:p>
            <w:pPr>
              <w:widowControl/>
              <w:rPr>
                <w:rFonts w:eastAsia="方正仿宋简体"/>
                <w:color w:val="000000"/>
                <w:sz w:val="24"/>
                <w:szCs w:val="28"/>
              </w:rPr>
            </w:pPr>
          </w:p>
        </w:tc>
        <w:tc>
          <w:tcPr>
            <w:tcW w:w="1415" w:type="dxa"/>
            <w:gridSpan w:val="2"/>
            <w:vAlign w:val="center"/>
          </w:tcPr>
          <w:p>
            <w:pPr>
              <w:widowControl/>
              <w:rPr>
                <w:rFonts w:eastAsia="方正仿宋简体"/>
                <w:color w:val="000000"/>
                <w:sz w:val="24"/>
                <w:szCs w:val="28"/>
              </w:rPr>
            </w:pPr>
          </w:p>
        </w:tc>
        <w:tc>
          <w:tcPr>
            <w:tcW w:w="1839" w:type="dxa"/>
            <w:gridSpan w:val="4"/>
            <w:vAlign w:val="center"/>
          </w:tcPr>
          <w:p>
            <w:pPr>
              <w:widowControl/>
              <w:rPr>
                <w:rFonts w:eastAsia="方正仿宋简体"/>
                <w:color w:val="000000"/>
                <w:sz w:val="24"/>
                <w:szCs w:val="28"/>
              </w:rPr>
            </w:pPr>
          </w:p>
        </w:tc>
        <w:tc>
          <w:tcPr>
            <w:tcW w:w="2689" w:type="dxa"/>
            <w:gridSpan w:val="3"/>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728" w:type="dxa"/>
            <w:vAlign w:val="center"/>
          </w:tcPr>
          <w:p>
            <w:pPr>
              <w:widowControl/>
              <w:jc w:val="center"/>
              <w:rPr>
                <w:rFonts w:eastAsia="方正仿宋简体"/>
                <w:color w:val="000000"/>
                <w:sz w:val="24"/>
                <w:szCs w:val="28"/>
              </w:rPr>
            </w:pPr>
            <w:r>
              <w:rPr>
                <w:rFonts w:eastAsia="方正仿宋简体"/>
                <w:color w:val="000000"/>
                <w:sz w:val="24"/>
                <w:szCs w:val="28"/>
              </w:rPr>
              <w:t>3</w:t>
            </w:r>
          </w:p>
        </w:tc>
        <w:tc>
          <w:tcPr>
            <w:tcW w:w="1133" w:type="dxa"/>
            <w:vAlign w:val="center"/>
          </w:tcPr>
          <w:p>
            <w:pPr>
              <w:widowControl/>
              <w:rPr>
                <w:rFonts w:eastAsia="方正仿宋简体"/>
                <w:color w:val="000000"/>
                <w:sz w:val="24"/>
                <w:szCs w:val="28"/>
              </w:rPr>
            </w:pPr>
          </w:p>
        </w:tc>
        <w:tc>
          <w:tcPr>
            <w:tcW w:w="1414" w:type="dxa"/>
            <w:gridSpan w:val="3"/>
            <w:vAlign w:val="center"/>
          </w:tcPr>
          <w:p>
            <w:pPr>
              <w:widowControl/>
              <w:rPr>
                <w:rFonts w:eastAsia="方正仿宋简体"/>
                <w:color w:val="000000"/>
                <w:sz w:val="24"/>
                <w:szCs w:val="28"/>
              </w:rPr>
            </w:pPr>
          </w:p>
        </w:tc>
        <w:tc>
          <w:tcPr>
            <w:tcW w:w="1274" w:type="dxa"/>
            <w:vAlign w:val="center"/>
          </w:tcPr>
          <w:p>
            <w:pPr>
              <w:widowControl/>
              <w:rPr>
                <w:rFonts w:eastAsia="方正仿宋简体"/>
                <w:color w:val="000000"/>
                <w:sz w:val="24"/>
                <w:szCs w:val="28"/>
              </w:rPr>
            </w:pPr>
          </w:p>
        </w:tc>
        <w:tc>
          <w:tcPr>
            <w:tcW w:w="1415" w:type="dxa"/>
            <w:gridSpan w:val="2"/>
            <w:vAlign w:val="center"/>
          </w:tcPr>
          <w:p>
            <w:pPr>
              <w:widowControl/>
              <w:rPr>
                <w:rFonts w:eastAsia="方正仿宋简体"/>
                <w:color w:val="000000"/>
                <w:sz w:val="24"/>
                <w:szCs w:val="28"/>
              </w:rPr>
            </w:pPr>
          </w:p>
        </w:tc>
        <w:tc>
          <w:tcPr>
            <w:tcW w:w="1839" w:type="dxa"/>
            <w:gridSpan w:val="4"/>
            <w:vAlign w:val="center"/>
          </w:tcPr>
          <w:p>
            <w:pPr>
              <w:widowControl/>
              <w:rPr>
                <w:rFonts w:eastAsia="方正仿宋简体"/>
                <w:color w:val="000000"/>
                <w:sz w:val="24"/>
                <w:szCs w:val="28"/>
              </w:rPr>
            </w:pPr>
          </w:p>
        </w:tc>
        <w:tc>
          <w:tcPr>
            <w:tcW w:w="2689" w:type="dxa"/>
            <w:gridSpan w:val="3"/>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728" w:type="dxa"/>
            <w:tcBorders>
              <w:bottom w:val="single" w:color="auto" w:sz="4" w:space="0"/>
            </w:tcBorders>
            <w:vAlign w:val="center"/>
          </w:tcPr>
          <w:p>
            <w:pPr>
              <w:widowControl/>
              <w:jc w:val="center"/>
              <w:rPr>
                <w:rFonts w:eastAsia="方正仿宋简体"/>
                <w:color w:val="000000"/>
                <w:sz w:val="24"/>
                <w:szCs w:val="28"/>
              </w:rPr>
            </w:pPr>
            <w:r>
              <w:rPr>
                <w:rFonts w:eastAsia="方正仿宋简体"/>
                <w:color w:val="000000"/>
                <w:sz w:val="24"/>
                <w:szCs w:val="28"/>
              </w:rPr>
              <w:t>4</w:t>
            </w:r>
          </w:p>
        </w:tc>
        <w:tc>
          <w:tcPr>
            <w:tcW w:w="1133" w:type="dxa"/>
            <w:tcBorders>
              <w:bottom w:val="single" w:color="auto" w:sz="4" w:space="0"/>
            </w:tcBorders>
            <w:vAlign w:val="center"/>
          </w:tcPr>
          <w:p>
            <w:pPr>
              <w:widowControl/>
              <w:rPr>
                <w:rFonts w:eastAsia="方正仿宋简体"/>
                <w:color w:val="000000"/>
                <w:sz w:val="24"/>
                <w:szCs w:val="28"/>
              </w:rPr>
            </w:pPr>
          </w:p>
        </w:tc>
        <w:tc>
          <w:tcPr>
            <w:tcW w:w="1414" w:type="dxa"/>
            <w:gridSpan w:val="3"/>
            <w:tcBorders>
              <w:bottom w:val="single" w:color="auto" w:sz="4" w:space="0"/>
            </w:tcBorders>
            <w:vAlign w:val="center"/>
          </w:tcPr>
          <w:p>
            <w:pPr>
              <w:widowControl/>
              <w:rPr>
                <w:rFonts w:eastAsia="方正仿宋简体"/>
                <w:color w:val="000000"/>
                <w:sz w:val="24"/>
                <w:szCs w:val="28"/>
              </w:rPr>
            </w:pPr>
          </w:p>
        </w:tc>
        <w:tc>
          <w:tcPr>
            <w:tcW w:w="1274" w:type="dxa"/>
            <w:tcBorders>
              <w:bottom w:val="single" w:color="auto" w:sz="4" w:space="0"/>
            </w:tcBorders>
            <w:vAlign w:val="center"/>
          </w:tcPr>
          <w:p>
            <w:pPr>
              <w:widowControl/>
              <w:rPr>
                <w:rFonts w:eastAsia="方正仿宋简体"/>
                <w:color w:val="000000"/>
                <w:sz w:val="24"/>
                <w:szCs w:val="28"/>
              </w:rPr>
            </w:pPr>
          </w:p>
        </w:tc>
        <w:tc>
          <w:tcPr>
            <w:tcW w:w="1415" w:type="dxa"/>
            <w:gridSpan w:val="2"/>
            <w:tcBorders>
              <w:bottom w:val="single" w:color="auto" w:sz="4" w:space="0"/>
            </w:tcBorders>
            <w:vAlign w:val="center"/>
          </w:tcPr>
          <w:p>
            <w:pPr>
              <w:widowControl/>
              <w:rPr>
                <w:rFonts w:eastAsia="方正仿宋简体"/>
                <w:color w:val="000000"/>
                <w:sz w:val="24"/>
                <w:szCs w:val="28"/>
              </w:rPr>
            </w:pPr>
          </w:p>
        </w:tc>
        <w:tc>
          <w:tcPr>
            <w:tcW w:w="1839" w:type="dxa"/>
            <w:gridSpan w:val="4"/>
            <w:tcBorders>
              <w:bottom w:val="single" w:color="auto" w:sz="4" w:space="0"/>
            </w:tcBorders>
            <w:vAlign w:val="center"/>
          </w:tcPr>
          <w:p>
            <w:pPr>
              <w:widowControl/>
              <w:rPr>
                <w:rFonts w:eastAsia="方正仿宋简体"/>
                <w:color w:val="000000"/>
                <w:sz w:val="24"/>
                <w:szCs w:val="28"/>
              </w:rPr>
            </w:pPr>
          </w:p>
        </w:tc>
        <w:tc>
          <w:tcPr>
            <w:tcW w:w="2689" w:type="dxa"/>
            <w:gridSpan w:val="3"/>
            <w:tcBorders>
              <w:bottom w:val="single" w:color="auto" w:sz="4" w:space="0"/>
            </w:tcBorders>
            <w:vAlign w:val="center"/>
          </w:tcPr>
          <w:p>
            <w:pPr>
              <w:widowControl/>
              <w:rPr>
                <w:rFonts w:eastAsia="方正仿宋简体"/>
                <w:color w:val="00000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492" w:type="dxa"/>
            <w:gridSpan w:val="15"/>
            <w:shd w:val="clear" w:color="auto" w:fill="EEECE1"/>
          </w:tcPr>
          <w:p>
            <w:pPr>
              <w:spacing w:before="156" w:beforeLines="50" w:after="156" w:afterLines="50"/>
              <w:jc w:val="center"/>
              <w:rPr>
                <w:rFonts w:eastAsia="方正仿宋简体"/>
                <w:b/>
                <w:sz w:val="24"/>
                <w:szCs w:val="24"/>
              </w:rPr>
            </w:pPr>
            <w:r>
              <w:rPr>
                <w:rFonts w:eastAsia="方正仿宋简体"/>
                <w:b/>
                <w:sz w:val="24"/>
                <w:szCs w:val="24"/>
              </w:rPr>
              <w:t>程序化交易相关信息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4"/>
              </w:rPr>
              <w:t>交易系统服务器</w:t>
            </w:r>
          </w:p>
          <w:p>
            <w:pPr>
              <w:spacing w:before="156" w:beforeLines="50" w:after="156" w:afterLines="50"/>
              <w:rPr>
                <w:rFonts w:eastAsia="方正仿宋简体"/>
                <w:sz w:val="24"/>
                <w:szCs w:val="24"/>
              </w:rPr>
            </w:pPr>
            <w:r>
              <w:rPr>
                <w:rFonts w:eastAsia="方正仿宋简体"/>
                <w:sz w:val="24"/>
                <w:szCs w:val="24"/>
              </w:rPr>
              <w:t>所在城市</w:t>
            </w:r>
          </w:p>
        </w:tc>
        <w:tc>
          <w:tcPr>
            <w:tcW w:w="3255" w:type="dxa"/>
            <w:gridSpan w:val="4"/>
          </w:tcPr>
          <w:p>
            <w:pPr>
              <w:spacing w:before="156" w:beforeLines="50" w:after="156" w:afterLines="50"/>
              <w:rPr>
                <w:rFonts w:eastAsia="方正仿宋简体"/>
                <w:sz w:val="24"/>
                <w:szCs w:val="24"/>
              </w:rPr>
            </w:pPr>
          </w:p>
        </w:tc>
        <w:tc>
          <w:tcPr>
            <w:tcW w:w="2264" w:type="dxa"/>
            <w:gridSpan w:val="6"/>
          </w:tcPr>
          <w:p>
            <w:pPr>
              <w:spacing w:before="156" w:beforeLines="50" w:after="156" w:afterLines="50"/>
              <w:rPr>
                <w:rFonts w:eastAsia="方正仿宋简体"/>
                <w:sz w:val="24"/>
                <w:szCs w:val="24"/>
              </w:rPr>
            </w:pPr>
            <w:r>
              <w:rPr>
                <w:rFonts w:eastAsia="方正仿宋简体"/>
                <w:sz w:val="24"/>
                <w:szCs w:val="24"/>
              </w:rPr>
              <w:t>下单系统服务器</w:t>
            </w:r>
          </w:p>
          <w:p>
            <w:pPr>
              <w:spacing w:before="156" w:beforeLines="50" w:after="156" w:afterLines="50"/>
              <w:rPr>
                <w:rFonts w:eastAsia="方正仿宋简体"/>
                <w:sz w:val="24"/>
                <w:szCs w:val="24"/>
              </w:rPr>
            </w:pPr>
            <w:r>
              <w:rPr>
                <w:rFonts w:eastAsia="方正仿宋简体"/>
                <w:sz w:val="24"/>
                <w:szCs w:val="24"/>
              </w:rPr>
              <w:t>所在城市</w:t>
            </w:r>
          </w:p>
        </w:tc>
        <w:tc>
          <w:tcPr>
            <w:tcW w:w="2264" w:type="dxa"/>
          </w:tcPr>
          <w:p>
            <w:pPr>
              <w:spacing w:before="156" w:beforeLines="50" w:after="156" w:afterLines="50"/>
              <w:rPr>
                <w:rFonts w:eastAsia="方正仿宋简体"/>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trPr>
        <w:tc>
          <w:tcPr>
            <w:tcW w:w="2709" w:type="dxa"/>
            <w:gridSpan w:val="4"/>
            <w:vAlign w:val="center"/>
          </w:tcPr>
          <w:p>
            <w:pPr>
              <w:widowControl/>
              <w:jc w:val="left"/>
              <w:rPr>
                <w:rFonts w:eastAsia="方正仿宋简体"/>
                <w:sz w:val="24"/>
                <w:szCs w:val="28"/>
              </w:rPr>
            </w:pPr>
            <w:r>
              <w:rPr>
                <w:rFonts w:eastAsia="方正仿宋简体"/>
                <w:sz w:val="24"/>
                <w:szCs w:val="28"/>
              </w:rPr>
              <w:t>订单申报峰值</w:t>
            </w:r>
          </w:p>
        </w:tc>
        <w:tc>
          <w:tcPr>
            <w:tcW w:w="7783" w:type="dxa"/>
            <w:gridSpan w:val="11"/>
            <w:vAlign w:val="center"/>
          </w:tcPr>
          <w:p>
            <w:pPr>
              <w:widowControl/>
              <w:ind w:firstLine="360" w:firstLineChars="150"/>
              <w:jc w:val="left"/>
              <w:rPr>
                <w:rFonts w:eastAsia="方正仿宋简体"/>
                <w:sz w:val="24"/>
                <w:szCs w:val="28"/>
              </w:rPr>
            </w:pPr>
            <w:r>
              <w:rPr>
                <w:rFonts w:eastAsia="方正仿宋简体"/>
                <w:sz w:val="24"/>
                <w:szCs w:val="28"/>
                <w:u w:val="single"/>
              </w:rPr>
              <w:t xml:space="preserve">    </w:t>
            </w:r>
            <w:r>
              <w:rPr>
                <w:rFonts w:eastAsia="方正仿宋简体"/>
                <w:sz w:val="24"/>
                <w:szCs w:val="28"/>
              </w:rPr>
              <w:t>笔/每秒</w:t>
            </w:r>
          </w:p>
          <w:p>
            <w:pPr>
              <w:widowControl/>
              <w:ind w:firstLine="360" w:firstLineChars="150"/>
              <w:jc w:val="left"/>
              <w:rPr>
                <w:rFonts w:eastAsia="方正仿宋简体"/>
                <w:sz w:val="24"/>
                <w:szCs w:val="28"/>
              </w:rPr>
            </w:pPr>
            <w:r>
              <w:rPr>
                <w:rFonts w:eastAsia="方正仿宋简体"/>
                <w:sz w:val="24"/>
                <w:szCs w:val="28"/>
                <w:u w:val="single"/>
              </w:rPr>
              <w:t xml:space="preserve">    </w:t>
            </w:r>
            <w:r>
              <w:rPr>
                <w:rFonts w:eastAsia="方正仿宋简体"/>
                <w:sz w:val="24"/>
                <w:szCs w:val="28"/>
              </w:rPr>
              <w:t>笔/每天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4"/>
              </w:rPr>
            </w:pPr>
            <w:r>
              <w:rPr>
                <w:rFonts w:eastAsia="方正仿宋简体"/>
                <w:sz w:val="24"/>
                <w:szCs w:val="28"/>
              </w:rPr>
              <w:t>交易模式</w:t>
            </w:r>
          </w:p>
        </w:tc>
        <w:tc>
          <w:tcPr>
            <w:tcW w:w="7783" w:type="dxa"/>
            <w:gridSpan w:val="11"/>
          </w:tcPr>
          <w:p>
            <w:pPr>
              <w:widowControl/>
              <w:jc w:val="left"/>
              <w:rPr>
                <w:rFonts w:eastAsia="方正仿宋简体"/>
                <w:sz w:val="24"/>
                <w:szCs w:val="28"/>
              </w:rPr>
            </w:pPr>
            <w:r>
              <w:rPr>
                <w:rFonts w:eastAsia="方正仿宋简体"/>
                <w:sz w:val="24"/>
                <w:szCs w:val="28"/>
              </w:rPr>
              <w:t>日内高频交易</w:t>
            </w:r>
            <w:r>
              <w:rPr>
                <w:rFonts w:eastAsia="方正仿宋简体"/>
                <w:sz w:val="24"/>
                <w:szCs w:val="24"/>
              </w:rPr>
              <w:t>：</w:t>
            </w:r>
            <w:r>
              <w:rPr>
                <w:rFonts w:eastAsia="方正仿宋简体"/>
                <w:sz w:val="24"/>
                <w:szCs w:val="28"/>
              </w:rPr>
              <w:t>□ 人工触发  □ 软件自动触发</w:t>
            </w:r>
          </w:p>
          <w:p>
            <w:pPr>
              <w:widowControl/>
              <w:jc w:val="left"/>
              <w:rPr>
                <w:rFonts w:eastAsia="方正仿宋简体"/>
                <w:sz w:val="24"/>
                <w:szCs w:val="28"/>
              </w:rPr>
            </w:pPr>
          </w:p>
          <w:p>
            <w:pPr>
              <w:widowControl/>
              <w:jc w:val="left"/>
              <w:rPr>
                <w:rFonts w:eastAsia="方正仿宋简体"/>
                <w:sz w:val="24"/>
                <w:szCs w:val="28"/>
              </w:rPr>
            </w:pPr>
            <w:r>
              <w:rPr>
                <w:rFonts w:eastAsia="方正仿宋简体"/>
                <w:sz w:val="24"/>
                <w:szCs w:val="28"/>
              </w:rPr>
              <w:t>日内非高频交易</w:t>
            </w:r>
            <w:r>
              <w:rPr>
                <w:rFonts w:eastAsia="方正仿宋简体"/>
                <w:sz w:val="24"/>
                <w:szCs w:val="24"/>
              </w:rPr>
              <w:t>：</w:t>
            </w:r>
            <w:r>
              <w:rPr>
                <w:rFonts w:eastAsia="方正仿宋简体"/>
                <w:sz w:val="24"/>
                <w:szCs w:val="28"/>
              </w:rPr>
              <w:t>□ 人工触发  □ 软件自动触发</w:t>
            </w:r>
          </w:p>
          <w:p>
            <w:pPr>
              <w:widowControl/>
              <w:jc w:val="left"/>
              <w:rPr>
                <w:rFonts w:eastAsia="方正仿宋简体"/>
                <w:sz w:val="24"/>
                <w:szCs w:val="28"/>
              </w:rPr>
            </w:pPr>
          </w:p>
          <w:p>
            <w:pPr>
              <w:widowControl/>
              <w:jc w:val="left"/>
              <w:rPr>
                <w:rFonts w:eastAsia="方正仿宋简体"/>
                <w:sz w:val="24"/>
                <w:szCs w:val="28"/>
              </w:rPr>
            </w:pPr>
            <w:r>
              <w:rPr>
                <w:rFonts w:eastAsia="方正仿宋简体"/>
                <w:sz w:val="24"/>
                <w:szCs w:val="28"/>
              </w:rPr>
              <w:t>□ 其他(请填写)：</w:t>
            </w:r>
            <w:r>
              <w:rPr>
                <w:rFonts w:eastAsia="方正仿宋简体"/>
                <w:sz w:val="24"/>
                <w:szCs w:val="28"/>
                <w:u w:val="single"/>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709" w:type="dxa"/>
            <w:gridSpan w:val="4"/>
          </w:tcPr>
          <w:p>
            <w:pPr>
              <w:spacing w:before="156" w:beforeLines="50" w:after="156" w:afterLines="50"/>
              <w:rPr>
                <w:rFonts w:eastAsia="方正仿宋简体"/>
                <w:sz w:val="24"/>
                <w:szCs w:val="28"/>
              </w:rPr>
            </w:pPr>
            <w:r>
              <w:rPr>
                <w:rFonts w:eastAsia="方正仿宋简体"/>
                <w:sz w:val="24"/>
                <w:szCs w:val="28"/>
              </w:rPr>
              <w:t>交易品种</w:t>
            </w:r>
          </w:p>
        </w:tc>
        <w:tc>
          <w:tcPr>
            <w:tcW w:w="7783" w:type="dxa"/>
            <w:gridSpan w:val="11"/>
            <w:vAlign w:val="center"/>
          </w:tcPr>
          <w:p>
            <w:pPr>
              <w:widowControl/>
              <w:rPr>
                <w:rFonts w:eastAsia="方正仿宋简体"/>
                <w:sz w:val="24"/>
                <w:szCs w:val="28"/>
              </w:rPr>
            </w:pPr>
            <w:r>
              <w:rPr>
                <w:rFonts w:eastAsia="方正仿宋简体"/>
                <w:sz w:val="24"/>
                <w:szCs w:val="28"/>
              </w:rPr>
              <w:t xml:space="preserve">□ 期权市场 □ 现货市场 □ 期货市场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8" w:hRule="atLeast"/>
        </w:trPr>
        <w:tc>
          <w:tcPr>
            <w:tcW w:w="2709" w:type="dxa"/>
            <w:gridSpan w:val="4"/>
          </w:tcPr>
          <w:p>
            <w:pPr>
              <w:spacing w:before="156" w:beforeLines="50" w:after="156" w:afterLines="50"/>
              <w:rPr>
                <w:rFonts w:eastAsia="方正仿宋简体"/>
                <w:sz w:val="24"/>
                <w:szCs w:val="24"/>
              </w:rPr>
            </w:pPr>
            <w:r>
              <w:rPr>
                <w:rFonts w:eastAsia="方正仿宋简体"/>
                <w:sz w:val="24"/>
                <w:szCs w:val="28"/>
              </w:rPr>
              <w:t>交易策略类型及简要说明</w:t>
            </w:r>
          </w:p>
        </w:tc>
        <w:tc>
          <w:tcPr>
            <w:tcW w:w="7783" w:type="dxa"/>
            <w:gridSpan w:val="11"/>
          </w:tcPr>
          <w:p>
            <w:pPr>
              <w:widowControl/>
              <w:jc w:val="left"/>
              <w:rPr>
                <w:rFonts w:eastAsia="方正仿宋简体"/>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492" w:type="dxa"/>
            <w:gridSpan w:val="15"/>
            <w:tcBorders>
              <w:top w:val="single" w:color="auto" w:sz="4" w:space="0"/>
              <w:left w:val="single" w:color="auto" w:sz="4" w:space="0"/>
              <w:bottom w:val="single" w:color="auto" w:sz="4" w:space="0"/>
              <w:right w:val="single" w:color="auto" w:sz="4" w:space="0"/>
            </w:tcBorders>
            <w:shd w:val="clear" w:color="auto" w:fill="EEECE1"/>
            <w:vAlign w:val="center"/>
          </w:tcPr>
          <w:p>
            <w:pPr>
              <w:widowControl/>
              <w:jc w:val="center"/>
              <w:rPr>
                <w:rFonts w:eastAsia="方正仿宋简体"/>
                <w:b/>
                <w:kern w:val="0"/>
                <w:sz w:val="24"/>
                <w:szCs w:val="28"/>
              </w:rPr>
            </w:pPr>
            <w:r>
              <w:rPr>
                <w:rFonts w:eastAsia="方正仿宋简体"/>
                <w:b/>
                <w:kern w:val="0"/>
                <w:sz w:val="24"/>
                <w:szCs w:val="28"/>
              </w:rPr>
              <w:t>程序化交易软件信息</w:t>
            </w:r>
          </w:p>
        </w:tc>
      </w:tr>
      <w:tr>
        <w:tblPrEx>
          <w:tblCellMar>
            <w:top w:w="0" w:type="dxa"/>
            <w:left w:w="108" w:type="dxa"/>
            <w:bottom w:w="0" w:type="dxa"/>
            <w:right w:w="108" w:type="dxa"/>
          </w:tblCellMar>
        </w:tblPrEx>
        <w:trPr>
          <w:trHeight w:val="630"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软件名称</w:t>
            </w:r>
          </w:p>
        </w:tc>
        <w:tc>
          <w:tcPr>
            <w:tcW w:w="1840" w:type="dxa"/>
            <w:gridSpan w:val="2"/>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所属厂商/软件提供者</w:t>
            </w:r>
          </w:p>
        </w:tc>
        <w:tc>
          <w:tcPr>
            <w:tcW w:w="2122" w:type="dxa"/>
            <w:gridSpan w:val="5"/>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使用者是否可自行修改程序代码（是/否）</w:t>
            </w:r>
          </w:p>
        </w:tc>
        <w:tc>
          <w:tcPr>
            <w:tcW w:w="1415" w:type="dxa"/>
            <w:gridSpan w:val="2"/>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行情来源</w:t>
            </w:r>
          </w:p>
        </w:tc>
        <w:tc>
          <w:tcPr>
            <w:tcW w:w="2406" w:type="dxa"/>
            <w:gridSpan w:val="2"/>
            <w:tcBorders>
              <w:top w:val="nil"/>
              <w:left w:val="nil"/>
              <w:bottom w:val="single" w:color="auto" w:sz="4" w:space="0"/>
              <w:right w:val="single" w:color="auto" w:sz="4" w:space="0"/>
            </w:tcBorders>
            <w:vAlign w:val="center"/>
          </w:tcPr>
          <w:p>
            <w:pPr>
              <w:widowControl/>
              <w:jc w:val="center"/>
              <w:rPr>
                <w:rFonts w:eastAsia="方正仿宋简体"/>
                <w:kern w:val="0"/>
                <w:sz w:val="24"/>
                <w:szCs w:val="28"/>
              </w:rPr>
            </w:pPr>
            <w:r>
              <w:rPr>
                <w:rFonts w:eastAsia="方正仿宋简体"/>
                <w:kern w:val="0"/>
                <w:sz w:val="24"/>
                <w:szCs w:val="28"/>
              </w:rPr>
              <w:t>基本功能描述</w:t>
            </w:r>
          </w:p>
          <w:p>
            <w:pPr>
              <w:widowControl/>
              <w:jc w:val="center"/>
              <w:rPr>
                <w:rFonts w:eastAsia="方正仿宋简体"/>
                <w:kern w:val="0"/>
                <w:sz w:val="24"/>
                <w:szCs w:val="28"/>
              </w:rPr>
            </w:pPr>
            <w:r>
              <w:rPr>
                <w:rFonts w:eastAsia="方正仿宋简体"/>
                <w:kern w:val="0"/>
                <w:sz w:val="24"/>
                <w:szCs w:val="28"/>
              </w:rPr>
              <w:t>（可附页说明）</w:t>
            </w:r>
          </w:p>
        </w:tc>
      </w:tr>
      <w:tr>
        <w:tblPrEx>
          <w:tblCellMar>
            <w:top w:w="0" w:type="dxa"/>
            <w:left w:w="108" w:type="dxa"/>
            <w:bottom w:w="0" w:type="dxa"/>
            <w:right w:w="108" w:type="dxa"/>
          </w:tblCellMar>
        </w:tblPrEx>
        <w:trPr>
          <w:trHeight w:val="465"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p>
        </w:tc>
        <w:tc>
          <w:tcPr>
            <w:tcW w:w="1840"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122" w:type="dxa"/>
            <w:gridSpan w:val="5"/>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1415"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406"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r>
      <w:tr>
        <w:tblPrEx>
          <w:tblCellMar>
            <w:top w:w="0" w:type="dxa"/>
            <w:left w:w="108" w:type="dxa"/>
            <w:bottom w:w="0" w:type="dxa"/>
            <w:right w:w="108" w:type="dxa"/>
          </w:tblCellMar>
        </w:tblPrEx>
        <w:trPr>
          <w:trHeight w:val="465"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p>
        </w:tc>
        <w:tc>
          <w:tcPr>
            <w:tcW w:w="1840"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122" w:type="dxa"/>
            <w:gridSpan w:val="5"/>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1415"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c>
          <w:tcPr>
            <w:tcW w:w="2406" w:type="dxa"/>
            <w:gridSpan w:val="2"/>
            <w:tcBorders>
              <w:top w:val="nil"/>
              <w:left w:val="nil"/>
              <w:bottom w:val="single" w:color="auto" w:sz="4" w:space="0"/>
              <w:right w:val="single" w:color="auto" w:sz="4" w:space="0"/>
            </w:tcBorders>
            <w:vAlign w:val="center"/>
          </w:tcPr>
          <w:p>
            <w:pPr>
              <w:widowControl/>
              <w:jc w:val="left"/>
              <w:rPr>
                <w:rFonts w:eastAsia="方正仿宋简体"/>
                <w:kern w:val="0"/>
                <w:sz w:val="24"/>
                <w:szCs w:val="28"/>
              </w:rPr>
            </w:pPr>
          </w:p>
        </w:tc>
      </w:tr>
      <w:tr>
        <w:tblPrEx>
          <w:tblCellMar>
            <w:top w:w="0" w:type="dxa"/>
            <w:left w:w="108" w:type="dxa"/>
            <w:bottom w:w="0" w:type="dxa"/>
            <w:right w:w="108" w:type="dxa"/>
          </w:tblCellMar>
        </w:tblPrEx>
        <w:trPr>
          <w:trHeight w:val="1175" w:hRule="atLeast"/>
        </w:trPr>
        <w:tc>
          <w:tcPr>
            <w:tcW w:w="2709" w:type="dxa"/>
            <w:gridSpan w:val="4"/>
            <w:tcBorders>
              <w:top w:val="nil"/>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风控及其他情况说明</w:t>
            </w:r>
          </w:p>
        </w:tc>
        <w:tc>
          <w:tcPr>
            <w:tcW w:w="7783" w:type="dxa"/>
            <w:gridSpan w:val="11"/>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1176" w:hRule="atLeast"/>
        </w:trPr>
        <w:tc>
          <w:tcPr>
            <w:tcW w:w="2709"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升级历史说明</w:t>
            </w:r>
          </w:p>
        </w:tc>
        <w:tc>
          <w:tcPr>
            <w:tcW w:w="7783" w:type="dxa"/>
            <w:gridSpan w:val="11"/>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10492" w:type="dxa"/>
            <w:gridSpan w:val="15"/>
            <w:tcBorders>
              <w:top w:val="single" w:color="auto" w:sz="4" w:space="0"/>
              <w:left w:val="single" w:color="auto" w:sz="4" w:space="0"/>
              <w:bottom w:val="single" w:color="auto" w:sz="4" w:space="0"/>
              <w:right w:val="single" w:color="auto" w:sz="4" w:space="0"/>
            </w:tcBorders>
            <w:shd w:val="clear" w:color="auto" w:fill="EEECE1"/>
            <w:vAlign w:val="center"/>
          </w:tcPr>
          <w:p>
            <w:pPr>
              <w:widowControl/>
              <w:jc w:val="center"/>
              <w:rPr>
                <w:rFonts w:eastAsia="方正仿宋简体"/>
                <w:b/>
                <w:kern w:val="0"/>
                <w:sz w:val="24"/>
                <w:szCs w:val="28"/>
              </w:rPr>
            </w:pPr>
            <w:r>
              <w:rPr>
                <w:rFonts w:eastAsia="方正仿宋简体"/>
                <w:b/>
                <w:kern w:val="0"/>
                <w:sz w:val="24"/>
                <w:szCs w:val="28"/>
              </w:rPr>
              <w:t>期权经营机构人员信息及意见</w:t>
            </w:r>
          </w:p>
        </w:tc>
      </w:tr>
      <w:tr>
        <w:tblPrEx>
          <w:tblCellMar>
            <w:top w:w="0" w:type="dxa"/>
            <w:left w:w="108" w:type="dxa"/>
            <w:bottom w:w="0" w:type="dxa"/>
            <w:right w:w="108" w:type="dxa"/>
          </w:tblCellMar>
        </w:tblPrEx>
        <w:trPr>
          <w:trHeight w:val="249" w:hRule="atLeast"/>
        </w:trPr>
        <w:tc>
          <w:tcPr>
            <w:tcW w:w="2709" w:type="dxa"/>
            <w:gridSpan w:val="4"/>
            <w:vMerge w:val="restart"/>
            <w:tcBorders>
              <w:top w:val="nil"/>
              <w:left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管理该程序化交易者的对接人员</w:t>
            </w: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姓名</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职务</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座机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手机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49" w:hRule="atLeast"/>
        </w:trPr>
        <w:tc>
          <w:tcPr>
            <w:tcW w:w="2709" w:type="dxa"/>
            <w:gridSpan w:val="4"/>
            <w:vMerge w:val="continue"/>
            <w:tcBorders>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电子邮箱</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10" w:hRule="atLeast"/>
        </w:trPr>
        <w:tc>
          <w:tcPr>
            <w:tcW w:w="2709" w:type="dxa"/>
            <w:gridSpan w:val="4"/>
            <w:vMerge w:val="restart"/>
            <w:tcBorders>
              <w:top w:val="nil"/>
              <w:left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管理该程序化交易者风险控制人员</w:t>
            </w: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姓名</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职务</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座机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手机</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207" w:hRule="atLeast"/>
        </w:trPr>
        <w:tc>
          <w:tcPr>
            <w:tcW w:w="2709" w:type="dxa"/>
            <w:gridSpan w:val="4"/>
            <w:vMerge w:val="continue"/>
            <w:tcBorders>
              <w:left w:val="single" w:color="auto" w:sz="4" w:space="0"/>
              <w:right w:val="single" w:color="auto" w:sz="4" w:space="0"/>
            </w:tcBorders>
            <w:vAlign w:val="center"/>
          </w:tcPr>
          <w:p>
            <w:pPr>
              <w:widowControl/>
              <w:jc w:val="left"/>
              <w:rPr>
                <w:rFonts w:eastAsia="方正仿宋简体"/>
                <w:kern w:val="0"/>
                <w:sz w:val="24"/>
                <w:szCs w:val="28"/>
              </w:rPr>
            </w:pPr>
          </w:p>
        </w:tc>
        <w:tc>
          <w:tcPr>
            <w:tcW w:w="3891" w:type="dxa"/>
            <w:gridSpan w:val="6"/>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r>
              <w:rPr>
                <w:rFonts w:eastAsia="方正仿宋简体"/>
                <w:kern w:val="0"/>
                <w:sz w:val="24"/>
                <w:szCs w:val="28"/>
              </w:rPr>
              <w:t>电子邮箱</w:t>
            </w:r>
          </w:p>
        </w:tc>
        <w:tc>
          <w:tcPr>
            <w:tcW w:w="3892" w:type="dxa"/>
            <w:gridSpan w:val="5"/>
            <w:tcBorders>
              <w:top w:val="single" w:color="auto" w:sz="4" w:space="0"/>
              <w:left w:val="nil"/>
              <w:bottom w:val="single" w:color="auto" w:sz="4" w:space="0"/>
              <w:right w:val="single" w:color="auto" w:sz="4" w:space="0"/>
            </w:tcBorders>
          </w:tcPr>
          <w:p>
            <w:pPr>
              <w:widowControl/>
              <w:jc w:val="center"/>
              <w:rPr>
                <w:rFonts w:eastAsia="方正仿宋简体"/>
                <w:kern w:val="0"/>
                <w:sz w:val="24"/>
                <w:szCs w:val="28"/>
              </w:rPr>
            </w:pPr>
          </w:p>
        </w:tc>
      </w:tr>
      <w:tr>
        <w:tblPrEx>
          <w:tblCellMar>
            <w:top w:w="0" w:type="dxa"/>
            <w:left w:w="108" w:type="dxa"/>
            <w:bottom w:w="0" w:type="dxa"/>
            <w:right w:w="108" w:type="dxa"/>
          </w:tblCellMar>
        </w:tblPrEx>
        <w:trPr>
          <w:trHeight w:val="646" w:hRule="atLeast"/>
        </w:trPr>
        <w:tc>
          <w:tcPr>
            <w:tcW w:w="2709"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期权经营机构意见</w:t>
            </w:r>
          </w:p>
        </w:tc>
        <w:tc>
          <w:tcPr>
            <w:tcW w:w="7783" w:type="dxa"/>
            <w:gridSpan w:val="11"/>
            <w:tcBorders>
              <w:top w:val="single" w:color="auto" w:sz="4" w:space="0"/>
              <w:left w:val="nil"/>
              <w:bottom w:val="single" w:color="auto" w:sz="4" w:space="0"/>
              <w:right w:val="single" w:color="auto" w:sz="4" w:space="0"/>
            </w:tcBorders>
            <w:vAlign w:val="center"/>
          </w:tcPr>
          <w:p>
            <w:pPr>
              <w:pStyle w:val="58"/>
              <w:widowControl/>
              <w:numPr>
                <w:ilvl w:val="0"/>
                <w:numId w:val="111"/>
              </w:numPr>
              <w:spacing w:line="360" w:lineRule="auto"/>
              <w:ind w:firstLineChars="0"/>
              <w:rPr>
                <w:rFonts w:eastAsia="方正仿宋简体"/>
                <w:kern w:val="0"/>
                <w:sz w:val="24"/>
                <w:szCs w:val="28"/>
              </w:rPr>
            </w:pPr>
            <w:r>
              <w:rPr>
                <w:rFonts w:eastAsia="方正仿宋简体"/>
                <w:kern w:val="0"/>
                <w:sz w:val="24"/>
              </w:rPr>
              <w:t>本期权经营机构已对客户报备信息进行尽职审查并同意客户报备。</w:t>
            </w:r>
          </w:p>
        </w:tc>
      </w:tr>
      <w:tr>
        <w:tblPrEx>
          <w:tblCellMar>
            <w:top w:w="0" w:type="dxa"/>
            <w:left w:w="108" w:type="dxa"/>
            <w:bottom w:w="0" w:type="dxa"/>
            <w:right w:w="108" w:type="dxa"/>
          </w:tblCellMar>
        </w:tblPrEx>
        <w:trPr>
          <w:trHeight w:val="1137" w:hRule="atLeast"/>
        </w:trPr>
        <w:tc>
          <w:tcPr>
            <w:tcW w:w="2709"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eastAsia="方正仿宋简体"/>
                <w:kern w:val="0"/>
                <w:sz w:val="24"/>
                <w:szCs w:val="28"/>
              </w:rPr>
            </w:pPr>
            <w:r>
              <w:rPr>
                <w:rFonts w:eastAsia="方正仿宋简体"/>
                <w:kern w:val="0"/>
                <w:sz w:val="24"/>
                <w:szCs w:val="28"/>
              </w:rPr>
              <w:t>签字及盖章</w:t>
            </w:r>
          </w:p>
        </w:tc>
        <w:tc>
          <w:tcPr>
            <w:tcW w:w="7783" w:type="dxa"/>
            <w:gridSpan w:val="11"/>
            <w:tcBorders>
              <w:top w:val="single" w:color="auto" w:sz="4" w:space="0"/>
              <w:left w:val="nil"/>
              <w:bottom w:val="single" w:color="auto" w:sz="4" w:space="0"/>
              <w:right w:val="single" w:color="auto" w:sz="4" w:space="0"/>
            </w:tcBorders>
          </w:tcPr>
          <w:p>
            <w:pPr>
              <w:pStyle w:val="58"/>
              <w:widowControl/>
              <w:ind w:left="360" w:firstLine="0" w:firstLineChars="0"/>
              <w:rPr>
                <w:rFonts w:eastAsia="方正仿宋简体"/>
                <w:kern w:val="0"/>
                <w:sz w:val="24"/>
                <w:szCs w:val="28"/>
              </w:rPr>
            </w:pPr>
          </w:p>
        </w:tc>
      </w:tr>
    </w:tbl>
    <w:p>
      <w:pPr>
        <w:rPr>
          <w:rFonts w:eastAsia="方正仿宋简体"/>
          <w:kern w:val="0"/>
          <w:sz w:val="28"/>
          <w:szCs w:val="28"/>
        </w:rPr>
      </w:pPr>
      <w:r>
        <w:rPr>
          <w:rFonts w:eastAsia="方正仿宋简体"/>
          <w:kern w:val="0"/>
          <w:sz w:val="28"/>
          <w:szCs w:val="28"/>
        </w:rPr>
        <w:t>填报人:</w:t>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ab/>
      </w:r>
      <w:r>
        <w:rPr>
          <w:rFonts w:eastAsia="方正仿宋简体"/>
          <w:kern w:val="0"/>
          <w:sz w:val="28"/>
          <w:szCs w:val="28"/>
        </w:rPr>
        <w:t>填报日期：</w:t>
      </w:r>
    </w:p>
    <w:p>
      <w:pPr>
        <w:rPr>
          <w:rFonts w:eastAsia="方正仿宋简体"/>
          <w:kern w:val="0"/>
          <w:sz w:val="28"/>
          <w:szCs w:val="28"/>
        </w:rPr>
      </w:pPr>
      <w:r>
        <w:rPr>
          <w:rFonts w:eastAsia="方正仿宋简体"/>
          <w:kern w:val="0"/>
          <w:sz w:val="28"/>
          <w:szCs w:val="28"/>
        </w:rPr>
        <w:t>注：</w:t>
      </w:r>
    </w:p>
    <w:p>
      <w:pPr>
        <w:ind w:firstLine="560" w:firstLineChars="200"/>
        <w:rPr>
          <w:rFonts w:eastAsia="方正仿宋简体"/>
          <w:kern w:val="0"/>
          <w:sz w:val="28"/>
          <w:szCs w:val="28"/>
        </w:rPr>
      </w:pPr>
      <w:r>
        <w:rPr>
          <w:rFonts w:eastAsia="方正仿宋简体"/>
          <w:kern w:val="0"/>
          <w:sz w:val="28"/>
          <w:szCs w:val="28"/>
        </w:rPr>
        <w:t>1.</w:t>
      </w:r>
      <w:r>
        <w:rPr>
          <w:rFonts w:hint="eastAsia" w:eastAsia="方正仿宋简体"/>
          <w:kern w:val="0"/>
          <w:sz w:val="28"/>
          <w:szCs w:val="28"/>
          <w:lang w:eastAsia="zh-CN"/>
        </w:rPr>
        <w:t>在本所期权业务专区填写电子表格后，下载自动生成的</w:t>
      </w:r>
      <w:r>
        <w:rPr>
          <w:rFonts w:hint="eastAsia" w:eastAsia="方正仿宋简体"/>
          <w:kern w:val="0"/>
          <w:sz w:val="28"/>
          <w:szCs w:val="28"/>
          <w:lang w:val="en-US" w:eastAsia="zh-CN"/>
        </w:rPr>
        <w:t>PDF文件，经证券公司期权业务负责人签字并加盖业务管理部门章后上传扫描件。</w:t>
      </w:r>
    </w:p>
    <w:p>
      <w:pPr>
        <w:pStyle w:val="58"/>
        <w:ind w:firstLine="560"/>
        <w:rPr>
          <w:rFonts w:eastAsia="方正仿宋简体"/>
          <w:kern w:val="0"/>
          <w:sz w:val="28"/>
          <w:szCs w:val="28"/>
        </w:rPr>
      </w:pPr>
      <w:r>
        <w:rPr>
          <w:rFonts w:eastAsia="方正仿宋简体"/>
          <w:kern w:val="0"/>
          <w:sz w:val="28"/>
          <w:szCs w:val="28"/>
        </w:rPr>
        <w:t>2.证券公司可在每个交易日17:00前向交易所进行报备，迟于此时间报备的视同下一交易日报备。</w:t>
      </w:r>
    </w:p>
    <w:p>
      <w:pPr>
        <w:widowControl/>
        <w:jc w:val="left"/>
        <w:rPr>
          <w:rFonts w:hint="eastAsia" w:eastAsia="方正仿宋简体"/>
          <w:bCs/>
          <w:sz w:val="30"/>
          <w:szCs w:val="30"/>
          <w:lang w:eastAsia="zh-CN"/>
        </w:rPr>
      </w:pPr>
      <w:r>
        <w:rPr>
          <w:rFonts w:eastAsia="方正仿宋简体"/>
          <w:kern w:val="0"/>
          <w:sz w:val="28"/>
          <w:szCs w:val="28"/>
        </w:rPr>
        <w:br w:type="page"/>
      </w:r>
      <w:bookmarkStart w:id="373" w:name="_Toc25049539"/>
      <w:r>
        <w:rPr>
          <w:rFonts w:eastAsia="方正仿宋简体"/>
          <w:bCs/>
          <w:sz w:val="30"/>
          <w:szCs w:val="30"/>
        </w:rPr>
        <w:t>附件11：股票期权大户持仓报告表</w:t>
      </w:r>
      <w:bookmarkEnd w:id="373"/>
      <w:r>
        <w:rPr>
          <w:rFonts w:hint="eastAsia" w:eastAsia="方正仿宋简体"/>
          <w:bCs/>
          <w:sz w:val="30"/>
          <w:szCs w:val="30"/>
          <w:lang w:eastAsia="zh-CN"/>
        </w:rPr>
        <w:t>样表</w:t>
      </w:r>
    </w:p>
    <w:tbl>
      <w:tblPr>
        <w:tblStyle w:val="34"/>
        <w:tblW w:w="8887"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093"/>
        <w:gridCol w:w="892"/>
        <w:gridCol w:w="1701"/>
        <w:gridCol w:w="890"/>
        <w:gridCol w:w="567"/>
        <w:gridCol w:w="993"/>
        <w:gridCol w:w="1751"/>
      </w:tblGrid>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投资者（期权经营机构）名称</w:t>
            </w:r>
          </w:p>
        </w:tc>
        <w:tc>
          <w:tcPr>
            <w:tcW w:w="6794" w:type="dxa"/>
            <w:gridSpan w:val="6"/>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合约账户</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4201" w:type="dxa"/>
            <w:gridSpan w:val="4"/>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□普通　□套保  □自营  □做市商</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联系地址</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联系电话</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合约编码1</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占用保证金（万元）</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权利仓持仓量</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义务仓持仓量</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备兑持仓量</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636" w:hRule="atLeast"/>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持仓意向（含行权意愿与可能被行权准备情况说明）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合约编码2</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占用保证金（万元）</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权利仓持仓量</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义务仓持仓量</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备兑持仓量</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731" w:hRule="atLeast"/>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持仓意向（含行权意愿与可能被行权准备情况说明）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合约编码3</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2450" w:type="dxa"/>
            <w:gridSpan w:val="3"/>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占用保证金（万元）</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权利仓持仓量</w:t>
            </w:r>
          </w:p>
        </w:tc>
        <w:tc>
          <w:tcPr>
            <w:tcW w:w="89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义务仓持仓量</w:t>
            </w:r>
          </w:p>
        </w:tc>
        <w:tc>
          <w:tcPr>
            <w:tcW w:w="89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备兑持仓量</w:t>
            </w:r>
          </w:p>
        </w:tc>
        <w:tc>
          <w:tcPr>
            <w:tcW w:w="175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持仓意向（含行权意愿与可能被行权准备情况说明）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总持仓保证金</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资金规模</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实际控制人</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权利仓总持仓量</w:t>
            </w:r>
          </w:p>
        </w:tc>
        <w:tc>
          <w:tcPr>
            <w:tcW w:w="89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70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义务仓总持仓量</w:t>
            </w:r>
          </w:p>
        </w:tc>
        <w:tc>
          <w:tcPr>
            <w:tcW w:w="89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560"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备兑总持仓量</w:t>
            </w:r>
          </w:p>
        </w:tc>
        <w:tc>
          <w:tcPr>
            <w:tcW w:w="175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证券担保物情况</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持有其他期货期权品种情况说明</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keepNext/>
              <w:keepLines/>
              <w:widowControl/>
              <w:spacing w:before="120" w:beforeAutospacing="1" w:after="120" w:afterAutospacing="1"/>
              <w:outlineLvl w:val="2"/>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资金来源</w:t>
            </w:r>
          </w:p>
        </w:tc>
        <w:tc>
          <w:tcPr>
            <w:tcW w:w="6794" w:type="dxa"/>
            <w:gridSpan w:val="6"/>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8887" w:type="dxa"/>
            <w:gridSpan w:val="7"/>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ind w:firstLine="360"/>
              <w:rPr>
                <w:rFonts w:eastAsia="方正仿宋简体"/>
                <w:kern w:val="0"/>
                <w:sz w:val="24"/>
                <w:szCs w:val="28"/>
              </w:rPr>
            </w:pPr>
            <w:r>
              <w:rPr>
                <w:rFonts w:eastAsia="方正仿宋简体"/>
                <w:kern w:val="0"/>
                <w:sz w:val="24"/>
                <w:szCs w:val="28"/>
              </w:rPr>
              <w:t>本人（公司）保证以上报告内容的真实性和准确性，不存在任何故意虚假或者遗漏。</w:t>
            </w:r>
          </w:p>
          <w:p>
            <w:pPr>
              <w:widowControl/>
              <w:spacing w:before="120" w:beforeAutospacing="1" w:after="120" w:afterAutospacing="1"/>
              <w:ind w:firstLine="360"/>
              <w:rPr>
                <w:rFonts w:eastAsia="方正仿宋简体"/>
                <w:kern w:val="0"/>
                <w:sz w:val="24"/>
                <w:szCs w:val="28"/>
              </w:rPr>
            </w:pPr>
            <w:r>
              <w:rPr>
                <w:rFonts w:eastAsia="方正仿宋简体"/>
                <w:kern w:val="0"/>
                <w:sz w:val="24"/>
                <w:szCs w:val="28"/>
              </w:rPr>
              <w:t>报告人签名：　　　　　　　　　　　　　报告日期：　　　　年　　月　　日</w:t>
            </w: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期权经营机构名称</w:t>
            </w:r>
          </w:p>
        </w:tc>
        <w:tc>
          <w:tcPr>
            <w:tcW w:w="2593"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457"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期权经营机构代码</w:t>
            </w:r>
          </w:p>
        </w:tc>
        <w:tc>
          <w:tcPr>
            <w:tcW w:w="2744" w:type="dxa"/>
            <w:gridSpan w:val="2"/>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2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投资者开户日期</w:t>
            </w:r>
          </w:p>
        </w:tc>
        <w:tc>
          <w:tcPr>
            <w:tcW w:w="2593"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c>
          <w:tcPr>
            <w:tcW w:w="1457"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r>
              <w:rPr>
                <w:rFonts w:eastAsia="方正仿宋简体"/>
                <w:kern w:val="0"/>
                <w:sz w:val="24"/>
                <w:szCs w:val="28"/>
              </w:rPr>
              <w:t>投资者交易方式</w:t>
            </w:r>
          </w:p>
        </w:tc>
        <w:tc>
          <w:tcPr>
            <w:tcW w:w="2744" w:type="dxa"/>
            <w:gridSpan w:val="2"/>
            <w:tcBorders>
              <w:top w:val="nil"/>
              <w:left w:val="nil"/>
              <w:bottom w:val="single" w:color="auto" w:sz="8" w:space="0"/>
              <w:right w:val="single" w:color="auto" w:sz="8" w:space="0"/>
            </w:tcBorders>
            <w:shd w:val="clear" w:color="auto" w:fill="FFFFFF"/>
            <w:tcMar>
              <w:top w:w="0" w:type="dxa"/>
              <w:left w:w="108" w:type="dxa"/>
              <w:bottom w:w="0" w:type="dxa"/>
              <w:right w:w="108" w:type="dxa"/>
            </w:tcMar>
          </w:tcPr>
          <w:p>
            <w:pPr>
              <w:widowControl/>
              <w:spacing w:before="120" w:beforeAutospacing="1" w:after="120" w:afterAutospacing="1"/>
              <w:rPr>
                <w:rFonts w:eastAsia="方正仿宋简体"/>
                <w:kern w:val="0"/>
                <w:sz w:val="24"/>
                <w:szCs w:val="28"/>
              </w:rPr>
            </w:pPr>
          </w:p>
        </w:tc>
      </w:tr>
      <w:tr>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jc w:val="center"/>
        </w:trPr>
        <w:tc>
          <w:tcPr>
            <w:tcW w:w="8887" w:type="dxa"/>
            <w:gridSpan w:val="7"/>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before="100" w:beforeAutospacing="1" w:after="100" w:afterAutospacing="1"/>
              <w:ind w:firstLine="480" w:firstLineChars="200"/>
              <w:rPr>
                <w:rFonts w:eastAsia="方正仿宋简体"/>
                <w:kern w:val="0"/>
                <w:sz w:val="24"/>
                <w:szCs w:val="28"/>
              </w:rPr>
            </w:pPr>
            <w:r>
              <w:rPr>
                <w:rFonts w:eastAsia="方正仿宋简体"/>
                <w:kern w:val="0"/>
                <w:sz w:val="24"/>
                <w:szCs w:val="28"/>
              </w:rPr>
              <w:t>经审核，本公司保证本报告所有内容的真实性和准确性，不存在任何隐瞒或者遗漏。</w:t>
            </w:r>
          </w:p>
          <w:p>
            <w:pPr>
              <w:widowControl/>
              <w:spacing w:before="120" w:beforeAutospacing="1" w:after="120" w:afterAutospacing="1"/>
              <w:rPr>
                <w:rFonts w:eastAsia="方正仿宋简体"/>
                <w:kern w:val="0"/>
                <w:sz w:val="24"/>
                <w:szCs w:val="28"/>
              </w:rPr>
            </w:pPr>
            <w:r>
              <w:rPr>
                <w:rFonts w:eastAsia="方正仿宋简体"/>
                <w:kern w:val="0"/>
                <w:sz w:val="24"/>
                <w:szCs w:val="28"/>
              </w:rPr>
              <w:t>期权经营机构单位盖章：　　　　　　　　　　报告日期：　　　　年　　月　　日</w:t>
            </w:r>
          </w:p>
        </w:tc>
      </w:tr>
      <w:bookmarkEnd w:id="363"/>
    </w:tbl>
    <w:p>
      <w:pPr>
        <w:pStyle w:val="58"/>
        <w:ind w:firstLine="560"/>
        <w:rPr>
          <w:rFonts w:eastAsia="方正仿宋简体"/>
          <w:sz w:val="28"/>
          <w:szCs w:val="28"/>
        </w:rPr>
      </w:pPr>
    </w:p>
    <w:p>
      <w:pPr>
        <w:spacing w:before="156" w:beforeLines="50" w:after="156" w:afterLines="50"/>
        <w:jc w:val="left"/>
        <w:outlineLvl w:val="0"/>
        <w:rPr>
          <w:rFonts w:eastAsia="方正仿宋简体"/>
          <w:kern w:val="44"/>
          <w:szCs w:val="21"/>
        </w:rPr>
      </w:pPr>
      <w:r>
        <w:rPr>
          <w:rFonts w:eastAsia="方正仿宋简体"/>
          <w:sz w:val="28"/>
          <w:szCs w:val="28"/>
        </w:rPr>
        <w:br w:type="page"/>
      </w:r>
      <w:bookmarkStart w:id="374" w:name="_Toc25049540"/>
      <w:bookmarkStart w:id="375" w:name="_Toc533010326"/>
      <w:r>
        <w:rPr>
          <w:rFonts w:eastAsia="方正仿宋简体"/>
          <w:bCs/>
          <w:sz w:val="30"/>
          <w:szCs w:val="30"/>
        </w:rPr>
        <w:t>附件12：深圳证券交易所股票期权试点经纪合同示范文本</w:t>
      </w:r>
      <w:bookmarkEnd w:id="374"/>
      <w:bookmarkEnd w:id="375"/>
    </w:p>
    <w:p>
      <w:pPr>
        <w:jc w:val="center"/>
        <w:rPr>
          <w:rFonts w:eastAsia="方正仿宋简体"/>
          <w:b/>
          <w:color w:val="4F81BD"/>
          <w:kern w:val="44"/>
          <w:szCs w:val="21"/>
        </w:rPr>
      </w:pPr>
    </w:p>
    <w:p>
      <w:pPr>
        <w:jc w:val="center"/>
        <w:rPr>
          <w:rFonts w:eastAsia="方正仿宋简体"/>
          <w:b/>
          <w:color w:val="4F81BD"/>
          <w:kern w:val="44"/>
          <w:szCs w:val="21"/>
        </w:rPr>
      </w:pPr>
    </w:p>
    <w:p>
      <w:pPr>
        <w:keepNext/>
        <w:keepLines/>
        <w:spacing w:line="560" w:lineRule="exact"/>
        <w:ind w:left="420" w:hanging="420"/>
        <w:jc w:val="center"/>
        <w:rPr>
          <w:rFonts w:ascii="黑体" w:hAnsi="黑体" w:eastAsia="黑体"/>
          <w:bCs/>
          <w:kern w:val="44"/>
          <w:sz w:val="30"/>
          <w:szCs w:val="30"/>
        </w:rPr>
      </w:pPr>
      <w:bookmarkStart w:id="376" w:name="_Toc381972633"/>
      <w:bookmarkStart w:id="377" w:name="_Toc409007908"/>
      <w:bookmarkStart w:id="378" w:name="_Toc64962684"/>
      <w:bookmarkStart w:id="379" w:name="_Toc67383001"/>
      <w:r>
        <w:rPr>
          <w:rFonts w:ascii="黑体" w:hAnsi="黑体" w:eastAsia="黑体"/>
          <w:bCs/>
          <w:kern w:val="44"/>
          <w:sz w:val="30"/>
          <w:szCs w:val="30"/>
        </w:rPr>
        <w:t>投资者须知</w:t>
      </w:r>
      <w:bookmarkEnd w:id="376"/>
      <w:bookmarkEnd w:id="377"/>
    </w:p>
    <w:p>
      <w:pPr>
        <w:rPr>
          <w:rFonts w:eastAsia="方正仿宋简体"/>
          <w:sz w:val="28"/>
          <w:szCs w:val="28"/>
        </w:rPr>
      </w:pPr>
    </w:p>
    <w:p>
      <w:pPr>
        <w:spacing w:line="560" w:lineRule="exact"/>
        <w:ind w:firstLine="601" w:firstLineChars="200"/>
        <w:rPr>
          <w:rFonts w:eastAsia="方正仿宋简体"/>
          <w:b/>
          <w:sz w:val="30"/>
          <w:szCs w:val="30"/>
        </w:rPr>
      </w:pPr>
      <w:r>
        <w:rPr>
          <w:rFonts w:eastAsia="方正仿宋简体"/>
          <w:b/>
          <w:sz w:val="30"/>
          <w:szCs w:val="30"/>
        </w:rPr>
        <w:t>一、投资者需具备的开户条件</w:t>
      </w:r>
    </w:p>
    <w:p>
      <w:pPr>
        <w:spacing w:line="560" w:lineRule="exact"/>
        <w:ind w:firstLine="600" w:firstLineChars="200"/>
        <w:rPr>
          <w:rFonts w:eastAsia="方正仿宋简体"/>
          <w:sz w:val="30"/>
          <w:szCs w:val="30"/>
        </w:rPr>
      </w:pPr>
      <w:r>
        <w:rPr>
          <w:rFonts w:eastAsia="方正仿宋简体"/>
          <w:sz w:val="30"/>
          <w:szCs w:val="30"/>
        </w:rPr>
        <w:t>投资者应是具备从事股票期权（以下简称期权）交易主体资格的自然人、法人或其他经济组织。</w:t>
      </w:r>
    </w:p>
    <w:p>
      <w:pPr>
        <w:spacing w:line="560" w:lineRule="exact"/>
        <w:ind w:firstLine="600" w:firstLineChars="200"/>
        <w:rPr>
          <w:rFonts w:eastAsia="方正仿宋简体"/>
          <w:sz w:val="30"/>
          <w:szCs w:val="30"/>
        </w:rPr>
      </w:pPr>
      <w:r>
        <w:rPr>
          <w:rFonts w:eastAsia="方正仿宋简体"/>
          <w:sz w:val="30"/>
          <w:szCs w:val="30"/>
        </w:rPr>
        <w:t xml:space="preserve">自然人申请开户时须是年满十八周岁、具有完全民事行为能力的公民。 </w:t>
      </w:r>
    </w:p>
    <w:p>
      <w:pPr>
        <w:spacing w:line="560" w:lineRule="exact"/>
        <w:ind w:firstLine="600" w:firstLineChars="200"/>
        <w:rPr>
          <w:rFonts w:eastAsia="方正仿宋简体"/>
          <w:sz w:val="28"/>
          <w:szCs w:val="28"/>
        </w:rPr>
      </w:pPr>
      <w:r>
        <w:rPr>
          <w:rFonts w:eastAsia="方正仿宋简体"/>
          <w:sz w:val="30"/>
          <w:szCs w:val="30"/>
        </w:rPr>
        <w:t>投资者须以真实的、合法的身份开户。投资者须保证资金来源的合法性。投资者须保证所提供的营业执照、身份证及其他有关资料的真实性、合法性、有效性。</w:t>
      </w:r>
    </w:p>
    <w:p>
      <w:pPr>
        <w:spacing w:line="560" w:lineRule="exact"/>
        <w:ind w:firstLine="601" w:firstLineChars="200"/>
        <w:rPr>
          <w:rFonts w:eastAsia="方正仿宋简体"/>
          <w:b/>
          <w:sz w:val="30"/>
          <w:szCs w:val="30"/>
        </w:rPr>
      </w:pPr>
      <w:r>
        <w:rPr>
          <w:rFonts w:eastAsia="方正仿宋简体"/>
          <w:b/>
          <w:sz w:val="30"/>
          <w:szCs w:val="30"/>
        </w:rPr>
        <w:t>二、开户文件的签署</w:t>
      </w:r>
    </w:p>
    <w:p>
      <w:pPr>
        <w:spacing w:line="560" w:lineRule="exact"/>
        <w:ind w:firstLine="600" w:firstLineChars="200"/>
        <w:rPr>
          <w:rFonts w:eastAsia="方正仿宋简体"/>
          <w:sz w:val="30"/>
          <w:szCs w:val="30"/>
        </w:rPr>
      </w:pPr>
      <w:r>
        <w:rPr>
          <w:rFonts w:eastAsia="方正仿宋简体"/>
          <w:sz w:val="30"/>
          <w:szCs w:val="30"/>
        </w:rPr>
        <w:t>自然人开户的，必须由投资者本人签署开户文件，不得委托代理人代为办理开户手续、签署开户文件。法人、特殊法人、其他经济组织等机构投资者开户的，应当委托代理人办理开户手续、签署开户文件。</w:t>
      </w:r>
    </w:p>
    <w:p>
      <w:pPr>
        <w:spacing w:line="560" w:lineRule="exact"/>
        <w:ind w:firstLine="600" w:firstLineChars="200"/>
        <w:rPr>
          <w:rFonts w:eastAsia="方正仿宋简体"/>
          <w:sz w:val="28"/>
          <w:szCs w:val="28"/>
        </w:rPr>
      </w:pPr>
      <w:r>
        <w:rPr>
          <w:rFonts w:eastAsia="方正仿宋简体"/>
          <w:sz w:val="30"/>
          <w:szCs w:val="30"/>
        </w:rPr>
        <w:t>委托代理人开户的机构投资者应向公司提供真实、合法、有效的开户代理人授权委托书及其他资料。</w:t>
      </w:r>
    </w:p>
    <w:p>
      <w:pPr>
        <w:spacing w:line="560" w:lineRule="exact"/>
        <w:ind w:firstLine="601" w:firstLineChars="200"/>
        <w:rPr>
          <w:rFonts w:eastAsia="方正仿宋简体"/>
          <w:b/>
          <w:sz w:val="30"/>
          <w:szCs w:val="30"/>
        </w:rPr>
      </w:pPr>
      <w:r>
        <w:rPr>
          <w:rFonts w:eastAsia="方正仿宋简体"/>
          <w:b/>
          <w:sz w:val="30"/>
          <w:szCs w:val="30"/>
        </w:rPr>
        <w:t>三、投资者需知晓的事项</w:t>
      </w:r>
    </w:p>
    <w:p>
      <w:pPr>
        <w:spacing w:line="560" w:lineRule="exact"/>
        <w:ind w:firstLine="600" w:firstLineChars="200"/>
        <w:rPr>
          <w:rFonts w:eastAsia="方正仿宋简体"/>
          <w:sz w:val="30"/>
          <w:szCs w:val="30"/>
        </w:rPr>
      </w:pPr>
      <w:r>
        <w:rPr>
          <w:rFonts w:eastAsia="方正仿宋简体"/>
          <w:sz w:val="30"/>
          <w:szCs w:val="30"/>
        </w:rPr>
        <w:t>（一）知晓期权交易风险</w:t>
      </w:r>
    </w:p>
    <w:p>
      <w:pPr>
        <w:spacing w:line="560" w:lineRule="exact"/>
        <w:ind w:firstLine="600" w:firstLineChars="200"/>
        <w:rPr>
          <w:rFonts w:eastAsia="方正仿宋简体"/>
          <w:sz w:val="30"/>
          <w:szCs w:val="30"/>
        </w:rPr>
      </w:pPr>
      <w:r>
        <w:rPr>
          <w:rFonts w:eastAsia="方正仿宋简体"/>
          <w:sz w:val="30"/>
          <w:szCs w:val="30"/>
        </w:rPr>
        <w:t>投资者应知晓从事期权交易具有风险。投资者应在开户前对自身的经济实力、产品认知能力、风险控制能力、生理及心理承受能力等做出客观判断，应仔细阅读并签字确认《股票期权交易风险揭示书》。</w:t>
      </w:r>
    </w:p>
    <w:p>
      <w:pPr>
        <w:spacing w:line="560" w:lineRule="exact"/>
        <w:ind w:firstLine="600" w:firstLineChars="200"/>
        <w:rPr>
          <w:rFonts w:eastAsia="方正仿宋简体"/>
          <w:sz w:val="30"/>
          <w:szCs w:val="30"/>
        </w:rPr>
      </w:pPr>
      <w:r>
        <w:rPr>
          <w:rFonts w:eastAsia="方正仿宋简体"/>
          <w:sz w:val="30"/>
          <w:szCs w:val="30"/>
        </w:rPr>
        <w:t>（二）知晓期权经营机构不得做获利保证</w:t>
      </w:r>
    </w:p>
    <w:p>
      <w:pPr>
        <w:spacing w:line="560" w:lineRule="exact"/>
        <w:ind w:firstLine="600" w:firstLineChars="200"/>
        <w:rPr>
          <w:rFonts w:eastAsia="方正仿宋简体"/>
          <w:sz w:val="30"/>
          <w:szCs w:val="30"/>
        </w:rPr>
      </w:pPr>
      <w:r>
        <w:rPr>
          <w:rFonts w:eastAsia="方正仿宋简体"/>
          <w:sz w:val="30"/>
          <w:szCs w:val="30"/>
        </w:rPr>
        <w:t>投资者应知晓期权交易中任何获利或者不会发生损失的承诺均为不可能或者是没有根据的，期权经营机构不得与投资者约定分享利益或共担风险。</w:t>
      </w:r>
    </w:p>
    <w:p>
      <w:pPr>
        <w:spacing w:line="560" w:lineRule="exact"/>
        <w:ind w:firstLine="600" w:firstLineChars="200"/>
        <w:rPr>
          <w:rFonts w:eastAsia="方正仿宋简体"/>
          <w:sz w:val="30"/>
          <w:szCs w:val="30"/>
        </w:rPr>
      </w:pPr>
      <w:r>
        <w:rPr>
          <w:rFonts w:eastAsia="方正仿宋简体"/>
          <w:sz w:val="30"/>
          <w:szCs w:val="30"/>
        </w:rPr>
        <w:t>（三）知晓期权经营机构不得接受投资者的全权委托</w:t>
      </w:r>
    </w:p>
    <w:p>
      <w:pPr>
        <w:spacing w:line="560" w:lineRule="exact"/>
        <w:ind w:firstLine="600" w:firstLineChars="200"/>
        <w:rPr>
          <w:rFonts w:eastAsia="方正仿宋简体"/>
          <w:sz w:val="30"/>
          <w:szCs w:val="30"/>
        </w:rPr>
      </w:pPr>
      <w:r>
        <w:rPr>
          <w:rFonts w:eastAsia="方正仿宋简体"/>
          <w:sz w:val="30"/>
          <w:szCs w:val="30"/>
        </w:rPr>
        <w:t>投资者应知晓期权经营机构及其工作人员不得接受投资者的全权委托，投资者也不得要求期权经营机构或其工作人员以全权委托的方式进行期权交易。全权委托指期权经营机构代投资者决定交易指令的内容。</w:t>
      </w:r>
    </w:p>
    <w:p>
      <w:pPr>
        <w:spacing w:line="560" w:lineRule="exact"/>
        <w:ind w:firstLine="600" w:firstLineChars="200"/>
        <w:rPr>
          <w:rFonts w:eastAsia="方正仿宋简体"/>
          <w:sz w:val="30"/>
          <w:szCs w:val="30"/>
        </w:rPr>
      </w:pPr>
      <w:r>
        <w:rPr>
          <w:rFonts w:eastAsia="方正仿宋简体"/>
          <w:sz w:val="30"/>
          <w:szCs w:val="30"/>
        </w:rPr>
        <w:t>（四）知晓投资者本人须对其代理人的代理行为承担民事责任</w:t>
      </w:r>
    </w:p>
    <w:p>
      <w:pPr>
        <w:spacing w:line="560" w:lineRule="exact"/>
        <w:ind w:firstLine="600" w:firstLineChars="200"/>
        <w:rPr>
          <w:rFonts w:eastAsia="方正仿宋简体"/>
          <w:sz w:val="30"/>
          <w:szCs w:val="30"/>
        </w:rPr>
      </w:pPr>
      <w:r>
        <w:rPr>
          <w:rFonts w:eastAsia="方正仿宋简体"/>
          <w:sz w:val="30"/>
          <w:szCs w:val="30"/>
        </w:rPr>
        <w:t>投资者代理人是基于投资者的授权,代理投资者实施民事行为的人，代理人在代理权限内以投资者名义进行的行为即视为投资者自己的行为，代理人向投资者负责，投资者对代理人代理行为的后果承担一切责任。</w:t>
      </w:r>
    </w:p>
    <w:p>
      <w:pPr>
        <w:spacing w:line="560" w:lineRule="exact"/>
        <w:ind w:firstLine="600" w:firstLineChars="200"/>
        <w:rPr>
          <w:rFonts w:eastAsia="方正仿宋简体"/>
          <w:sz w:val="30"/>
          <w:szCs w:val="30"/>
        </w:rPr>
      </w:pPr>
      <w:r>
        <w:rPr>
          <w:rFonts w:eastAsia="方正仿宋简体"/>
          <w:sz w:val="30"/>
          <w:szCs w:val="30"/>
        </w:rPr>
        <w:t>（五）知晓期权保证金安全存管的有关规定</w:t>
      </w:r>
    </w:p>
    <w:p>
      <w:pPr>
        <w:spacing w:line="560" w:lineRule="exact"/>
        <w:ind w:firstLine="600" w:firstLineChars="200"/>
        <w:rPr>
          <w:rFonts w:eastAsia="方正仿宋简体"/>
          <w:sz w:val="30"/>
          <w:szCs w:val="30"/>
        </w:rPr>
      </w:pPr>
      <w:r>
        <w:rPr>
          <w:rFonts w:eastAsia="方正仿宋简体"/>
          <w:sz w:val="30"/>
          <w:szCs w:val="30"/>
        </w:rPr>
        <w:t>为保障期权保证金的安全，投资者应当知晓并遵守中国证监会有关期权保证金存取的规定，应当确保将资金直接存入期权经营机构的客户保证金账户，期权保证金的存取应当通过投资者在期权经营机构登记的期权银行结算账户和期权经营机构的客户期权保证金账户之间转账办理。</w:t>
      </w:r>
    </w:p>
    <w:bookmarkEnd w:id="378"/>
    <w:bookmarkEnd w:id="379"/>
    <w:p>
      <w:pPr>
        <w:spacing w:line="560" w:lineRule="exact"/>
        <w:ind w:firstLine="600" w:firstLineChars="200"/>
        <w:rPr>
          <w:rFonts w:eastAsia="方正仿宋简体"/>
          <w:sz w:val="30"/>
          <w:szCs w:val="30"/>
        </w:rPr>
      </w:pPr>
      <w:r>
        <w:rPr>
          <w:rFonts w:eastAsia="方正仿宋简体"/>
          <w:sz w:val="30"/>
          <w:szCs w:val="30"/>
        </w:rPr>
        <w:t>（六）知晓期权保证金账户和结算资料的查询网址</w:t>
      </w:r>
    </w:p>
    <w:p>
      <w:pPr>
        <w:spacing w:line="560" w:lineRule="exact"/>
        <w:ind w:firstLine="600" w:firstLineChars="200"/>
        <w:rPr>
          <w:rFonts w:eastAsia="方正仿宋简体"/>
          <w:sz w:val="30"/>
          <w:szCs w:val="30"/>
        </w:rPr>
      </w:pPr>
      <w:r>
        <w:rPr>
          <w:rFonts w:eastAsia="方正仿宋简体"/>
          <w:sz w:val="30"/>
          <w:szCs w:val="30"/>
        </w:rPr>
        <w:t>投资者知晓其期权保证金账户和结算资料的查询网址为：（www.sipf.com.cn）或者（www.cfmmc.com）（二者选其一）。</w:t>
      </w:r>
    </w:p>
    <w:p>
      <w:pPr>
        <w:spacing w:line="560" w:lineRule="exact"/>
        <w:ind w:firstLine="600" w:firstLineChars="200"/>
        <w:rPr>
          <w:rFonts w:eastAsia="方正仿宋简体"/>
          <w:sz w:val="30"/>
          <w:szCs w:val="30"/>
        </w:rPr>
      </w:pPr>
      <w:r>
        <w:rPr>
          <w:rFonts w:eastAsia="方正仿宋简体"/>
          <w:sz w:val="30"/>
          <w:szCs w:val="30"/>
        </w:rPr>
        <w:t xml:space="preserve">（七）知晓从业人员资格公示网址 </w:t>
      </w:r>
    </w:p>
    <w:p>
      <w:pPr>
        <w:spacing w:line="560" w:lineRule="exact"/>
        <w:ind w:firstLine="600" w:firstLineChars="200"/>
        <w:rPr>
          <w:rFonts w:eastAsia="方正仿宋简体"/>
          <w:sz w:val="30"/>
          <w:szCs w:val="30"/>
        </w:rPr>
      </w:pPr>
      <w:r>
        <w:rPr>
          <w:rFonts w:eastAsia="方正仿宋简体"/>
          <w:sz w:val="30"/>
          <w:szCs w:val="30"/>
        </w:rPr>
        <w:t>有关从业人员的信息可以通过中国证券业协会网站（www.sac.net.cn）、中国期货业协会网站（www.cfachina.org）进行查询。</w:t>
      </w:r>
    </w:p>
    <w:p>
      <w:pPr>
        <w:spacing w:line="560" w:lineRule="exact"/>
        <w:ind w:firstLine="600" w:firstLineChars="200"/>
        <w:rPr>
          <w:rFonts w:eastAsia="方正仿宋简体"/>
          <w:sz w:val="30"/>
          <w:szCs w:val="30"/>
        </w:rPr>
      </w:pPr>
      <w:r>
        <w:rPr>
          <w:rFonts w:eastAsia="方正仿宋简体"/>
          <w:sz w:val="30"/>
          <w:szCs w:val="30"/>
        </w:rPr>
        <w:t xml:space="preserve">（八）知晓应当妥善保管密码 </w:t>
      </w:r>
    </w:p>
    <w:p>
      <w:pPr>
        <w:spacing w:line="560" w:lineRule="exact"/>
        <w:ind w:firstLine="600" w:firstLineChars="200"/>
        <w:rPr>
          <w:rFonts w:eastAsia="方正仿宋简体"/>
          <w:sz w:val="30"/>
          <w:szCs w:val="30"/>
        </w:rPr>
      </w:pPr>
      <w:r>
        <w:rPr>
          <w:rFonts w:eastAsia="方正仿宋简体"/>
          <w:sz w:val="30"/>
          <w:szCs w:val="30"/>
        </w:rPr>
        <w:t>投资者应当妥善保管自己的交易密码、资金密码、期权保证金安全存管监控机构密码及其他与期权交易相关的密码，凡使用密码进行的所有操作均视为投资者本人的操作，投资者必须承担由于管理不善造成密码泄密所带来的损失。</w:t>
      </w:r>
    </w:p>
    <w:p>
      <w:pPr>
        <w:spacing w:line="560" w:lineRule="exact"/>
        <w:ind w:firstLine="600" w:firstLineChars="200"/>
        <w:rPr>
          <w:rFonts w:eastAsia="方正仿宋简体"/>
          <w:sz w:val="30"/>
          <w:szCs w:val="30"/>
        </w:rPr>
      </w:pPr>
      <w:r>
        <w:rPr>
          <w:rFonts w:eastAsia="方正仿宋简体"/>
          <w:sz w:val="30"/>
          <w:szCs w:val="30"/>
        </w:rPr>
        <w:t>（九）知晓并遵守深圳证券交易所有关异常交易、实际控制关系账户的规定</w:t>
      </w:r>
    </w:p>
    <w:p>
      <w:pPr>
        <w:spacing w:line="560" w:lineRule="exact"/>
        <w:ind w:firstLine="600" w:firstLineChars="200"/>
        <w:rPr>
          <w:rFonts w:eastAsia="方正仿宋简体"/>
          <w:sz w:val="30"/>
          <w:szCs w:val="30"/>
        </w:rPr>
      </w:pPr>
      <w:r>
        <w:rPr>
          <w:rFonts w:eastAsia="方正仿宋简体"/>
          <w:sz w:val="30"/>
          <w:szCs w:val="30"/>
        </w:rPr>
        <w:t xml:space="preserve">投资者应当知晓并遵守深圳证券交易所对自买自卖、频繁报撤单及其他异常交易行为和实际控制关系账户的有关规定。 </w:t>
      </w:r>
    </w:p>
    <w:p>
      <w:pPr>
        <w:spacing w:line="560" w:lineRule="exact"/>
        <w:ind w:firstLine="600" w:firstLineChars="200"/>
        <w:rPr>
          <w:rFonts w:eastAsia="方正仿宋简体"/>
          <w:sz w:val="30"/>
          <w:szCs w:val="30"/>
        </w:rPr>
      </w:pPr>
      <w:r>
        <w:rPr>
          <w:rFonts w:eastAsia="方正仿宋简体"/>
          <w:sz w:val="30"/>
          <w:szCs w:val="30"/>
        </w:rPr>
        <w:t>投资者违反上述规定，经期权经营机构提醒、劝阻、制止无效时，期权经营机构有权采取提高保证金、限制开仓、强行平仓、限制出金、拒绝投资者委托或者终止经纪关系等措施，由此造成的一切损失，均由投资者承担。</w:t>
      </w:r>
      <w:r>
        <w:rPr>
          <w:rFonts w:eastAsia="方正仿宋简体"/>
          <w:sz w:val="30"/>
          <w:szCs w:val="30"/>
        </w:rPr>
        <w:tab/>
      </w:r>
    </w:p>
    <w:p>
      <w:pPr>
        <w:spacing w:line="560" w:lineRule="exact"/>
        <w:ind w:firstLine="600" w:firstLineChars="200"/>
        <w:rPr>
          <w:rFonts w:eastAsia="方正仿宋简体"/>
          <w:sz w:val="30"/>
          <w:szCs w:val="30"/>
        </w:rPr>
      </w:pPr>
      <w:r>
        <w:rPr>
          <w:rFonts w:eastAsia="方正仿宋简体"/>
          <w:sz w:val="30"/>
          <w:szCs w:val="30"/>
        </w:rPr>
        <w:t xml:space="preserve">（十）知晓从事中间介绍业务（      ）公司的有关规定 </w:t>
      </w:r>
    </w:p>
    <w:p>
      <w:pPr>
        <w:spacing w:line="560" w:lineRule="exact"/>
        <w:ind w:firstLine="600" w:firstLineChars="200"/>
        <w:rPr>
          <w:rFonts w:eastAsia="方正仿宋简体"/>
          <w:sz w:val="30"/>
          <w:szCs w:val="30"/>
        </w:rPr>
      </w:pPr>
      <w:r>
        <w:rPr>
          <w:rFonts w:eastAsia="方正仿宋简体"/>
          <w:sz w:val="30"/>
          <w:szCs w:val="30"/>
        </w:rPr>
        <w:t xml:space="preserve">（      ）公司从事中间介绍业务限于以下服务内容： </w:t>
      </w:r>
    </w:p>
    <w:p>
      <w:pPr>
        <w:spacing w:line="560" w:lineRule="exact"/>
        <w:ind w:firstLine="600" w:firstLineChars="200"/>
        <w:rPr>
          <w:rFonts w:eastAsia="方正仿宋简体"/>
          <w:sz w:val="30"/>
          <w:szCs w:val="30"/>
        </w:rPr>
      </w:pPr>
      <w:r>
        <w:rPr>
          <w:rFonts w:eastAsia="方正仿宋简体"/>
          <w:sz w:val="30"/>
          <w:szCs w:val="30"/>
        </w:rPr>
        <w:t xml:space="preserve">1．协助办理开户手续； </w:t>
      </w:r>
    </w:p>
    <w:p>
      <w:pPr>
        <w:spacing w:line="560" w:lineRule="exact"/>
        <w:ind w:firstLine="600" w:firstLineChars="200"/>
        <w:rPr>
          <w:rFonts w:eastAsia="方正仿宋简体"/>
          <w:sz w:val="30"/>
          <w:szCs w:val="30"/>
        </w:rPr>
      </w:pPr>
      <w:r>
        <w:rPr>
          <w:rFonts w:eastAsia="方正仿宋简体"/>
          <w:sz w:val="30"/>
          <w:szCs w:val="30"/>
        </w:rPr>
        <w:t xml:space="preserve">2．提供期权行情信息、交易设施； </w:t>
      </w:r>
    </w:p>
    <w:p>
      <w:pPr>
        <w:spacing w:line="560" w:lineRule="exact"/>
        <w:ind w:firstLine="600" w:firstLineChars="200"/>
        <w:rPr>
          <w:rFonts w:eastAsia="方正仿宋简体"/>
          <w:sz w:val="30"/>
          <w:szCs w:val="30"/>
        </w:rPr>
      </w:pPr>
      <w:r>
        <w:rPr>
          <w:rFonts w:eastAsia="方正仿宋简体"/>
          <w:sz w:val="30"/>
          <w:szCs w:val="30"/>
        </w:rPr>
        <w:t xml:space="preserve">3．协助（   ）公司向投资者提示风险； </w:t>
      </w:r>
    </w:p>
    <w:p>
      <w:pPr>
        <w:spacing w:line="560" w:lineRule="exact"/>
        <w:ind w:firstLine="600" w:firstLineChars="200"/>
        <w:rPr>
          <w:rFonts w:eastAsia="方正仿宋简体"/>
          <w:sz w:val="30"/>
          <w:szCs w:val="30"/>
        </w:rPr>
      </w:pPr>
      <w:r>
        <w:rPr>
          <w:rFonts w:eastAsia="方正仿宋简体"/>
          <w:sz w:val="30"/>
          <w:szCs w:val="30"/>
        </w:rPr>
        <w:t xml:space="preserve">4．中国证监会规定的其他服务。 </w:t>
      </w:r>
    </w:p>
    <w:p>
      <w:pPr>
        <w:spacing w:line="560" w:lineRule="exact"/>
        <w:ind w:firstLine="600" w:firstLineChars="200"/>
        <w:rPr>
          <w:rFonts w:eastAsia="方正仿宋简体"/>
          <w:sz w:val="30"/>
          <w:szCs w:val="30"/>
        </w:rPr>
      </w:pPr>
      <w:r>
        <w:rPr>
          <w:rFonts w:eastAsia="方正仿宋简体"/>
          <w:sz w:val="30"/>
          <w:szCs w:val="30"/>
        </w:rPr>
        <w:t>从事中间介绍业务的（   ）公司不得代理投资者进行期权交易、结算或交割，不得代（    ）公司、投资者收付期权保证金，不得代投资者下达交易指令，不得利用投资者开展期权交易的合约及保证金账户进行期权交易，不得代投资者接收、保管或者修改交易密码，不得为投资者从事期权交易提供融资或担保。</w:t>
      </w:r>
    </w:p>
    <w:p>
      <w:pPr>
        <w:spacing w:line="560" w:lineRule="exact"/>
        <w:ind w:firstLine="600" w:firstLineChars="200"/>
        <w:rPr>
          <w:rFonts w:eastAsia="方正仿宋简体"/>
          <w:sz w:val="30"/>
          <w:szCs w:val="30"/>
        </w:rPr>
      </w:pPr>
      <w:r>
        <w:rPr>
          <w:rFonts w:eastAsia="方正仿宋简体"/>
          <w:sz w:val="30"/>
          <w:szCs w:val="30"/>
        </w:rPr>
        <w:t>（十一）知晓反洗钱法律法规的有关规定</w:t>
      </w:r>
    </w:p>
    <w:p>
      <w:pPr>
        <w:spacing w:line="560" w:lineRule="exact"/>
        <w:ind w:firstLine="600" w:firstLineChars="200"/>
        <w:rPr>
          <w:rFonts w:eastAsia="方正仿宋简体"/>
          <w:sz w:val="30"/>
          <w:szCs w:val="30"/>
        </w:rPr>
      </w:pPr>
      <w:r>
        <w:rPr>
          <w:rFonts w:eastAsia="方正仿宋简体"/>
          <w:sz w:val="30"/>
          <w:szCs w:val="30"/>
        </w:rPr>
        <w:t xml:space="preserve">投资者应当知晓不得利用期权账户从事洗钱活动，知晓期权经营机构作为金融机构承担反洗钱义务，投资者应积极配合期权经营机构开展反洗钱工作，包括但不限于投资者身份识别、可疑交易报告、风险等级划分、账户实际控制关系申报等。 </w:t>
      </w:r>
    </w:p>
    <w:p>
      <w:pPr>
        <w:spacing w:line="560" w:lineRule="exact"/>
        <w:ind w:firstLine="600" w:firstLineChars="200"/>
        <w:rPr>
          <w:rFonts w:eastAsia="方正仿宋简体"/>
          <w:sz w:val="30"/>
          <w:szCs w:val="30"/>
        </w:rPr>
      </w:pPr>
      <w:r>
        <w:rPr>
          <w:rFonts w:eastAsia="方正仿宋简体"/>
          <w:sz w:val="30"/>
          <w:szCs w:val="30"/>
        </w:rPr>
        <w:t>投资者存在洗钱行为的，需要承担法律责任，构成犯罪的，将被追究刑事责任。</w:t>
      </w:r>
      <w:r>
        <w:rPr>
          <w:rFonts w:eastAsia="方正仿宋简体"/>
          <w:sz w:val="30"/>
          <w:szCs w:val="30"/>
        </w:rPr>
        <w:tab/>
      </w:r>
    </w:p>
    <w:p>
      <w:pPr>
        <w:spacing w:line="560" w:lineRule="exact"/>
        <w:ind w:firstLine="600" w:firstLineChars="200"/>
        <w:rPr>
          <w:rFonts w:eastAsia="方正仿宋简体"/>
          <w:sz w:val="30"/>
          <w:szCs w:val="30"/>
        </w:rPr>
      </w:pPr>
      <w:r>
        <w:rPr>
          <w:rFonts w:eastAsia="方正仿宋简体"/>
          <w:sz w:val="30"/>
          <w:szCs w:val="30"/>
        </w:rPr>
        <w:t>（十二）知晓投资者适当性制度的有关规定</w:t>
      </w:r>
    </w:p>
    <w:p>
      <w:pPr>
        <w:spacing w:line="560" w:lineRule="exact"/>
        <w:ind w:firstLine="600" w:firstLineChars="200"/>
        <w:rPr>
          <w:rFonts w:eastAsia="方正仿宋简体"/>
          <w:sz w:val="30"/>
          <w:szCs w:val="30"/>
        </w:rPr>
      </w:pPr>
      <w:r>
        <w:rPr>
          <w:rFonts w:eastAsia="方正仿宋简体"/>
          <w:sz w:val="30"/>
          <w:szCs w:val="30"/>
        </w:rPr>
        <w:t>期权经营机构根据法律、法规、规章、深圳证券交易所、中国证券登记结算有限责任公司以及其他行业自律机构的业务规则的各项要求，对投资者进行适当性评价。评价结果不构成对投资者的投资建议，不构成对投资者的获利保证。</w:t>
      </w:r>
    </w:p>
    <w:p>
      <w:pPr>
        <w:spacing w:line="560" w:lineRule="exact"/>
        <w:ind w:firstLine="600" w:firstLineChars="200"/>
        <w:rPr>
          <w:rFonts w:eastAsia="方正仿宋简体"/>
          <w:sz w:val="30"/>
          <w:szCs w:val="30"/>
        </w:rPr>
      </w:pPr>
      <w:r>
        <w:rPr>
          <w:rFonts w:eastAsia="方正仿宋简体"/>
          <w:sz w:val="30"/>
          <w:szCs w:val="30"/>
        </w:rPr>
        <w:t>投资者应当根据投资者适当性管理制度的要求及自身的风险承受能力，审慎决定是否参与期权交易，不得以不符合适当性标准为由拒绝承担期权交易结果与履约责任。</w:t>
      </w:r>
      <w:r>
        <w:rPr>
          <w:rFonts w:eastAsia="方正仿宋简体"/>
          <w:sz w:val="30"/>
          <w:szCs w:val="30"/>
        </w:rPr>
        <w:tab/>
      </w:r>
    </w:p>
    <w:p>
      <w:pPr>
        <w:adjustRightInd w:val="0"/>
        <w:spacing w:line="360" w:lineRule="auto"/>
        <w:ind w:firstLine="600" w:firstLineChars="200"/>
        <w:rPr>
          <w:rFonts w:eastAsia="方正仿宋简体"/>
          <w:bCs/>
          <w:color w:val="4F81BD"/>
          <w:sz w:val="30"/>
          <w:szCs w:val="30"/>
        </w:rPr>
      </w:pPr>
    </w:p>
    <w:p>
      <w:pPr>
        <w:spacing w:line="360" w:lineRule="auto"/>
        <w:ind w:firstLine="600" w:firstLineChars="200"/>
        <w:jc w:val="left"/>
        <w:rPr>
          <w:rFonts w:eastAsia="方正仿宋简体"/>
          <w:sz w:val="30"/>
          <w:szCs w:val="30"/>
          <w:u w:val="single"/>
        </w:rPr>
      </w:pPr>
      <w:r>
        <w:rPr>
          <w:rFonts w:eastAsia="方正仿宋简体"/>
          <w:sz w:val="30"/>
          <w:szCs w:val="30"/>
          <w:u w:val="single"/>
        </w:rPr>
        <w:t>以上《投资者须知》的各项内容，本人/单位已阅读并完全理解。</w:t>
      </w:r>
      <w:r>
        <w:rPr>
          <w:rFonts w:eastAsia="方正仿宋简体"/>
          <w:sz w:val="30"/>
          <w:szCs w:val="30"/>
        </w:rPr>
        <w:t xml:space="preserve">                                                                      （请抄写以上划线部分）</w:t>
      </w:r>
    </w:p>
    <w:p>
      <w:pPr>
        <w:spacing w:line="360" w:lineRule="auto"/>
        <w:rPr>
          <w:rFonts w:eastAsia="方正仿宋简体"/>
          <w:sz w:val="30"/>
          <w:szCs w:val="30"/>
          <w:u w:val="single"/>
        </w:rPr>
      </w:pPr>
      <w:r>
        <w:rPr>
          <w:rFonts w:eastAsia="方正仿宋简体"/>
          <w:sz w:val="30"/>
          <w:szCs w:val="30"/>
          <w:u w:val="single"/>
        </w:rPr>
        <w:t xml:space="preserve">                                                        </w:t>
      </w:r>
    </w:p>
    <w:p>
      <w:pPr>
        <w:adjustRightInd w:val="0"/>
        <w:snapToGrid w:val="0"/>
        <w:spacing w:line="540" w:lineRule="exact"/>
        <w:rPr>
          <w:rFonts w:eastAsia="方正仿宋简体"/>
          <w:sz w:val="30"/>
          <w:szCs w:val="30"/>
        </w:rPr>
      </w:pPr>
    </w:p>
    <w:p>
      <w:pPr>
        <w:adjustRightInd w:val="0"/>
        <w:snapToGrid w:val="0"/>
        <w:spacing w:line="540" w:lineRule="exact"/>
        <w:ind w:firstLine="5572"/>
        <w:rPr>
          <w:rFonts w:eastAsia="方正仿宋简体"/>
          <w:b/>
          <w:sz w:val="30"/>
          <w:szCs w:val="30"/>
        </w:rPr>
      </w:pPr>
      <w:r>
        <w:rPr>
          <w:rFonts w:eastAsia="方正仿宋简体"/>
          <w:b/>
          <w:sz w:val="30"/>
          <w:szCs w:val="30"/>
        </w:rPr>
        <w:t>自然人投资者</w:t>
      </w:r>
    </w:p>
    <w:p>
      <w:pPr>
        <w:adjustRightInd w:val="0"/>
        <w:snapToGrid w:val="0"/>
        <w:spacing w:line="540" w:lineRule="exact"/>
        <w:rPr>
          <w:rFonts w:eastAsia="方正仿宋简体"/>
          <w:sz w:val="30"/>
          <w:szCs w:val="30"/>
          <w:u w:val="single"/>
        </w:rPr>
      </w:pPr>
      <w:r>
        <w:rPr>
          <w:rFonts w:eastAsia="方正仿宋简体"/>
          <w:sz w:val="30"/>
          <w:szCs w:val="30"/>
        </w:rPr>
        <w:t>甲方（签字）：</w:t>
      </w:r>
    </w:p>
    <w:p>
      <w:pPr>
        <w:adjustRightInd w:val="0"/>
        <w:snapToGrid w:val="0"/>
        <w:spacing w:line="540" w:lineRule="exact"/>
        <w:rPr>
          <w:rFonts w:eastAsia="方正仿宋简体"/>
          <w:sz w:val="30"/>
          <w:szCs w:val="30"/>
        </w:rPr>
      </w:pPr>
      <w:r>
        <w:rPr>
          <w:rFonts w:eastAsia="方正仿宋简体"/>
          <w:sz w:val="30"/>
          <w:szCs w:val="30"/>
        </w:rPr>
        <w:t xml:space="preserve">        </w:t>
      </w:r>
    </w:p>
    <w:p>
      <w:pPr>
        <w:adjustRightInd w:val="0"/>
        <w:snapToGrid w:val="0"/>
        <w:spacing w:line="540" w:lineRule="exact"/>
        <w:ind w:firstLine="5572"/>
        <w:rPr>
          <w:rFonts w:eastAsia="方正仿宋简体"/>
          <w:b/>
          <w:sz w:val="30"/>
          <w:szCs w:val="30"/>
        </w:rPr>
      </w:pPr>
      <w:r>
        <w:rPr>
          <w:rFonts w:eastAsia="方正仿宋简体"/>
          <w:b/>
          <w:sz w:val="30"/>
          <w:szCs w:val="30"/>
        </w:rPr>
        <w:t>机构投资者</w:t>
      </w:r>
    </w:p>
    <w:p>
      <w:pPr>
        <w:adjustRightInd w:val="0"/>
        <w:snapToGrid w:val="0"/>
        <w:spacing w:line="540" w:lineRule="exact"/>
        <w:jc w:val="left"/>
        <w:rPr>
          <w:rFonts w:eastAsia="方正仿宋简体"/>
          <w:sz w:val="30"/>
          <w:szCs w:val="30"/>
          <w:u w:val="single"/>
        </w:rPr>
      </w:pPr>
      <w:r>
        <w:rPr>
          <w:rFonts w:eastAsia="方正仿宋简体"/>
          <w:sz w:val="30"/>
          <w:szCs w:val="30"/>
        </w:rPr>
        <w:t>甲方名称：</w:t>
      </w:r>
    </w:p>
    <w:p>
      <w:pPr>
        <w:adjustRightInd w:val="0"/>
        <w:snapToGrid w:val="0"/>
        <w:spacing w:line="540" w:lineRule="exact"/>
        <w:jc w:val="left"/>
        <w:rPr>
          <w:rFonts w:eastAsia="方正仿宋简体"/>
          <w:sz w:val="30"/>
          <w:szCs w:val="30"/>
        </w:rPr>
      </w:pPr>
      <w:r>
        <w:rPr>
          <w:rFonts w:eastAsia="方正仿宋简体"/>
          <w:sz w:val="30"/>
          <w:szCs w:val="30"/>
        </w:rPr>
        <w:t>（加盖公章）</w:t>
      </w:r>
    </w:p>
    <w:p>
      <w:pPr>
        <w:adjustRightInd w:val="0"/>
        <w:snapToGrid w:val="0"/>
        <w:spacing w:line="540" w:lineRule="exact"/>
        <w:rPr>
          <w:rFonts w:eastAsia="方正仿宋简体"/>
          <w:sz w:val="30"/>
          <w:szCs w:val="30"/>
        </w:rPr>
      </w:pPr>
      <w:r>
        <w:rPr>
          <w:rFonts w:eastAsia="方正仿宋简体"/>
          <w:sz w:val="30"/>
          <w:szCs w:val="30"/>
        </w:rPr>
        <w:t xml:space="preserve">委托代理人： </w:t>
      </w:r>
    </w:p>
    <w:p>
      <w:pPr>
        <w:adjustRightInd w:val="0"/>
        <w:snapToGrid w:val="0"/>
        <w:spacing w:line="540" w:lineRule="exact"/>
        <w:rPr>
          <w:rFonts w:eastAsia="方正仿宋简体"/>
          <w:sz w:val="30"/>
          <w:szCs w:val="30"/>
        </w:rPr>
      </w:pPr>
      <w:r>
        <w:rPr>
          <w:rFonts w:eastAsia="方正仿宋简体"/>
          <w:sz w:val="30"/>
          <w:szCs w:val="30"/>
        </w:rPr>
        <w:t xml:space="preserve">（签字）           </w:t>
      </w:r>
    </w:p>
    <w:p>
      <w:pPr>
        <w:adjustRightInd w:val="0"/>
        <w:snapToGrid w:val="0"/>
        <w:spacing w:line="540" w:lineRule="exact"/>
        <w:jc w:val="right"/>
        <w:rPr>
          <w:rFonts w:eastAsia="方正仿宋简体"/>
          <w:sz w:val="30"/>
          <w:szCs w:val="30"/>
        </w:rPr>
      </w:pPr>
    </w:p>
    <w:p>
      <w:pPr>
        <w:adjustRightInd w:val="0"/>
        <w:snapToGrid w:val="0"/>
        <w:spacing w:line="540" w:lineRule="exact"/>
        <w:jc w:val="right"/>
        <w:rPr>
          <w:rFonts w:eastAsia="方正仿宋简体"/>
          <w:sz w:val="30"/>
          <w:szCs w:val="30"/>
        </w:rPr>
      </w:pPr>
      <w:r>
        <w:rPr>
          <w:rFonts w:eastAsia="方正仿宋简体"/>
          <w:vanish/>
          <w:sz w:val="30"/>
          <w:szCs w:val="30"/>
        </w:rPr>
        <w:cr/>
      </w:r>
      <w:r>
        <w:rPr>
          <w:rFonts w:eastAsia="方正仿宋简体"/>
          <w:sz w:val="30"/>
          <w:szCs w:val="30"/>
        </w:rPr>
        <w:t>签署日期：</w:t>
      </w:r>
      <w:r>
        <w:rPr>
          <w:rFonts w:eastAsia="方正仿宋简体"/>
          <w:sz w:val="30"/>
          <w:szCs w:val="30"/>
          <w:u w:val="single"/>
        </w:rPr>
        <w:t xml:space="preserve">      </w:t>
      </w:r>
      <w:r>
        <w:rPr>
          <w:rFonts w:eastAsia="方正仿宋简体"/>
          <w:sz w:val="30"/>
          <w:szCs w:val="30"/>
        </w:rPr>
        <w:t>年</w:t>
      </w:r>
      <w:r>
        <w:rPr>
          <w:rFonts w:eastAsia="方正仿宋简体"/>
          <w:sz w:val="30"/>
          <w:szCs w:val="30"/>
          <w:u w:val="single"/>
        </w:rPr>
        <w:t xml:space="preserve">    </w:t>
      </w:r>
      <w:r>
        <w:rPr>
          <w:rFonts w:eastAsia="方正仿宋简体"/>
          <w:sz w:val="30"/>
          <w:szCs w:val="30"/>
        </w:rPr>
        <w:t>月</w:t>
      </w:r>
      <w:r>
        <w:rPr>
          <w:rFonts w:eastAsia="方正仿宋简体"/>
          <w:sz w:val="30"/>
          <w:szCs w:val="30"/>
          <w:u w:val="single"/>
        </w:rPr>
        <w:t xml:space="preserve">    </w:t>
      </w:r>
      <w:r>
        <w:rPr>
          <w:rFonts w:eastAsia="方正仿宋简体"/>
          <w:sz w:val="30"/>
          <w:szCs w:val="30"/>
        </w:rPr>
        <w:t>日</w:t>
      </w:r>
    </w:p>
    <w:p>
      <w:pPr>
        <w:rPr>
          <w:rFonts w:eastAsia="方正仿宋简体"/>
          <w:sz w:val="28"/>
          <w:szCs w:val="28"/>
        </w:rPr>
      </w:pPr>
      <w:bookmarkStart w:id="380" w:name="_Toc408578708"/>
      <w:bookmarkStart w:id="381" w:name="_Toc409007909"/>
      <w:r>
        <w:rPr>
          <w:rFonts w:eastAsia="方正仿宋简体"/>
          <w:sz w:val="38"/>
          <w:szCs w:val="38"/>
        </w:rPr>
        <w:br w:type="page"/>
      </w:r>
    </w:p>
    <w:p>
      <w:pPr>
        <w:keepNext/>
        <w:keepLines/>
        <w:spacing w:line="560" w:lineRule="exact"/>
        <w:ind w:left="420" w:hanging="420"/>
        <w:jc w:val="center"/>
        <w:rPr>
          <w:rFonts w:ascii="黑体" w:hAnsi="黑体" w:eastAsia="黑体"/>
          <w:bCs/>
          <w:kern w:val="44"/>
          <w:sz w:val="30"/>
          <w:szCs w:val="30"/>
        </w:rPr>
      </w:pPr>
      <w:r>
        <w:rPr>
          <w:rFonts w:ascii="黑体" w:hAnsi="黑体" w:eastAsia="黑体"/>
          <w:bCs/>
          <w:kern w:val="44"/>
          <w:sz w:val="30"/>
          <w:szCs w:val="30"/>
        </w:rPr>
        <w:t>经纪合同示范文本</w:t>
      </w:r>
      <w:bookmarkEnd w:id="380"/>
      <w:bookmarkEnd w:id="381"/>
    </w:p>
    <w:p>
      <w:pPr>
        <w:jc w:val="center"/>
        <w:rPr>
          <w:rFonts w:eastAsia="方正仿宋简体"/>
          <w:kern w:val="44"/>
          <w:sz w:val="28"/>
          <w:szCs w:val="28"/>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00" w:firstLineChars="200"/>
        <w:jc w:val="left"/>
        <w:rPr>
          <w:rFonts w:eastAsia="方正仿宋简体"/>
          <w:kern w:val="0"/>
          <w:sz w:val="30"/>
          <w:szCs w:val="30"/>
          <w:u w:val="single"/>
          <w:lang w:val="zh-CN" w:eastAsia="zh-CN"/>
        </w:rPr>
      </w:pPr>
      <w:r>
        <w:rPr>
          <w:rFonts w:eastAsia="方正仿宋简体"/>
          <w:kern w:val="0"/>
          <w:sz w:val="30"/>
          <w:szCs w:val="30"/>
          <w:lang w:val="zh-CN" w:eastAsia="zh-CN"/>
        </w:rPr>
        <w:t>甲方：</w:t>
      </w:r>
      <w:r>
        <w:rPr>
          <w:rFonts w:eastAsia="方正仿宋简体"/>
          <w:kern w:val="0"/>
          <w:sz w:val="30"/>
          <w:szCs w:val="30"/>
          <w:u w:val="single"/>
          <w:lang w:val="zh-CN" w:eastAsia="zh-CN"/>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00" w:firstLineChars="200"/>
        <w:jc w:val="left"/>
        <w:rPr>
          <w:rFonts w:eastAsia="方正仿宋简体"/>
          <w:kern w:val="0"/>
          <w:sz w:val="30"/>
          <w:szCs w:val="30"/>
          <w:lang w:val="zh-CN" w:eastAsia="zh-CN"/>
        </w:rPr>
      </w:pPr>
      <w:r>
        <w:rPr>
          <w:rFonts w:eastAsia="方正仿宋简体"/>
          <w:kern w:val="0"/>
          <w:sz w:val="30"/>
          <w:szCs w:val="30"/>
          <w:lang w:val="zh-CN" w:eastAsia="zh-CN"/>
        </w:rPr>
        <w:t>乙方：</w:t>
      </w:r>
      <w:r>
        <w:rPr>
          <w:rFonts w:eastAsia="方正仿宋简体"/>
          <w:kern w:val="0"/>
          <w:sz w:val="30"/>
          <w:szCs w:val="30"/>
          <w:u w:val="single"/>
          <w:lang w:val="zh-CN" w:eastAsia="zh-CN"/>
        </w:rPr>
        <w:t xml:space="preserve">                    </w:t>
      </w:r>
      <w:r>
        <w:rPr>
          <w:rFonts w:eastAsia="方正仿宋简体"/>
          <w:kern w:val="0"/>
          <w:sz w:val="30"/>
          <w:szCs w:val="30"/>
          <w:lang w:val="zh-CN" w:eastAsia="zh-CN"/>
        </w:rPr>
        <w:t>（期权经营机构法人）</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00" w:firstLineChars="200"/>
        <w:jc w:val="left"/>
        <w:rPr>
          <w:rFonts w:eastAsia="方正仿宋简体"/>
          <w:kern w:val="0"/>
          <w:sz w:val="30"/>
          <w:szCs w:val="30"/>
          <w:lang w:val="zh-CN" w:eastAsia="zh-CN"/>
        </w:rPr>
      </w:pPr>
    </w:p>
    <w:p>
      <w:pPr>
        <w:widowControl/>
        <w:spacing w:line="360" w:lineRule="auto"/>
        <w:jc w:val="left"/>
        <w:rPr>
          <w:rFonts w:eastAsia="方正仿宋简体"/>
          <w:kern w:val="0"/>
          <w:sz w:val="30"/>
          <w:szCs w:val="30"/>
        </w:rPr>
      </w:pPr>
      <w:r>
        <w:rPr>
          <w:rFonts w:eastAsia="方正仿宋简体"/>
          <w:kern w:val="0"/>
          <w:sz w:val="30"/>
          <w:szCs w:val="30"/>
        </w:rPr>
        <w:t xml:space="preserve">    甲、乙双方经过平等协商，就乙方为甲方提供股票期权（以下简称期权）交易经纪服务的有关事项订立本合同。</w:t>
      </w:r>
    </w:p>
    <w:p>
      <w:pPr>
        <w:widowControl/>
        <w:spacing w:line="360" w:lineRule="auto"/>
        <w:jc w:val="left"/>
        <w:rPr>
          <w:rFonts w:eastAsia="方正仿宋简体"/>
          <w:kern w:val="0"/>
          <w:sz w:val="28"/>
          <w:szCs w:val="28"/>
        </w:rPr>
      </w:pPr>
    </w:p>
    <w:p>
      <w:pPr>
        <w:keepNext/>
        <w:keepLines/>
        <w:numPr>
          <w:ilvl w:val="0"/>
          <w:numId w:val="112"/>
        </w:numPr>
        <w:spacing w:line="560" w:lineRule="exact"/>
        <w:ind w:left="420"/>
        <w:jc w:val="center"/>
        <w:rPr>
          <w:rFonts w:ascii="黑体" w:hAnsi="黑体" w:eastAsia="黑体"/>
          <w:bCs/>
          <w:kern w:val="44"/>
          <w:sz w:val="30"/>
          <w:szCs w:val="30"/>
        </w:rPr>
      </w:pPr>
      <w:bookmarkStart w:id="382" w:name="_Toc408578709"/>
      <w:bookmarkStart w:id="383" w:name="_Toc409007910"/>
      <w:bookmarkStart w:id="384" w:name="_Toc381972635"/>
      <w:r>
        <w:rPr>
          <w:rFonts w:ascii="黑体" w:hAnsi="黑体" w:eastAsia="黑体"/>
          <w:bCs/>
          <w:kern w:val="44"/>
          <w:sz w:val="30"/>
          <w:szCs w:val="30"/>
        </w:rPr>
        <w:t>声明与承诺</w:t>
      </w:r>
      <w:bookmarkEnd w:id="382"/>
      <w:bookmarkEnd w:id="383"/>
      <w:bookmarkEnd w:id="384"/>
    </w:p>
    <w:p>
      <w:pPr>
        <w:rPr>
          <w:rFonts w:eastAsia="方正仿宋简体"/>
          <w:sz w:val="28"/>
          <w:szCs w:val="28"/>
        </w:rPr>
      </w:pP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乙方向甲方作如下声明和承诺：</w:t>
      </w:r>
    </w:p>
    <w:p>
      <w:pPr>
        <w:adjustRightInd w:val="0"/>
        <w:spacing w:line="560" w:lineRule="exact"/>
        <w:ind w:firstLine="600" w:firstLineChars="200"/>
        <w:rPr>
          <w:rFonts w:eastAsia="方正仿宋简体"/>
          <w:bCs/>
          <w:sz w:val="30"/>
          <w:szCs w:val="30"/>
        </w:rPr>
      </w:pPr>
      <w:r>
        <w:rPr>
          <w:rFonts w:eastAsia="方正仿宋简体"/>
          <w:bCs/>
          <w:sz w:val="30"/>
          <w:szCs w:val="30"/>
        </w:rPr>
        <w:t>1. 乙方是依法设立的期权经营机构，具有相应的期权经纪业务资格；</w:t>
      </w:r>
    </w:p>
    <w:p>
      <w:pPr>
        <w:adjustRightInd w:val="0"/>
        <w:spacing w:line="560" w:lineRule="exact"/>
        <w:ind w:firstLine="600" w:firstLineChars="200"/>
        <w:rPr>
          <w:rFonts w:eastAsia="方正仿宋简体"/>
          <w:bCs/>
          <w:sz w:val="30"/>
          <w:szCs w:val="30"/>
        </w:rPr>
      </w:pPr>
      <w:r>
        <w:rPr>
          <w:rFonts w:eastAsia="方正仿宋简体"/>
          <w:bCs/>
          <w:sz w:val="30"/>
          <w:szCs w:val="30"/>
        </w:rPr>
        <w:t>2. 乙方具有开展期权经纪业务的必要条件，能够为甲方的期权交易提供相应的服务；</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3. 乙方承诺遵守有关法律、法规、规章、深圳证券交易所（以下简称深交所）以及中国证券登记结算有限责任公司（以下简称中国结算）业务规则，不接受投资者的全权交易委托，不对投资者的投资收益或亏损进行任何形式的保证，不编造或传播虚假信息误导投资者，不诱使投资者进行不必要的期权交易； </w:t>
      </w:r>
    </w:p>
    <w:p>
      <w:pPr>
        <w:adjustRightInd w:val="0"/>
        <w:spacing w:line="560" w:lineRule="exact"/>
        <w:ind w:firstLine="600" w:firstLineChars="200"/>
        <w:rPr>
          <w:rFonts w:eastAsia="方正仿宋简体"/>
          <w:bCs/>
          <w:sz w:val="30"/>
          <w:szCs w:val="30"/>
        </w:rPr>
      </w:pPr>
      <w:r>
        <w:rPr>
          <w:rFonts w:eastAsia="方正仿宋简体"/>
          <w:bCs/>
          <w:sz w:val="30"/>
          <w:szCs w:val="30"/>
        </w:rPr>
        <w:t>4. 乙方承诺遵守本合同，按本合同为甲方提供期权交易经纪服务。</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甲方向乙方作如下声明和承诺：</w:t>
      </w:r>
    </w:p>
    <w:p>
      <w:pPr>
        <w:adjustRightInd w:val="0"/>
        <w:spacing w:line="560" w:lineRule="exact"/>
        <w:ind w:firstLine="600" w:firstLineChars="200"/>
        <w:rPr>
          <w:rFonts w:eastAsia="方正仿宋简体"/>
          <w:bCs/>
          <w:sz w:val="30"/>
          <w:szCs w:val="30"/>
        </w:rPr>
      </w:pPr>
      <w:r>
        <w:rPr>
          <w:rFonts w:eastAsia="方正仿宋简体"/>
          <w:bCs/>
          <w:sz w:val="30"/>
          <w:szCs w:val="30"/>
        </w:rPr>
        <w:t>1. 甲方具有合法的期权投资资格，不存在法律、法规、规章、深交所及中国结算的业务规则禁止或限制其进行期权交易的情形；</w:t>
      </w:r>
    </w:p>
    <w:p>
      <w:pPr>
        <w:adjustRightInd w:val="0"/>
        <w:spacing w:line="560" w:lineRule="exact"/>
        <w:ind w:firstLine="600" w:firstLineChars="200"/>
        <w:rPr>
          <w:rFonts w:eastAsia="方正仿宋简体"/>
          <w:bCs/>
          <w:sz w:val="30"/>
          <w:szCs w:val="30"/>
        </w:rPr>
      </w:pPr>
      <w:r>
        <w:rPr>
          <w:rFonts w:eastAsia="方正仿宋简体"/>
          <w:bCs/>
          <w:sz w:val="30"/>
          <w:szCs w:val="30"/>
        </w:rPr>
        <w:t>2. 甲方保证在其与乙方本合同关系存续期内向乙方提供的所有证件、资料均真实、准确、完整、合法，并保证其资金来源合法；</w:t>
      </w:r>
    </w:p>
    <w:p>
      <w:pPr>
        <w:adjustRightInd w:val="0"/>
        <w:spacing w:line="560" w:lineRule="exact"/>
        <w:ind w:firstLine="600" w:firstLineChars="200"/>
        <w:rPr>
          <w:rFonts w:eastAsia="方正仿宋简体"/>
          <w:bCs/>
          <w:sz w:val="30"/>
          <w:szCs w:val="30"/>
        </w:rPr>
      </w:pPr>
      <w:r>
        <w:rPr>
          <w:rFonts w:eastAsia="方正仿宋简体"/>
          <w:bCs/>
          <w:sz w:val="30"/>
          <w:szCs w:val="30"/>
        </w:rPr>
        <w:t>3. 甲方已阅读并充分理解乙方向其提供的《风险揭示书》、《投资者须知》，清楚认识并愿意承担期权市场投资风险；甲方已详细阅读本合同所有条款，并准确理解其含义，特别是其中有关乙方的免责条款；</w:t>
      </w:r>
    </w:p>
    <w:p>
      <w:pPr>
        <w:adjustRightInd w:val="0"/>
        <w:spacing w:line="560" w:lineRule="exact"/>
        <w:ind w:firstLine="600" w:firstLineChars="200"/>
        <w:rPr>
          <w:rFonts w:eastAsia="方正仿宋简体"/>
          <w:bCs/>
          <w:sz w:val="30"/>
          <w:szCs w:val="30"/>
        </w:rPr>
      </w:pPr>
      <w:r>
        <w:rPr>
          <w:rFonts w:eastAsia="方正仿宋简体"/>
          <w:bCs/>
          <w:sz w:val="30"/>
          <w:szCs w:val="30"/>
        </w:rPr>
        <w:t>4. 甲方承诺遵守有关法律、法规、规章、深交所及中国结算的业务规则，遵守乙方投资者适当性管理相关制度和要求；</w:t>
      </w:r>
    </w:p>
    <w:p>
      <w:pPr>
        <w:adjustRightInd w:val="0"/>
        <w:spacing w:line="560" w:lineRule="exact"/>
        <w:ind w:firstLine="600" w:firstLineChars="200"/>
        <w:rPr>
          <w:rFonts w:eastAsia="方正仿宋简体"/>
          <w:bCs/>
          <w:sz w:val="30"/>
          <w:szCs w:val="30"/>
        </w:rPr>
      </w:pPr>
      <w:r>
        <w:rPr>
          <w:rFonts w:eastAsia="方正仿宋简体"/>
          <w:bCs/>
          <w:sz w:val="30"/>
          <w:szCs w:val="30"/>
        </w:rPr>
        <w:t>5. 甲方承诺遵守本合同，并承诺遵守乙方的相关管理制度。</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 xml:space="preserve">甲方委托乙方从事期权交易，保证所提供的证件及资料具有真实性、合法性及有效性。甲方声明并保证不具有下列情形：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（一）无民事行为能力或者限制民事行为能力的自然人；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（二）中国证监会及其派出机构、中国期货业协会、中国证券业协会、深交所、中国结算、期权保证金安全存管监控机构、期权经营机构的工作人员及其配偶；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（三）国家机关、事业单位；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（四）证券、期货市场禁止进入者；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（五）未能提供真实、合法、有效开户证明文件的单位或个人；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（六）中国证监会及深交所规定不得从事期权交易的其他单位或个人。 </w:t>
      </w:r>
    </w:p>
    <w:p>
      <w:pPr>
        <w:adjustRightInd w:val="0"/>
        <w:spacing w:line="560" w:lineRule="exact"/>
        <w:ind w:firstLine="600" w:firstLineChars="200"/>
        <w:rPr>
          <w:rFonts w:eastAsia="方正仿宋简体"/>
          <w:bCs/>
          <w:sz w:val="30"/>
          <w:szCs w:val="30"/>
        </w:rPr>
      </w:pPr>
      <w:r>
        <w:rPr>
          <w:rFonts w:eastAsia="方正仿宋简体"/>
          <w:bCs/>
          <w:sz w:val="30"/>
          <w:szCs w:val="30"/>
        </w:rPr>
        <w:t>如果以上声明部分或全部不真实，甲方承担由此产生的全部法律责任并自行承担由此造成的一切损失。</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 xml:space="preserve">在本合同关系存续期间，甲方提供给乙方的身份证明文件过期、身份信息发生变更的，甲方有义务及时向乙方提供新的相关材料。否则，乙方有权拒绝甲方开仓和出金指令，并有权进一步限制或者取消甲方的交易权限。甲方在开户时提供的其他信息发生变更时，也应及时向乙方更新。如因甲方未能及时提供更新信息而导致的后果、风险和损失由甲方承担。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乙方根据反洗钱法律法规履行投资者身份识别、可疑交易报告及其他反洗钱义务，甲方应当积极予以配合。</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应当在营业场所置备期权交易法律、法规、规章、深交所及中国结算业务规则、乙方管理制度等相关文件，提供网上查询等方式供甲方查询乙方从业人员名册及从业人员资格证明等资料。甲方可以向乙方询问上述材料及其内容的含义，乙方应当予以必要解释。</w:t>
      </w:r>
    </w:p>
    <w:p>
      <w:pPr>
        <w:adjustRightInd w:val="0"/>
        <w:spacing w:line="560" w:lineRule="exact"/>
        <w:rPr>
          <w:rFonts w:eastAsia="方正仿宋简体"/>
          <w:bCs/>
          <w:sz w:val="28"/>
          <w:szCs w:val="28"/>
        </w:rPr>
      </w:pPr>
    </w:p>
    <w:p>
      <w:pPr>
        <w:keepNext/>
        <w:keepLines/>
        <w:numPr>
          <w:ilvl w:val="0"/>
          <w:numId w:val="112"/>
        </w:numPr>
        <w:spacing w:line="560" w:lineRule="exact"/>
        <w:ind w:left="420"/>
        <w:jc w:val="center"/>
        <w:rPr>
          <w:rFonts w:ascii="黑体" w:hAnsi="黑体" w:eastAsia="黑体"/>
          <w:bCs/>
          <w:kern w:val="44"/>
          <w:sz w:val="30"/>
          <w:szCs w:val="30"/>
        </w:rPr>
      </w:pPr>
      <w:bookmarkStart w:id="385" w:name="_Toc409007911"/>
      <w:r>
        <w:rPr>
          <w:rFonts w:ascii="黑体" w:hAnsi="黑体" w:eastAsia="黑体"/>
          <w:bCs/>
          <w:kern w:val="44"/>
          <w:sz w:val="30"/>
          <w:szCs w:val="30"/>
        </w:rPr>
        <w:t>开户</w:t>
      </w:r>
      <w:bookmarkEnd w:id="385"/>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甲方向乙方申请开立衍生品合约账户（以下简称合约账户）及期权保证金账户（以下简称保证金账户），须到乙方柜台办理。</w:t>
      </w:r>
    </w:p>
    <w:p>
      <w:pPr>
        <w:adjustRightInd w:val="0"/>
        <w:spacing w:line="560" w:lineRule="exact"/>
        <w:ind w:firstLine="567"/>
        <w:rPr>
          <w:rFonts w:eastAsia="方正仿宋简体"/>
          <w:bCs/>
          <w:sz w:val="30"/>
          <w:szCs w:val="30"/>
        </w:rPr>
      </w:pPr>
      <w:r>
        <w:rPr>
          <w:rFonts w:eastAsia="方正仿宋简体"/>
          <w:bCs/>
          <w:sz w:val="30"/>
          <w:szCs w:val="30"/>
        </w:rPr>
        <w:t>甲方向乙方申请开立合约账户的，其合约账户对应的证券账户须已在乙方使用，并已申报账户使用信息。</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甲方为机构投资者的，应当依法指定合法的代理人（包括开户代理人、指令下达人、资金调拨人、结算单确认人）。甲方为个人投资者的，不得委托他人作为代理人代理开户。</w:t>
      </w:r>
    </w:p>
    <w:p>
      <w:pPr>
        <w:numPr>
          <w:ilvl w:val="0"/>
          <w:numId w:val="113"/>
        </w:numPr>
        <w:adjustRightInd w:val="0"/>
        <w:spacing w:line="360" w:lineRule="auto"/>
        <w:ind w:left="0" w:firstLine="482"/>
        <w:rPr>
          <w:rFonts w:eastAsia="方正仿宋简体"/>
          <w:bCs/>
          <w:sz w:val="30"/>
          <w:szCs w:val="30"/>
        </w:rPr>
      </w:pPr>
      <w:r>
        <w:rPr>
          <w:rFonts w:eastAsia="方正仿宋简体"/>
          <w:bCs/>
          <w:sz w:val="30"/>
          <w:szCs w:val="30"/>
        </w:rPr>
        <w:t>甲方指定的代理人在甲方授权范围内所做出的任何行为均代表甲方行为，甲方应承担由此产生的全部责任。</w:t>
      </w:r>
    </w:p>
    <w:p>
      <w:pPr>
        <w:adjustRightInd w:val="0"/>
        <w:spacing w:line="360" w:lineRule="auto"/>
        <w:ind w:firstLine="480" w:firstLineChars="160"/>
        <w:rPr>
          <w:rFonts w:eastAsia="方正仿宋简体"/>
          <w:bCs/>
          <w:sz w:val="30"/>
          <w:szCs w:val="30"/>
        </w:rPr>
      </w:pPr>
      <w:r>
        <w:rPr>
          <w:rFonts w:eastAsia="方正仿宋简体"/>
          <w:bCs/>
          <w:sz w:val="30"/>
          <w:szCs w:val="30"/>
        </w:rPr>
        <w:t>甲方如变更代理人，应当书面通知乙方并经乙方确认。甲方的法定代表人或者负责人应当在授权委托书以及变更通知上签字，并加盖甲方公章。</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甲方为个人投资者的，申请开户前应当如实填写《股票期权业务投资者适当性综合评估表》，通过乙方根据要求进行的投资者适当性综合评估。</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甲方为个人投资者的，申请开设合约账户及保证金账户时须出示下列证件及资料，并按乙方要求如实填写开户申请表：</w:t>
      </w:r>
    </w:p>
    <w:p>
      <w:pPr>
        <w:adjustRightInd w:val="0"/>
        <w:spacing w:line="560" w:lineRule="exact"/>
        <w:ind w:firstLine="600" w:firstLineChars="200"/>
        <w:rPr>
          <w:rFonts w:eastAsia="方正仿宋简体"/>
          <w:bCs/>
          <w:sz w:val="30"/>
          <w:szCs w:val="30"/>
        </w:rPr>
      </w:pPr>
      <w:r>
        <w:rPr>
          <w:rFonts w:eastAsia="方正仿宋简体"/>
          <w:bCs/>
          <w:sz w:val="30"/>
          <w:szCs w:val="30"/>
        </w:rPr>
        <w:t>1．本人身份证件（包含身份证、护照或其他证明本人身份的法定身份证件）及其复印件；</w:t>
      </w:r>
    </w:p>
    <w:p>
      <w:pPr>
        <w:adjustRightInd w:val="0"/>
        <w:spacing w:line="560" w:lineRule="exact"/>
        <w:ind w:firstLine="600" w:firstLineChars="200"/>
        <w:rPr>
          <w:rFonts w:eastAsia="方正仿宋简体"/>
          <w:bCs/>
          <w:sz w:val="30"/>
          <w:szCs w:val="30"/>
        </w:rPr>
      </w:pPr>
      <w:r>
        <w:rPr>
          <w:rFonts w:eastAsia="方正仿宋简体"/>
          <w:bCs/>
          <w:sz w:val="30"/>
          <w:szCs w:val="30"/>
        </w:rPr>
        <w:t>2．本人同名证券账户信息。</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甲方为机构投资者的，开设合约账户和保证金账户时须出示下列证件及资料，并按照乙方要求如实填写开户申请表：</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1.投资者有效身份证明文件副本及其复印件，或加盖公章的复印件，法定代表人或负责人证明书、法定代表人或负责人身份证明原件及复印件； </w:t>
      </w:r>
    </w:p>
    <w:p>
      <w:pPr>
        <w:adjustRightInd w:val="0"/>
        <w:spacing w:line="560" w:lineRule="exact"/>
        <w:ind w:firstLine="600" w:firstLineChars="200"/>
        <w:rPr>
          <w:rFonts w:eastAsia="方正仿宋简体"/>
          <w:bCs/>
          <w:sz w:val="30"/>
          <w:szCs w:val="30"/>
        </w:rPr>
      </w:pPr>
      <w:r>
        <w:rPr>
          <w:rFonts w:eastAsia="方正仿宋简体"/>
          <w:bCs/>
          <w:sz w:val="30"/>
          <w:szCs w:val="30"/>
        </w:rPr>
        <w:t>2.加盖机构公章、法定代表人或负责人签字的授权委托书以及代理人身份证明原件及复印件；</w:t>
      </w:r>
    </w:p>
    <w:p>
      <w:pPr>
        <w:adjustRightInd w:val="0"/>
        <w:spacing w:line="560" w:lineRule="exact"/>
        <w:ind w:firstLine="600" w:firstLineChars="200"/>
        <w:rPr>
          <w:rFonts w:eastAsia="方正仿宋简体"/>
          <w:bCs/>
          <w:sz w:val="30"/>
          <w:szCs w:val="30"/>
        </w:rPr>
      </w:pPr>
      <w:r>
        <w:rPr>
          <w:rFonts w:eastAsia="方正仿宋简体"/>
          <w:bCs/>
          <w:sz w:val="30"/>
          <w:szCs w:val="30"/>
        </w:rPr>
        <w:t>3.投资者同名证券账户信息。</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甲方提供的开户材料完整，并符合相关条件和要求的，乙方为甲方向中国结算申请配发实名合约账户号码，并为甲方开立保证金账户。</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甲方在乙方开立的合约账户，仅用于期权合约的交易，不可用于证券现券交易或者存放证券现券。甲方合约账户未完成销户的，不得办理对应证券账户的销户业务。</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甲方在乙方开立的保证金账户，存放甲方用于期权交易、结算与行权交割等的资金。乙方通过该账户对甲方的期权交易进行前端控制、清算交收和计付利息等。</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甲方开设合约账户与保证金账户时，应同时自行设置交易密码和资金密码（以下统称密码）。甲方在正常的交易时间内可以随时修改密码。甲方必须牢记该密码。</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甲方应当妥善管理自己的密码，并自定义和全权管理本人的密码。由于甲方管理不善造成密码泄密所带来的损失，乙方不承担责任。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根据中国证监会、深交所等的有关规定，对甲方参与期权交易进行投资者适当性管理。甲方应当根据乙方要求，如实提供用于投资者适当性评估及开户的相关信息和材料，并对其真实性、完整性、合法性负责。</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乙方根据深交所的有关规定及本合同约定，对甲方参与期权交易的交易权限进行分级管理。</w:t>
      </w:r>
    </w:p>
    <w:p>
      <w:pPr>
        <w:adjustRightInd w:val="0"/>
        <w:spacing w:line="560" w:lineRule="exact"/>
        <w:ind w:firstLine="600" w:firstLineChars="200"/>
        <w:rPr>
          <w:rFonts w:eastAsia="方正仿宋简体"/>
          <w:bCs/>
          <w:sz w:val="30"/>
          <w:szCs w:val="30"/>
        </w:rPr>
      </w:pPr>
      <w:r>
        <w:rPr>
          <w:rFonts w:eastAsia="方正仿宋简体"/>
          <w:bCs/>
          <w:sz w:val="30"/>
          <w:szCs w:val="30"/>
        </w:rPr>
        <w:t>甲方为个人投资者的，乙方根据其适当性管理综合评估结果、股票期权知识测试分数以及具备的期权模拟交易经历，核定甲方的交易权限。</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甲方申请调高交易权限级别的，乙方根据深交所的规定及本合同的约定对其进行综合评估。甲方申请符合条件的，乙方对其交易权限级别进行调整。</w:t>
      </w:r>
    </w:p>
    <w:p>
      <w:pPr>
        <w:adjustRightInd w:val="0"/>
        <w:spacing w:line="560" w:lineRule="exact"/>
        <w:ind w:firstLine="600" w:firstLineChars="200"/>
        <w:rPr>
          <w:rFonts w:eastAsia="方正仿宋简体"/>
          <w:bCs/>
          <w:sz w:val="30"/>
          <w:szCs w:val="30"/>
        </w:rPr>
      </w:pPr>
      <w:r>
        <w:rPr>
          <w:rFonts w:eastAsia="方正仿宋简体"/>
          <w:bCs/>
          <w:sz w:val="30"/>
          <w:szCs w:val="30"/>
        </w:rPr>
        <w:t>甲方申请调低交易权限级别的，应当至少提前三个交易日以电子或者书面方式告知乙方。</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甲方提供的用于投资者适当性评估的相关信息和材料发生重大变化的，应当及时告知乙方。乙方有根据认为甲方不再符合其交易权限对应的资格条件的，可以调低甲方的交易权限级别或者取消甲方的交易权限。</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乙方核定、调整甲方交易权限级别的，由乙方在其柜台交易系统中设定或者调整甲方交易权限级别，并以书面形式与甲方确认。</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甲方应当按照乙方核定或者调整后的交易权限进行期权交易委托。</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甲方合约账户内持有持仓及存在未了结债权债务的，乙方有权拒绝为甲方办理合约账户的销户，由此产生的一切法律责任和后果由甲方自行承担。</w:t>
      </w:r>
    </w:p>
    <w:p>
      <w:pPr>
        <w:adjustRightInd w:val="0"/>
        <w:spacing w:line="560" w:lineRule="exact"/>
        <w:rPr>
          <w:rFonts w:eastAsia="方正仿宋简体"/>
          <w:bCs/>
          <w:sz w:val="28"/>
          <w:szCs w:val="28"/>
        </w:rPr>
      </w:pPr>
    </w:p>
    <w:p>
      <w:pPr>
        <w:keepNext/>
        <w:keepLines/>
        <w:numPr>
          <w:ilvl w:val="0"/>
          <w:numId w:val="112"/>
        </w:numPr>
        <w:spacing w:before="312" w:beforeLines="100" w:after="312" w:afterLines="100" w:line="560" w:lineRule="exact"/>
        <w:ind w:left="420"/>
        <w:jc w:val="center"/>
        <w:rPr>
          <w:rFonts w:ascii="黑体" w:hAnsi="黑体" w:eastAsia="黑体"/>
          <w:bCs/>
          <w:kern w:val="44"/>
          <w:sz w:val="30"/>
          <w:szCs w:val="30"/>
        </w:rPr>
      </w:pPr>
      <w:bookmarkStart w:id="386" w:name="_Toc381972638"/>
      <w:bookmarkStart w:id="387" w:name="_Toc409007912"/>
      <w:bookmarkStart w:id="388" w:name="_Toc408578711"/>
      <w:r>
        <w:rPr>
          <w:rFonts w:ascii="黑体" w:hAnsi="黑体" w:eastAsia="黑体"/>
          <w:bCs/>
          <w:kern w:val="44"/>
          <w:sz w:val="30"/>
          <w:szCs w:val="30"/>
        </w:rPr>
        <w:t>交易</w:t>
      </w:r>
      <w:bookmarkEnd w:id="386"/>
      <w:r>
        <w:rPr>
          <w:rFonts w:ascii="黑体" w:hAnsi="黑体" w:eastAsia="黑体"/>
          <w:bCs/>
          <w:kern w:val="44"/>
          <w:sz w:val="30"/>
          <w:szCs w:val="30"/>
        </w:rPr>
        <w:t>委托</w:t>
      </w:r>
      <w:bookmarkEnd w:id="387"/>
      <w:bookmarkEnd w:id="388"/>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乙方接受甲方委托，以乙方名义按照甲方交易指令为甲方进行期权交易，交易结果由甲方承担。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甲方可以通过互联网、期权交易客户端、电话或书面等方式向乙方提交期权交易委托指令（以下简称交易指令）。甲方提交的交易指令类型应当符合深交所及乙方的相关规定。</w:t>
      </w:r>
    </w:p>
    <w:p>
      <w:pPr>
        <w:adjustRightInd w:val="0"/>
        <w:spacing w:line="560" w:lineRule="exact"/>
        <w:ind w:firstLine="600" w:firstLineChars="200"/>
        <w:rPr>
          <w:rFonts w:eastAsia="方正仿宋简体"/>
          <w:bCs/>
          <w:sz w:val="30"/>
          <w:szCs w:val="30"/>
        </w:rPr>
      </w:pPr>
      <w:r>
        <w:rPr>
          <w:rFonts w:eastAsia="方正仿宋简体"/>
          <w:bCs/>
          <w:sz w:val="30"/>
          <w:szCs w:val="30"/>
        </w:rPr>
        <w:t>甲方通过互联网下达期权交易指令（以下简称网上交易），是指甲方使用计算机、移动终端等设备并通过互联网，或者通过乙方局域网络向乙方下达交易指令，进行期权交易的一种交易方式。</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甲方下达交易指令，应当根据乙方确定的格式要求，填写以下内容：</w:t>
      </w:r>
    </w:p>
    <w:p>
      <w:pPr>
        <w:adjustRightInd w:val="0"/>
        <w:spacing w:line="560" w:lineRule="exact"/>
        <w:ind w:firstLine="600" w:firstLineChars="200"/>
        <w:rPr>
          <w:rFonts w:eastAsia="方正仿宋简体"/>
          <w:bCs/>
          <w:sz w:val="30"/>
          <w:szCs w:val="30"/>
        </w:rPr>
      </w:pPr>
      <w:r>
        <w:rPr>
          <w:rFonts w:eastAsia="方正仿宋简体"/>
          <w:bCs/>
          <w:sz w:val="30"/>
          <w:szCs w:val="30"/>
        </w:rPr>
        <w:t>（一）合约账户号码；</w:t>
      </w:r>
    </w:p>
    <w:p>
      <w:pPr>
        <w:adjustRightInd w:val="0"/>
        <w:spacing w:line="560" w:lineRule="exact"/>
        <w:ind w:firstLine="600" w:firstLineChars="200"/>
        <w:rPr>
          <w:rFonts w:eastAsia="方正仿宋简体"/>
          <w:bCs/>
          <w:sz w:val="30"/>
          <w:szCs w:val="30"/>
        </w:rPr>
      </w:pPr>
      <w:r>
        <w:rPr>
          <w:rFonts w:eastAsia="方正仿宋简体"/>
          <w:bCs/>
          <w:sz w:val="30"/>
          <w:szCs w:val="30"/>
        </w:rPr>
        <w:t>（二）期权合约编码；</w:t>
      </w:r>
    </w:p>
    <w:p>
      <w:pPr>
        <w:adjustRightInd w:val="0"/>
        <w:spacing w:line="560" w:lineRule="exact"/>
        <w:ind w:firstLine="600" w:firstLineChars="200"/>
        <w:rPr>
          <w:rFonts w:eastAsia="方正仿宋简体"/>
          <w:bCs/>
          <w:sz w:val="30"/>
          <w:szCs w:val="30"/>
        </w:rPr>
      </w:pPr>
      <w:r>
        <w:rPr>
          <w:rFonts w:eastAsia="方正仿宋简体"/>
          <w:bCs/>
          <w:sz w:val="30"/>
          <w:szCs w:val="30"/>
        </w:rPr>
        <w:t>（三）买卖类型；</w:t>
      </w:r>
    </w:p>
    <w:p>
      <w:pPr>
        <w:adjustRightInd w:val="0"/>
        <w:spacing w:line="560" w:lineRule="exact"/>
        <w:ind w:firstLine="600" w:firstLineChars="200"/>
        <w:rPr>
          <w:rFonts w:eastAsia="方正仿宋简体"/>
          <w:bCs/>
          <w:sz w:val="30"/>
          <w:szCs w:val="30"/>
        </w:rPr>
      </w:pPr>
      <w:r>
        <w:rPr>
          <w:rFonts w:eastAsia="方正仿宋简体"/>
          <w:bCs/>
          <w:sz w:val="30"/>
          <w:szCs w:val="30"/>
        </w:rPr>
        <w:t>（四）委托数量；</w:t>
      </w:r>
    </w:p>
    <w:p>
      <w:pPr>
        <w:adjustRightInd w:val="0"/>
        <w:spacing w:line="560" w:lineRule="exact"/>
        <w:ind w:firstLine="600" w:firstLineChars="200"/>
        <w:rPr>
          <w:rFonts w:eastAsia="方正仿宋简体"/>
          <w:bCs/>
          <w:sz w:val="30"/>
          <w:szCs w:val="30"/>
        </w:rPr>
      </w:pPr>
      <w:r>
        <w:rPr>
          <w:rFonts w:eastAsia="方正仿宋简体"/>
          <w:bCs/>
          <w:sz w:val="30"/>
          <w:szCs w:val="30"/>
        </w:rPr>
        <w:t>（五）委托类型与价格；</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（六）深交所及期权经营机构要求的其他内容。 </w:t>
      </w:r>
    </w:p>
    <w:p>
      <w:pPr>
        <w:adjustRightInd w:val="0"/>
        <w:spacing w:line="560" w:lineRule="exact"/>
        <w:ind w:firstLine="600" w:firstLineChars="200"/>
        <w:rPr>
          <w:rFonts w:eastAsia="方正仿宋简体"/>
          <w:bCs/>
          <w:sz w:val="30"/>
          <w:szCs w:val="30"/>
        </w:rPr>
      </w:pPr>
      <w:r>
        <w:rPr>
          <w:rFonts w:eastAsia="方正仿宋简体"/>
          <w:bCs/>
          <w:sz w:val="30"/>
          <w:szCs w:val="30"/>
        </w:rPr>
        <w:t>前款第（三）项所称买卖类型，包括买入开仓、买入平仓、卖出开仓、卖出平仓、备兑开仓、备兑平仓等。</w:t>
      </w:r>
    </w:p>
    <w:p>
      <w:pPr>
        <w:adjustRightInd w:val="0"/>
        <w:spacing w:line="560" w:lineRule="exact"/>
        <w:ind w:firstLine="600" w:firstLineChars="200"/>
        <w:rPr>
          <w:rFonts w:eastAsia="方正仿宋简体"/>
          <w:bCs/>
          <w:sz w:val="30"/>
          <w:szCs w:val="30"/>
        </w:rPr>
      </w:pPr>
      <w:r>
        <w:rPr>
          <w:rFonts w:eastAsia="方正仿宋简体"/>
          <w:bCs/>
          <w:sz w:val="30"/>
          <w:szCs w:val="30"/>
        </w:rPr>
        <w:t>前款第（五）项所称委托类型，包括普通限价委托、全额成交或撤销限价委托、对手方最优价格市价委托、本方最优价格市价委托、最优五档即时成交剩余撤销市价委托、即时成交剩余撤销市价委托、全额成交或撤销市价委托等。</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甲方下达的交易指令，应当符合乙方以及深交所规定的要求。乙方电脑系统和深交所交易系统拒绝受理的委托，以及虽被接收但根据深交所业务规则被认为无效的委托，均视为无效委托。</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甲方进行网上交易的，乙方交易服务器内的委托记录将作为甲乙双方核查交易指令合法、有效的证明。甲方同意，乙方交易服务器内的交易记录与书面指令具有同等法律效力。</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由于网上交易系统受各种因素的影响存在中断的可能性，为保证甲方交易的正常进行，乙方为甲方提供备用下单通道，当甲方不能正常进行网上交易时，可改作电话方式或书面方式下达交易指令。</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甲方通过电话方式下达交易指令的，应当与乙方约定身份认证方式（电话交易密码）。乙方受理甲方电话委托业务的电话号码为：（          ）。通过乙方身份认证的交易指令视为甲方下达的指令。</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以电话方式下达交易指令的，乙方有权进行同步录音保留原始交易指令记录。甲方同意，乙方的录音记录将作为甲乙双方核查交易指令合法、有效的证明，与书面指令具有同等法律效力。</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甲方以书面方式下达交易指令的，交易指令单的填写应完整、准确、清晰，并由甲方或者甲方指令下达人签字（及/或盖章）。</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甲方进行柜台委托时，必须提供甲方本人或其授权代理人身份证，并填写委托单，否则乙方有权拒绝受理甲方的委托，由此造成的后果由甲方承担。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甲方在使用非柜台委托方式进行证券交易时，必须严格按照乙方期权交易委托系统的提示进行操作，因甲方操作失误造成的损失由甲方自行承担。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有权审核甲方的交易指令，包括但不限于资金是否充足、合约标的是否充足、合约持仓是否充足、开仓数量是否超过持仓限额、指令内容是否明确、是否违反有关法律、法规、规章、深交所及中国结算业务规则等，以确定指令的有效性。当确定甲方的指令为无效指令时，乙方有权拒绝执行甲方的指令。</w:t>
      </w:r>
    </w:p>
    <w:p>
      <w:pPr>
        <w:adjustRightInd w:val="0"/>
        <w:spacing w:line="560" w:lineRule="exact"/>
        <w:ind w:firstLine="600" w:firstLineChars="200"/>
        <w:rPr>
          <w:rFonts w:eastAsia="方正仿宋简体"/>
          <w:bCs/>
          <w:sz w:val="30"/>
          <w:szCs w:val="30"/>
        </w:rPr>
      </w:pPr>
      <w:r>
        <w:rPr>
          <w:rFonts w:eastAsia="方正仿宋简体"/>
          <w:bCs/>
          <w:sz w:val="30"/>
          <w:szCs w:val="30"/>
        </w:rPr>
        <w:t>甲方交易指令出现超越其交易权限、持仓限额或者保证金不足等情形的，乙方有权拒绝执行甲方的指令。</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甲方在下达交易指令后，可以在指令全部成交之前向乙方要求撤回指令。但如果该指令已经在深交所全部或部分成交，或者按照深交所业务规则不能撤回的，甲方应当承担交易结果。</w:t>
      </w:r>
    </w:p>
    <w:p>
      <w:pPr>
        <w:adjustRightInd w:val="0"/>
        <w:spacing w:line="560" w:lineRule="exact"/>
        <w:ind w:firstLine="600" w:firstLineChars="200"/>
        <w:rPr>
          <w:rFonts w:eastAsia="方正仿宋简体"/>
          <w:bCs/>
          <w:sz w:val="30"/>
          <w:szCs w:val="30"/>
        </w:rPr>
      </w:pPr>
      <w:r>
        <w:rPr>
          <w:rFonts w:eastAsia="方正仿宋简体"/>
          <w:bCs/>
          <w:sz w:val="30"/>
          <w:szCs w:val="30"/>
        </w:rPr>
        <w:t>由于市场原因或者其他非乙方原因导致甲方交易指令全部或者部分无法成交的，乙方不承担责任。乙方错误执行甲方交易指令，除甲方认可的以外，交易结果由乙方承担。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甲方有权查询自己的原始交易凭证、了解自己的账户情况，乙方应当给予积极配合。</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乙方应当在其营业场所或者网站向甲方提供国内期权市场行情、信息及与交易相关的服务。</w:t>
      </w:r>
    </w:p>
    <w:p>
      <w:pPr>
        <w:adjustRightInd w:val="0"/>
        <w:spacing w:line="560" w:lineRule="exact"/>
        <w:ind w:firstLine="600" w:firstLineChars="200"/>
        <w:rPr>
          <w:rFonts w:eastAsia="方正仿宋简体"/>
          <w:bCs/>
          <w:sz w:val="30"/>
          <w:szCs w:val="30"/>
        </w:rPr>
      </w:pPr>
      <w:r>
        <w:rPr>
          <w:rFonts w:eastAsia="方正仿宋简体"/>
          <w:bCs/>
          <w:sz w:val="30"/>
          <w:szCs w:val="30"/>
        </w:rPr>
        <w:t>乙方可以通过举办讲座、发放资料及其他方式向甲方提供期权交易知识和交易技术的培训服务。</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乙方提供的任何关于期权市场的行情信息、资讯、分析和培训，仅供甲方参考，不构成对甲方下达指令的指示、诱导或者暗示。</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甲方应当对自己的交易行为负责，不能以根据乙方的分析或者信息进行交易为理由，要求乙方对其交易亏损承担责任。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甲方应当及时了解期权交易相关的法律、法规、规章和深交所、中国结算的业务规则，并可要求乙方对上述内容进行说明，乙方应予以解释，但甲方不得要求乙方为其做出期权投资判断或决策。</w:t>
      </w:r>
    </w:p>
    <w:p>
      <w:pPr>
        <w:adjustRightInd w:val="0"/>
        <w:spacing w:line="560" w:lineRule="exact"/>
        <w:rPr>
          <w:rFonts w:eastAsia="方正仿宋简体"/>
          <w:bCs/>
          <w:sz w:val="28"/>
          <w:szCs w:val="28"/>
        </w:rPr>
      </w:pPr>
    </w:p>
    <w:p>
      <w:pPr>
        <w:keepNext/>
        <w:keepLines/>
        <w:numPr>
          <w:ilvl w:val="0"/>
          <w:numId w:val="112"/>
        </w:numPr>
        <w:spacing w:line="560" w:lineRule="exact"/>
        <w:ind w:left="420"/>
        <w:jc w:val="center"/>
        <w:rPr>
          <w:rFonts w:ascii="黑体" w:hAnsi="黑体" w:eastAsia="黑体"/>
          <w:bCs/>
          <w:kern w:val="44"/>
          <w:sz w:val="30"/>
          <w:szCs w:val="30"/>
        </w:rPr>
      </w:pPr>
      <w:bookmarkStart w:id="389" w:name="_Toc409007913"/>
      <w:r>
        <w:rPr>
          <w:rFonts w:ascii="黑体" w:hAnsi="黑体" w:eastAsia="黑体"/>
          <w:bCs/>
          <w:kern w:val="44"/>
          <w:sz w:val="30"/>
          <w:szCs w:val="30"/>
        </w:rPr>
        <w:t>结算</w:t>
      </w:r>
      <w:bookmarkEnd w:id="389"/>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甲方同意，对于甲方的期权合约交易或者行权，乙方以自己的名义或委托结算参与人以其名义与中国结算完成集中结算，并由乙方办理乙方与甲方之间的期权结算，甲方不与中国结算发生结算关系。</w:t>
      </w:r>
    </w:p>
    <w:p>
      <w:pPr>
        <w:adjustRightInd w:val="0"/>
        <w:spacing w:line="560" w:lineRule="exact"/>
        <w:ind w:firstLine="600" w:firstLineChars="200"/>
        <w:rPr>
          <w:rFonts w:eastAsia="方正仿宋简体"/>
          <w:bCs/>
          <w:sz w:val="30"/>
          <w:szCs w:val="30"/>
        </w:rPr>
      </w:pPr>
      <w:r>
        <w:rPr>
          <w:rFonts w:eastAsia="方正仿宋简体"/>
          <w:bCs/>
          <w:sz w:val="30"/>
          <w:szCs w:val="30"/>
        </w:rPr>
        <w:t>甲乙双方发生的纠纷，不影响中国结算依照业务规则正在进行或已经进行的结算业务处理及违约处理。</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甲方知晓并认可，甲方合约账户内的持仓，为乙方接受甲方委托以乙方的名义为甲方进行交易所形成的持仓。</w:t>
      </w:r>
    </w:p>
    <w:p>
      <w:pPr>
        <w:adjustRightInd w:val="0"/>
        <w:spacing w:line="560" w:lineRule="exact"/>
        <w:ind w:firstLine="600" w:firstLineChars="200"/>
        <w:rPr>
          <w:rFonts w:eastAsia="方正仿宋简体"/>
          <w:bCs/>
          <w:sz w:val="30"/>
          <w:szCs w:val="30"/>
        </w:rPr>
      </w:pPr>
      <w:r>
        <w:rPr>
          <w:rFonts w:eastAsia="方正仿宋简体"/>
          <w:bCs/>
          <w:sz w:val="30"/>
          <w:szCs w:val="30"/>
        </w:rPr>
        <w:t>甲方对其合约账户内的期权合约行权的，通过甲方合约账户对应的证券账户进行合约标的的行权交割。</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甲方在进行期权交易前，应当向乙方交纳足额权利金、保证金；乙方在行权结算的集中交割、交收前，应当向甲方足额收取其应付的合约标的和资金。</w:t>
      </w:r>
    </w:p>
    <w:p>
      <w:pPr>
        <w:adjustRightInd w:val="0"/>
        <w:spacing w:line="560" w:lineRule="exact"/>
        <w:ind w:firstLine="600" w:firstLineChars="200"/>
        <w:rPr>
          <w:rFonts w:eastAsia="方正仿宋简体"/>
          <w:bCs/>
          <w:sz w:val="30"/>
          <w:szCs w:val="30"/>
        </w:rPr>
      </w:pPr>
      <w:r>
        <w:rPr>
          <w:rFonts w:eastAsia="方正仿宋简体"/>
          <w:bCs/>
          <w:sz w:val="30"/>
          <w:szCs w:val="30"/>
        </w:rPr>
        <w:t>除深交所、中国结算业务规则另有规定或者本合同另有约定外，乙方应当向正常履行资金交收和合约标的交割义务的甲方交付其应收的合约标的和资金。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甲方同意，在清算交收过程中，由乙方或其委托结算的结算参与人委托中国结算办理甲方与乙方之间的合约标的及相关证券划转。</w:t>
      </w:r>
    </w:p>
    <w:p>
      <w:pPr>
        <w:adjustRightInd w:val="0"/>
        <w:spacing w:line="560" w:lineRule="exact"/>
        <w:ind w:firstLine="600" w:firstLineChars="200"/>
        <w:rPr>
          <w:rFonts w:eastAsia="方正仿宋简体"/>
          <w:bCs/>
          <w:sz w:val="30"/>
          <w:szCs w:val="30"/>
        </w:rPr>
      </w:pPr>
      <w:r>
        <w:rPr>
          <w:rFonts w:eastAsia="方正仿宋简体"/>
          <w:bCs/>
          <w:sz w:val="30"/>
          <w:szCs w:val="30"/>
        </w:rPr>
        <w:t>乙方应保证其向中国结算发送的合约标的及相关证券划付指令真实、准确和完整，并对甲方承担因其委托错误而产生的法律责任。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发生下列情形的，甲方有权向乙方主张权利，乙方应承担相应责任并负责赔偿直接损失：</w:t>
      </w:r>
    </w:p>
    <w:p>
      <w:pPr>
        <w:adjustRightInd w:val="0"/>
        <w:spacing w:line="560" w:lineRule="exact"/>
        <w:ind w:firstLine="600" w:firstLineChars="200"/>
        <w:rPr>
          <w:rFonts w:eastAsia="方正仿宋简体"/>
          <w:bCs/>
          <w:sz w:val="30"/>
          <w:szCs w:val="30"/>
        </w:rPr>
      </w:pPr>
      <w:r>
        <w:rPr>
          <w:rFonts w:eastAsia="方正仿宋简体"/>
          <w:bCs/>
          <w:sz w:val="30"/>
          <w:szCs w:val="30"/>
        </w:rPr>
        <w:t>（一）因乙方过错，导致甲方被限制开仓或持仓合约被强行平仓的；</w:t>
      </w:r>
    </w:p>
    <w:p>
      <w:pPr>
        <w:adjustRightInd w:val="0"/>
        <w:spacing w:line="560" w:lineRule="exact"/>
        <w:ind w:firstLine="600" w:firstLineChars="200"/>
        <w:rPr>
          <w:rFonts w:eastAsia="方正仿宋简体"/>
          <w:bCs/>
          <w:sz w:val="30"/>
          <w:szCs w:val="30"/>
        </w:rPr>
      </w:pPr>
      <w:r>
        <w:rPr>
          <w:rFonts w:eastAsia="方正仿宋简体"/>
          <w:bCs/>
          <w:sz w:val="30"/>
          <w:szCs w:val="30"/>
        </w:rPr>
        <w:t>（二）因乙方过错，导致甲方应收合约标的被暂不交付或处置的；</w:t>
      </w:r>
    </w:p>
    <w:p>
      <w:pPr>
        <w:adjustRightInd w:val="0"/>
        <w:spacing w:line="560" w:lineRule="exact"/>
        <w:ind w:firstLine="600" w:firstLineChars="200"/>
        <w:rPr>
          <w:rFonts w:eastAsia="方正仿宋简体"/>
          <w:bCs/>
          <w:sz w:val="30"/>
          <w:szCs w:val="30"/>
        </w:rPr>
      </w:pPr>
      <w:r>
        <w:rPr>
          <w:rFonts w:eastAsia="方正仿宋简体"/>
          <w:bCs/>
          <w:sz w:val="30"/>
          <w:szCs w:val="30"/>
        </w:rPr>
        <w:t>（三）乙方对甲方出现交收违约而导致甲方未能取得行权应获得的合约标的或资金的；</w:t>
      </w:r>
    </w:p>
    <w:p>
      <w:pPr>
        <w:adjustRightInd w:val="0"/>
        <w:spacing w:line="560" w:lineRule="exact"/>
        <w:ind w:firstLine="600" w:firstLineChars="200"/>
        <w:rPr>
          <w:rFonts w:eastAsia="方正仿宋简体"/>
          <w:bCs/>
          <w:sz w:val="30"/>
          <w:szCs w:val="30"/>
        </w:rPr>
      </w:pPr>
      <w:r>
        <w:rPr>
          <w:rFonts w:eastAsia="方正仿宋简体"/>
          <w:bCs/>
          <w:sz w:val="30"/>
          <w:szCs w:val="30"/>
        </w:rPr>
        <w:t>（四）乙方发送的有关甲方的合约标的划付指令有误的；</w:t>
      </w:r>
    </w:p>
    <w:p>
      <w:pPr>
        <w:adjustRightInd w:val="0"/>
        <w:spacing w:line="560" w:lineRule="exact"/>
        <w:ind w:firstLine="600" w:firstLineChars="200"/>
        <w:rPr>
          <w:rFonts w:eastAsia="方正仿宋简体"/>
          <w:bCs/>
          <w:sz w:val="30"/>
          <w:szCs w:val="30"/>
        </w:rPr>
      </w:pPr>
      <w:r>
        <w:rPr>
          <w:rFonts w:eastAsia="方正仿宋简体"/>
          <w:bCs/>
          <w:sz w:val="30"/>
          <w:szCs w:val="30"/>
        </w:rPr>
        <w:t>（五）其他因乙方未遵守相关业务规则导致甲方利益受到损害的。</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甲方知晓并同意，期权结算业务中发生异常交易情形的，按照深交所、中国结算的相关业务规则处理；期权结算业务中发生业务规则规定的现金结算情形导致甲方被实施现金结算的，按照相关业务规则规定处理。</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乙方对甲方的期权交易实行当日无负债结算。甲方在交易日有交易、持仓或者出入金的，乙方应在当日结算后按照本合同约定的方式提供显示其账户权益状况和成交结果的交易结算报告供甲方查询。</w:t>
      </w:r>
    </w:p>
    <w:p>
      <w:pPr>
        <w:adjustRightInd w:val="0"/>
        <w:spacing w:line="560" w:lineRule="exact"/>
        <w:ind w:firstLine="600" w:firstLineChars="200"/>
        <w:rPr>
          <w:rFonts w:eastAsia="方正仿宋简体"/>
          <w:bCs/>
          <w:sz w:val="30"/>
          <w:szCs w:val="30"/>
        </w:rPr>
      </w:pPr>
      <w:r>
        <w:rPr>
          <w:rFonts w:eastAsia="方正仿宋简体"/>
          <w:bCs/>
          <w:sz w:val="30"/>
          <w:szCs w:val="30"/>
        </w:rPr>
        <w:t>甲方同意在没有交易、持仓及出入金时，乙方可以不对甲方发出交易结算报告，除非甲方特别要求。</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乙方应在每日收盘以后，及时将甲方账户的交易结算报告、追加保证金通知等文件发送给甲方；甲方应当及时接收乙方发出的交易结算报告、追加保证金通知等文件。</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 xml:space="preserve">甲方可通过（www.sipf.com.cn）或者（www.cfmmc.com）（二者选其一）登录前述查询系统。乙方通过本合同约定的方式及时告知甲方登录查询系统的用户名及初始密码。 </w:t>
      </w:r>
    </w:p>
    <w:p>
      <w:pPr>
        <w:adjustRightInd w:val="0"/>
        <w:spacing w:line="560" w:lineRule="exact"/>
        <w:ind w:left="846" w:hanging="279"/>
        <w:rPr>
          <w:rFonts w:eastAsia="方正仿宋简体"/>
          <w:bCs/>
          <w:sz w:val="30"/>
          <w:szCs w:val="30"/>
        </w:rPr>
      </w:pPr>
      <w:r>
        <w:rPr>
          <w:rFonts w:eastAsia="方正仿宋简体"/>
          <w:bCs/>
          <w:sz w:val="30"/>
          <w:szCs w:val="30"/>
        </w:rPr>
        <w:t>甲方应遵照有关规定，及时修改查询系统登录密码。</w:t>
      </w:r>
    </w:p>
    <w:p>
      <w:pPr>
        <w:numPr>
          <w:ilvl w:val="0"/>
          <w:numId w:val="113"/>
        </w:numPr>
        <w:adjustRightInd w:val="0"/>
        <w:spacing w:line="560" w:lineRule="exact"/>
        <w:ind w:left="0" w:firstLine="482"/>
        <w:rPr>
          <w:rFonts w:ascii="方正仿宋简体" w:eastAsia="方正仿宋简体"/>
          <w:bCs/>
          <w:sz w:val="30"/>
          <w:szCs w:val="30"/>
        </w:rPr>
      </w:pPr>
      <w:r>
        <w:rPr>
          <w:rFonts w:eastAsia="方正仿宋简体"/>
          <w:bCs/>
          <w:sz w:val="30"/>
          <w:szCs w:val="30"/>
        </w:rPr>
        <w:t>乙方向甲方发送每日交易结算报告、追加保证金通知、单独调整保证金通知等文件，或者深交所、中国结算根据其业务规则的规定调整期权交易的保证金标准、持仓限额以及其他相关标准，或者乙方根据本合同约定调整期权交易的保证金标准、持仓限额以及其他相关标准的，甲方知晓并同意乙方同时采用期权交易客户端以及下列一种或者多种方式通知甲方</w:t>
      </w:r>
      <w:r>
        <w:rPr>
          <w:rFonts w:hint="eastAsia" w:ascii="方正仿宋简体" w:eastAsia="方正仿宋简体"/>
          <w:bCs/>
          <w:sz w:val="30"/>
          <w:szCs w:val="30"/>
        </w:rPr>
        <w:t>（注：请在选项前□内打√并填写有关内容，在非选项前□内打×，下同）：</w:t>
      </w:r>
    </w:p>
    <w:p>
      <w:pPr>
        <w:adjustRightInd w:val="0"/>
        <w:spacing w:line="560" w:lineRule="exact"/>
        <w:ind w:firstLine="600" w:firstLineChars="200"/>
        <w:rPr>
          <w:rFonts w:eastAsia="方正仿宋简体"/>
          <w:bCs/>
          <w:sz w:val="30"/>
          <w:szCs w:val="30"/>
        </w:rPr>
      </w:pPr>
      <w:r>
        <w:rPr>
          <w:rFonts w:eastAsia="方正仿宋简体"/>
          <w:bCs/>
          <w:sz w:val="30"/>
          <w:szCs w:val="30"/>
        </w:rPr>
        <w:t>（一）发送每日交易结算报告：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□其他方式：</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（二）追加保证金通知：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□其他方式：</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（三）单独调整保证金通知：</w:t>
      </w:r>
    </w:p>
    <w:p>
      <w:pPr>
        <w:adjustRightInd w:val="0"/>
        <w:spacing w:line="560" w:lineRule="exact"/>
        <w:ind w:firstLine="600" w:firstLineChars="200"/>
        <w:rPr>
          <w:rFonts w:eastAsia="方正仿宋简体"/>
          <w:bCs/>
          <w:sz w:val="30"/>
          <w:szCs w:val="30"/>
        </w:rPr>
      </w:pPr>
      <w:r>
        <w:rPr>
          <w:rFonts w:hint="eastAsia" w:ascii="方正仿宋简体" w:eastAsia="方正仿宋简体"/>
          <w:bCs/>
          <w:sz w:val="30"/>
          <w:szCs w:val="30"/>
        </w:rPr>
        <w:t>□ 电话通</w:t>
      </w:r>
      <w:r>
        <w:rPr>
          <w:rFonts w:eastAsia="方正仿宋简体"/>
          <w:bCs/>
          <w:sz w:val="30"/>
          <w:szCs w:val="30"/>
        </w:rPr>
        <w:t>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□其他方式：</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（四）深交所、中国结算根据其业务规则的规定调整期权交易的保证金标准、持仓限额以及其他相关标准：</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营业场所公告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其他方式：</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（五）乙方根据本合同约定调整期权交易的保证金标准、持仓限额以及其他相关标准：</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营业场所公告；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eastAsia="方正仿宋简体"/>
          <w:bCs/>
          <w:sz w:val="30"/>
          <w:szCs w:val="30"/>
        </w:rPr>
      </w:pPr>
      <w:r>
        <w:rPr>
          <w:rFonts w:hint="eastAsia" w:ascii="方正仿宋简体" w:eastAsia="方正仿宋简体"/>
          <w:bCs/>
          <w:sz w:val="30"/>
          <w:szCs w:val="30"/>
        </w:rPr>
        <w:t>□ 其他方式：</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甲方有义务及时关注自己的交易结果、持仓情况、保证金和权益变化，并妥善处理持仓，如果甲方因某种原因无法收到或者没有收到当日交易结算报告的，应于下一个交易日开市前（  ）分钟前向乙方提出，否则，视同甲方收到当日交易结算报告。甲方提出未收到交易结算报告的，乙方应及时补发。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交易日开市前未对前日交易结算报告提出异议的，视为甲方对交易结算报告记载事项的确认。异议应由甲方本人或其授权的结算单确认人以书面方式（传真或当面提交）向乙方提出，乙方应当及时处理所收到的书面异议。</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乙方或者甲方要求变更本合同约定的通知方式的，应当及时书面通知对方，并经对方确认后方可生效。否则，由变更造成的通知延误或者损失均由提出变更方负责。</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甲方对当日交易结算报告的确认，视为甲方对该日及该日之前所有持仓和交易结算结果、资金出入的确认。</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由于乙方原因导致交易结算报告的记载事项出现与实际交易结果和权益不符的，甲方的确认不改变甲方的实际交易结果和权益。对于不符事项，甲、乙双方可以根据原始财务凭证及交易凭证另行确认。</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本合同约定的时间内以约定方式向乙方提出书面异议的，乙方应当根据原始指令记录和交易记录及时核实。当对与交易结果有直接关联的事项发生异议时，为避免损失的可能发生或者扩大，乙方在收到甲方的异议时，可以将发生异议的持仓合约进行平仓或者重新执行甲方的交易指令。由此发生的损失由有过错一方承担。</w:t>
      </w:r>
    </w:p>
    <w:p>
      <w:pPr>
        <w:adjustRightInd w:val="0"/>
        <w:spacing w:line="560" w:lineRule="exact"/>
        <w:rPr>
          <w:rFonts w:eastAsia="方正仿宋简体"/>
          <w:bCs/>
          <w:sz w:val="28"/>
          <w:szCs w:val="28"/>
        </w:rPr>
      </w:pPr>
    </w:p>
    <w:p>
      <w:pPr>
        <w:keepNext/>
        <w:keepLines/>
        <w:numPr>
          <w:ilvl w:val="0"/>
          <w:numId w:val="112"/>
        </w:numPr>
        <w:spacing w:line="560" w:lineRule="exact"/>
        <w:ind w:left="420"/>
        <w:jc w:val="center"/>
        <w:rPr>
          <w:rFonts w:ascii="黑体" w:hAnsi="黑体" w:eastAsia="黑体"/>
          <w:bCs/>
          <w:kern w:val="44"/>
          <w:sz w:val="30"/>
          <w:szCs w:val="30"/>
        </w:rPr>
      </w:pPr>
      <w:bookmarkStart w:id="390" w:name="_Toc409007914"/>
      <w:r>
        <w:rPr>
          <w:rFonts w:ascii="黑体" w:hAnsi="黑体" w:eastAsia="黑体"/>
          <w:bCs/>
          <w:kern w:val="44"/>
          <w:sz w:val="30"/>
          <w:szCs w:val="30"/>
        </w:rPr>
        <w:t>行权</w:t>
      </w:r>
      <w:bookmarkEnd w:id="390"/>
    </w:p>
    <w:p>
      <w:pPr>
        <w:numPr>
          <w:ilvl w:val="0"/>
          <w:numId w:val="113"/>
        </w:numPr>
        <w:adjustRightInd w:val="0"/>
        <w:spacing w:line="560" w:lineRule="exact"/>
        <w:ind w:left="0" w:firstLine="482"/>
        <w:rPr>
          <w:rFonts w:ascii="方正仿宋简体" w:eastAsia="方正仿宋简体"/>
          <w:bCs/>
          <w:sz w:val="30"/>
          <w:szCs w:val="30"/>
        </w:rPr>
      </w:pPr>
      <w:r>
        <w:rPr>
          <w:rFonts w:eastAsia="方正仿宋简体"/>
          <w:bCs/>
          <w:sz w:val="30"/>
          <w:szCs w:val="30"/>
        </w:rPr>
        <w:t>期权合约到期前3个交易日内，乙方应当采取期权交易客户端以及下列一种或者多种方式逐日提醒甲方妥善处理期权</w:t>
      </w:r>
      <w:r>
        <w:rPr>
          <w:rFonts w:hint="eastAsia" w:ascii="方正仿宋简体" w:eastAsia="方正仿宋简体"/>
          <w:bCs/>
          <w:sz w:val="30"/>
          <w:szCs w:val="30"/>
        </w:rPr>
        <w:t>交易持仓：</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网站公告；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营业场所公告；</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电话通知；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短信通知；</w:t>
      </w:r>
    </w:p>
    <w:p>
      <w:pPr>
        <w:adjustRightInd w:val="0"/>
        <w:spacing w:line="560" w:lineRule="exact"/>
        <w:ind w:firstLine="600" w:firstLineChars="200"/>
        <w:rPr>
          <w:rFonts w:ascii="方正仿宋简体" w:eastAsia="方正仿宋简体"/>
          <w:bCs/>
          <w:sz w:val="30"/>
          <w:szCs w:val="30"/>
        </w:rPr>
      </w:pPr>
      <w:r>
        <w:rPr>
          <w:rFonts w:hint="eastAsia" w:ascii="方正仿宋简体" w:eastAsia="方正仿宋简体"/>
          <w:bCs/>
          <w:sz w:val="30"/>
          <w:szCs w:val="30"/>
        </w:rPr>
        <w:t>□ 电子邮件通知；</w:t>
      </w:r>
    </w:p>
    <w:p>
      <w:pPr>
        <w:adjustRightInd w:val="0"/>
        <w:spacing w:line="560" w:lineRule="exact"/>
        <w:ind w:firstLine="600" w:firstLineChars="200"/>
        <w:rPr>
          <w:rFonts w:eastAsia="方正仿宋简体"/>
          <w:bCs/>
          <w:sz w:val="30"/>
          <w:szCs w:val="30"/>
        </w:rPr>
      </w:pPr>
      <w:r>
        <w:rPr>
          <w:rFonts w:hint="eastAsia" w:ascii="方正仿宋简体" w:eastAsia="方正仿宋简体"/>
          <w:bCs/>
          <w:sz w:val="30"/>
          <w:szCs w:val="30"/>
        </w:rPr>
        <w:t>□ 其他方式：（</w:t>
      </w:r>
      <w:r>
        <w:rPr>
          <w:rFonts w:eastAsia="方正仿宋简体"/>
          <w:bCs/>
          <w:sz w:val="30"/>
          <w:szCs w:val="30"/>
        </w:rPr>
        <w:t xml:space="preserve">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甲方行权的，应当在规定的行权日内的行权申报时段向乙方提交委托指令，并应符合深交所和中国结算的相关规定。否则，乙方有权拒绝接受甲方的行权指令。</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期权交割采取给付合约标的的方式进行，深交所或中国结算另有规定的除外。</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对认购期权行权的，应当在提交行权指令时向乙方提交足额的行权资金。甲方对认沽期权行权的，应当在提交行权指令时在证券账户中存放足额的合约标的。甲方未按时提交或存放足额的资金或合约标的的，乙方有权拒绝接受其行权指令。</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甲方被指派为认购期权被行权方的，应当在行权交收前在证券账户内存放足额的合约标的；甲方被指派为认沽期权被行权方的，应当在行权交收前向乙方提交足额的被行权资金。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根据深交所或中国结算的规定，行权交割采取现金结算方式的，甲方若为资金应付方，应当在行权交收前向乙方提交足额的资金。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出现行权应付合约标的交割不足的，乙方按照深交所、中国结算业务规则的规定，以深交所或者中国结算公布的行权现金结算价格，对甲方相应期权合约进行现金结算行权交割。但乙方根据深交所、中国结算相关业务规则以及本合同的规定，利用自有证券履行行权交割义务的除外。</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除以下几种情形外，甲方出现行权应付合约标的交割不足的，构成行权合约标的交割违约：</w:t>
      </w:r>
    </w:p>
    <w:p>
      <w:pPr>
        <w:adjustRightInd w:val="0"/>
        <w:spacing w:line="560" w:lineRule="exact"/>
        <w:ind w:firstLine="600" w:firstLineChars="200"/>
        <w:rPr>
          <w:rFonts w:eastAsia="方正仿宋简体"/>
          <w:bCs/>
          <w:sz w:val="30"/>
          <w:szCs w:val="30"/>
        </w:rPr>
      </w:pPr>
      <w:r>
        <w:rPr>
          <w:rFonts w:eastAsia="方正仿宋简体"/>
          <w:bCs/>
          <w:sz w:val="30"/>
          <w:szCs w:val="30"/>
        </w:rPr>
        <w:t>（一）期权合约行权日遇合约标的全天停牌、临时停牌直至收盘，甲方对其持有的实值认沽期权提交行权申报，中国结算对其因合约标的不足未通过有效性检查的行权申报，按照深交所公布的行权现金结算价格，以现金结算方式进行行权交割。</w:t>
      </w:r>
    </w:p>
    <w:p>
      <w:pPr>
        <w:adjustRightInd w:val="0"/>
        <w:spacing w:line="560" w:lineRule="exact"/>
        <w:ind w:firstLine="600" w:firstLineChars="200"/>
        <w:rPr>
          <w:rFonts w:eastAsia="方正仿宋简体"/>
          <w:bCs/>
          <w:sz w:val="30"/>
          <w:szCs w:val="30"/>
        </w:rPr>
      </w:pPr>
      <w:r>
        <w:rPr>
          <w:rFonts w:eastAsia="方正仿宋简体"/>
          <w:bCs/>
          <w:sz w:val="30"/>
          <w:szCs w:val="30"/>
        </w:rPr>
        <w:t>（二）期权合约行权日次一交易日遇合约标的全天停牌、临时停牌直至收盘，对于甲方行权交割中应交付的合约标的不足部分，按照深交所公布的行权现金结算价格，以现金结算方式进行行权交割。</w:t>
      </w:r>
    </w:p>
    <w:p>
      <w:pPr>
        <w:adjustRightInd w:val="0"/>
        <w:spacing w:line="560" w:lineRule="exact"/>
        <w:ind w:firstLine="600" w:firstLineChars="200"/>
        <w:rPr>
          <w:rFonts w:eastAsia="方正仿宋简体"/>
          <w:bCs/>
          <w:sz w:val="30"/>
          <w:szCs w:val="30"/>
        </w:rPr>
      </w:pPr>
      <w:r>
        <w:rPr>
          <w:rFonts w:eastAsia="方正仿宋简体"/>
          <w:bCs/>
          <w:sz w:val="30"/>
          <w:szCs w:val="30"/>
        </w:rPr>
        <w:t>（三）期权交易出现异常情形，根据深交所向市场发布的公告，对相应期权合约按照深交所公布的行权现金结算价格，以现金结算方式进行行权交割。</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（四）乙方认可的其他情形：（            ）。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甲方构成行权合约标的交割违约的，乙方可按照以下方式处理：</w:t>
      </w:r>
    </w:p>
    <w:p>
      <w:pPr>
        <w:adjustRightInd w:val="0"/>
        <w:spacing w:line="560" w:lineRule="exact"/>
        <w:ind w:firstLine="600" w:firstLineChars="200"/>
        <w:rPr>
          <w:rFonts w:eastAsia="方正仿宋简体"/>
          <w:bCs/>
          <w:sz w:val="30"/>
          <w:szCs w:val="30"/>
        </w:rPr>
      </w:pPr>
      <w:r>
        <w:rPr>
          <w:rFonts w:eastAsia="方正仿宋简体"/>
          <w:bCs/>
          <w:sz w:val="30"/>
          <w:szCs w:val="30"/>
        </w:rPr>
        <w:t>（一）按照中国结算公布的价格，对甲方相应期权合约进行现金结算行权交割，并有权按照合约标的不足部分当日收盘价（ ）%的比例向甲方收取违约金。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（二）自行决定利用自有证券，通过甲方证券账户履行乙方向中国结算的交割义务（乙方无需就此另行通知甲方），相应行权资金由乙方收取，不交付甲方。同时，乙方按照合约标的不足部分当日收盘价（ ）%的比例向甲方收取违约金。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行权交割中出现应交付的合约标的不足，其合约账户持有未到期备兑开仓合约的，相应备兑证券将被用于当日的行权交割。由此造成的备兑证券不足部分，将转普通仓，甲方应按照本合同第九十一条的规定及时补足保证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甲方出现行权应付资金交收不足的，按以下第（ ）种方式处理：</w:t>
      </w:r>
    </w:p>
    <w:p>
      <w:pPr>
        <w:adjustRightInd w:val="0"/>
        <w:spacing w:line="560" w:lineRule="exact"/>
        <w:ind w:firstLine="600" w:firstLineChars="200"/>
        <w:rPr>
          <w:rFonts w:eastAsia="方正仿宋简体"/>
          <w:bCs/>
          <w:sz w:val="30"/>
          <w:szCs w:val="30"/>
        </w:rPr>
      </w:pPr>
      <w:r>
        <w:rPr>
          <w:rFonts w:eastAsia="方正仿宋简体"/>
          <w:bCs/>
          <w:sz w:val="30"/>
          <w:szCs w:val="30"/>
        </w:rPr>
        <w:t>（一）甲方构成行权资金交收违约。乙方按照应付资金不足部分（ ）%的比例向甲方收取违约金。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（二）乙方以自有资金履行向中国结算的交收义务的，除向甲方收取前款规定的违约金外，乙方还按日向甲方收取乙方所垫付资金的利息。</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（三）其他约定：__________________________________。</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甲方出现行权资金交收违约但乙方未对中国结算行权资金交收违约的，乙方有权向甲方暂不交付不低于交收违约金额的应收合约标的。</w:t>
      </w:r>
    </w:p>
    <w:p>
      <w:pPr>
        <w:adjustRightInd w:val="0"/>
        <w:spacing w:line="560" w:lineRule="exact"/>
        <w:ind w:firstLine="600" w:firstLineChars="200"/>
        <w:rPr>
          <w:rFonts w:eastAsia="方正仿宋简体"/>
          <w:bCs/>
          <w:sz w:val="30"/>
          <w:szCs w:val="30"/>
        </w:rPr>
      </w:pPr>
      <w:r>
        <w:rPr>
          <w:rFonts w:eastAsia="方正仿宋简体"/>
          <w:bCs/>
          <w:sz w:val="30"/>
          <w:szCs w:val="30"/>
        </w:rPr>
        <w:t>暂不交付甲方的应收合约标的由乙方委托中国结算划付至乙方证券处置账户，甲方在（____）个交易日内未向乙方补足资金本息的，乙方有权将证券处置账户内相应证券卖出，用于补足甲方欠付的资金本息和支付相关费用（含违约金），有剩余的在（____）个交易日内归还甲方。</w:t>
      </w:r>
    </w:p>
    <w:p>
      <w:pPr>
        <w:adjustRightInd w:val="0"/>
        <w:spacing w:line="560" w:lineRule="exact"/>
        <w:ind w:left="567"/>
        <w:rPr>
          <w:rFonts w:eastAsia="方正仿宋简体"/>
          <w:bCs/>
          <w:sz w:val="30"/>
          <w:szCs w:val="30"/>
        </w:rPr>
      </w:pPr>
      <w:r>
        <w:rPr>
          <w:rFonts w:eastAsia="方正仿宋简体"/>
          <w:bCs/>
          <w:sz w:val="30"/>
          <w:szCs w:val="30"/>
        </w:rPr>
        <w:t>上述情形下产生的法律责任，由甲方承担。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乙方进行相关证券处置时，有权自行选择处置证券的品种、数量，如处置证券的价格在当时的市场条件下属于合理的范围，甲方同意不以处置的时机未能选择最佳价格或者数量为由向乙方主张任何权益。</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甲方行权资金交收违约并造成乙方对中国结算违约的，乙方有权将甲方相当于交收违约金额的应收合约标的指定为暂不交付合约标的并由中国结算按其业务规则进行处置。相关法律责任由甲方承担。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行权交收通知、行权资金的交收、合约标的交割及行权交收违约的处理办法，依照深交所、中国结算的交收规则以及本合同的约定执行。</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甲方在此声明：（ ）同意（ ）不同意委托乙方进行协议行权。</w:t>
      </w:r>
    </w:p>
    <w:p>
      <w:pPr>
        <w:adjustRightInd w:val="0"/>
        <w:spacing w:line="560" w:lineRule="exact"/>
        <w:ind w:firstLine="600" w:firstLineChars="200"/>
        <w:rPr>
          <w:rFonts w:eastAsia="方正仿宋简体"/>
          <w:bCs/>
          <w:sz w:val="30"/>
          <w:szCs w:val="30"/>
        </w:rPr>
      </w:pPr>
      <w:r>
        <w:rPr>
          <w:rFonts w:eastAsia="方正仿宋简体"/>
          <w:bCs/>
          <w:sz w:val="30"/>
          <w:szCs w:val="30"/>
        </w:rPr>
        <w:t>甲方委托乙方进行协议行权的，按照以下约定办理：</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1.由乙方代为发出行权申报的期权合约范围：______________________________</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2.由乙方代为发出行权申报的具体触发条件：______________________________</w:t>
      </w:r>
    </w:p>
    <w:p>
      <w:pPr>
        <w:adjustRightInd w:val="0"/>
        <w:spacing w:line="560" w:lineRule="exact"/>
        <w:ind w:firstLine="600" w:firstLineChars="200"/>
        <w:rPr>
          <w:rFonts w:eastAsia="方正仿宋简体"/>
          <w:bCs/>
          <w:sz w:val="30"/>
          <w:szCs w:val="30"/>
        </w:rPr>
      </w:pPr>
      <w:r>
        <w:rPr>
          <w:rFonts w:eastAsia="方正仿宋简体"/>
          <w:bCs/>
          <w:sz w:val="30"/>
          <w:szCs w:val="30"/>
        </w:rPr>
        <w:t>3.由乙方代为发出行权申报的期权合约数量或其确定方式：______________________________</w:t>
      </w:r>
    </w:p>
    <w:p>
      <w:pPr>
        <w:adjustRightInd w:val="0"/>
        <w:spacing w:line="560" w:lineRule="exact"/>
        <w:ind w:firstLine="600" w:firstLineChars="200"/>
        <w:rPr>
          <w:rFonts w:eastAsia="方正仿宋简体"/>
          <w:bCs/>
          <w:sz w:val="30"/>
          <w:szCs w:val="30"/>
        </w:rPr>
      </w:pPr>
      <w:r>
        <w:rPr>
          <w:rFonts w:eastAsia="方正仿宋简体"/>
          <w:bCs/>
          <w:sz w:val="30"/>
          <w:szCs w:val="30"/>
        </w:rPr>
        <w:t>4.乙方代为发出行权申报后告知甲方的具体方式及时间要求：__________________________</w:t>
      </w:r>
    </w:p>
    <w:p>
      <w:pPr>
        <w:adjustRightInd w:val="0"/>
        <w:spacing w:line="560" w:lineRule="exact"/>
        <w:ind w:firstLine="600" w:firstLineChars="200"/>
        <w:rPr>
          <w:rFonts w:eastAsia="方正仿宋简体"/>
          <w:bCs/>
          <w:sz w:val="30"/>
          <w:szCs w:val="30"/>
        </w:rPr>
      </w:pPr>
      <w:r>
        <w:rPr>
          <w:rFonts w:eastAsia="方正仿宋简体"/>
          <w:bCs/>
          <w:sz w:val="30"/>
          <w:szCs w:val="30"/>
        </w:rPr>
        <w:t>乙方根据本合同约定为甲方发出行权申报的，甲方应当承担相应的行权结果，并履行合约标的交割、行权资金交收义务。</w:t>
      </w:r>
    </w:p>
    <w:p>
      <w:pPr>
        <w:adjustRightInd w:val="0"/>
        <w:spacing w:line="560" w:lineRule="exact"/>
        <w:ind w:firstLine="600" w:firstLineChars="200"/>
        <w:rPr>
          <w:rFonts w:eastAsia="方正仿宋简体"/>
          <w:bCs/>
          <w:sz w:val="30"/>
          <w:szCs w:val="30"/>
        </w:rPr>
      </w:pPr>
      <w:r>
        <w:rPr>
          <w:rFonts w:eastAsia="方正仿宋简体"/>
          <w:bCs/>
          <w:sz w:val="30"/>
          <w:szCs w:val="30"/>
        </w:rPr>
        <w:t>甲方可在乙方提供的期权交易客户端中设置或者更改委托乙方进行协议行权申报的具体事项。甲方设置内容与本合同约定不一致的，以甲方设置内容为准。甲方撤回协议行权申报委托权限的，应当提前（  ）个交易日以书面方式告知乙方，或者在乙方提供的期权交易客户端中进行相应撤销操作。</w:t>
      </w:r>
    </w:p>
    <w:p>
      <w:pPr>
        <w:adjustRightInd w:val="0"/>
        <w:spacing w:line="560" w:lineRule="exact"/>
        <w:ind w:firstLine="560" w:firstLineChars="200"/>
        <w:rPr>
          <w:rFonts w:eastAsia="方正仿宋简体"/>
          <w:bCs/>
          <w:sz w:val="28"/>
          <w:szCs w:val="28"/>
        </w:rPr>
      </w:pPr>
    </w:p>
    <w:p>
      <w:pPr>
        <w:keepNext/>
        <w:keepLines/>
        <w:numPr>
          <w:ilvl w:val="0"/>
          <w:numId w:val="112"/>
        </w:numPr>
        <w:spacing w:line="560" w:lineRule="exact"/>
        <w:ind w:left="420"/>
        <w:jc w:val="center"/>
        <w:rPr>
          <w:rFonts w:ascii="黑体" w:hAnsi="黑体" w:eastAsia="黑体"/>
          <w:bCs/>
          <w:kern w:val="44"/>
          <w:sz w:val="30"/>
          <w:szCs w:val="30"/>
        </w:rPr>
      </w:pPr>
      <w:bookmarkStart w:id="391" w:name="_Toc409007915"/>
      <w:r>
        <w:rPr>
          <w:rFonts w:ascii="黑体" w:hAnsi="黑体" w:eastAsia="黑体"/>
          <w:bCs/>
          <w:kern w:val="44"/>
          <w:sz w:val="30"/>
          <w:szCs w:val="30"/>
        </w:rPr>
        <w:t>风险控制</w:t>
      </w:r>
      <w:bookmarkEnd w:id="391"/>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甲方可以以现金或者本合同规定的证券形式向乙方交纳保证金，用于期权交易的结算和期权合约的履行。</w:t>
      </w:r>
    </w:p>
    <w:p>
      <w:pPr>
        <w:adjustRightInd w:val="0"/>
        <w:spacing w:line="560" w:lineRule="exact"/>
        <w:ind w:firstLine="600" w:firstLineChars="200"/>
        <w:rPr>
          <w:rFonts w:eastAsia="方正仿宋简体"/>
          <w:bCs/>
          <w:sz w:val="30"/>
          <w:szCs w:val="30"/>
        </w:rPr>
      </w:pPr>
      <w:r>
        <w:rPr>
          <w:rFonts w:eastAsia="方正仿宋简体"/>
          <w:bCs/>
          <w:sz w:val="30"/>
          <w:szCs w:val="30"/>
        </w:rPr>
        <w:t>乙方根据中国结算及深交所的规定，确定甲方可以提交为保证金的证券品种、范围、折算率以及最高限额等事项，并以公告、通知或者甲方认可的其他方式告知甲方，甲方应当遵守。</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甲方以现金形式交纳的保证金（以下简称资金保证金）额度，与甲方以证券形式交纳的保证金（以下简称证券保证金）按照乙方规定的折算率折算后的额度合并计算。</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甲方应当根据以下标准，及时、足额向乙方交纳保证金：</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（一）合约标的为股票的，每张合约的维持保证金收取比例为： </w:t>
      </w:r>
    </w:p>
    <w:p>
      <w:pPr>
        <w:adjustRightInd w:val="0"/>
        <w:spacing w:line="560" w:lineRule="exact"/>
        <w:ind w:firstLine="600" w:firstLineChars="200"/>
        <w:rPr>
          <w:rFonts w:eastAsia="方正仿宋简体"/>
          <w:bCs/>
          <w:sz w:val="30"/>
          <w:szCs w:val="30"/>
        </w:rPr>
      </w:pPr>
      <w:r>
        <w:rPr>
          <w:rFonts w:eastAsia="方正仿宋简体"/>
          <w:bCs/>
          <w:sz w:val="30"/>
          <w:szCs w:val="30"/>
        </w:rPr>
        <w:t>1.认购期权义务仓维持保证金：（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2.认沽期权义务仓维持保证金：（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（二）合约标的为交易型开放式指数基金（以下简称交易型开放式基金）的，每张合约的维持保证金收取比例为：</w:t>
      </w:r>
    </w:p>
    <w:p>
      <w:pPr>
        <w:adjustRightInd w:val="0"/>
        <w:spacing w:line="560" w:lineRule="exact"/>
        <w:ind w:firstLine="600" w:firstLineChars="200"/>
        <w:rPr>
          <w:rFonts w:eastAsia="方正仿宋简体"/>
          <w:bCs/>
          <w:sz w:val="30"/>
          <w:szCs w:val="30"/>
        </w:rPr>
      </w:pPr>
      <w:r>
        <w:rPr>
          <w:rFonts w:eastAsia="方正仿宋简体"/>
          <w:bCs/>
          <w:sz w:val="30"/>
          <w:szCs w:val="30"/>
        </w:rPr>
        <w:t>1.认购期权义务仓维持保证金：（                     ）。</w:t>
      </w:r>
    </w:p>
    <w:p>
      <w:pPr>
        <w:adjustRightInd w:val="0"/>
        <w:spacing w:line="560" w:lineRule="exact"/>
        <w:ind w:firstLine="600" w:firstLineChars="200"/>
        <w:jc w:val="left"/>
        <w:rPr>
          <w:rFonts w:eastAsia="方正仿宋简体"/>
          <w:bCs/>
          <w:sz w:val="30"/>
          <w:szCs w:val="30"/>
        </w:rPr>
      </w:pPr>
      <w:r>
        <w:rPr>
          <w:rFonts w:eastAsia="方正仿宋简体"/>
          <w:bCs/>
          <w:sz w:val="30"/>
          <w:szCs w:val="30"/>
        </w:rPr>
        <w:t>2.认沽期权义务仓维持保证金：（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乙方按照以下标准，对甲方卖出开仓申报计算对应的开仓保证金额度，并根据甲方保证金余额情况，对其卖出开仓及买入开仓申报进行前端控制。</w:t>
      </w:r>
    </w:p>
    <w:p>
      <w:pPr>
        <w:adjustRightInd w:val="0"/>
        <w:spacing w:line="560" w:lineRule="exact"/>
        <w:ind w:firstLine="600" w:firstLineChars="200"/>
        <w:rPr>
          <w:rFonts w:eastAsia="方正仿宋简体"/>
          <w:bCs/>
          <w:sz w:val="30"/>
          <w:szCs w:val="30"/>
        </w:rPr>
      </w:pPr>
      <w:r>
        <w:rPr>
          <w:rFonts w:eastAsia="方正仿宋简体"/>
          <w:bCs/>
          <w:sz w:val="30"/>
          <w:szCs w:val="30"/>
        </w:rPr>
        <w:t>（一）合约标的为股票的，每张合约开仓保证金计算比例为：</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1.认购期权义务仓开仓保证金：（                     ）。                    </w:t>
      </w:r>
    </w:p>
    <w:p>
      <w:pPr>
        <w:adjustRightInd w:val="0"/>
        <w:spacing w:line="560" w:lineRule="exact"/>
        <w:ind w:firstLine="600" w:firstLineChars="200"/>
        <w:rPr>
          <w:rFonts w:eastAsia="方正仿宋简体"/>
          <w:bCs/>
          <w:sz w:val="30"/>
          <w:szCs w:val="30"/>
        </w:rPr>
      </w:pPr>
      <w:r>
        <w:rPr>
          <w:rFonts w:eastAsia="方正仿宋简体"/>
          <w:bCs/>
          <w:sz w:val="30"/>
          <w:szCs w:val="30"/>
        </w:rPr>
        <w:t>2.认沽期权义务仓开仓保证金：（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（二）合约标的为交易型开放式基金的，每张合约开仓保证金计算比例为：</w:t>
      </w:r>
    </w:p>
    <w:p>
      <w:pPr>
        <w:adjustRightInd w:val="0"/>
        <w:spacing w:line="560" w:lineRule="exact"/>
        <w:ind w:firstLine="600" w:firstLineChars="200"/>
        <w:rPr>
          <w:rFonts w:eastAsia="方正仿宋简体"/>
          <w:bCs/>
          <w:sz w:val="30"/>
          <w:szCs w:val="30"/>
        </w:rPr>
      </w:pPr>
      <w:r>
        <w:rPr>
          <w:rFonts w:eastAsia="方正仿宋简体"/>
          <w:bCs/>
          <w:sz w:val="30"/>
          <w:szCs w:val="30"/>
        </w:rPr>
        <w:t>1.认购期权义务仓开仓保证金：（                     ）。</w:t>
      </w:r>
    </w:p>
    <w:p>
      <w:pPr>
        <w:adjustRightInd w:val="0"/>
        <w:spacing w:line="560" w:lineRule="exact"/>
        <w:ind w:firstLine="600" w:firstLineChars="200"/>
        <w:rPr>
          <w:rFonts w:eastAsia="方正仿宋简体"/>
          <w:bCs/>
          <w:sz w:val="30"/>
          <w:szCs w:val="30"/>
        </w:rPr>
      </w:pPr>
      <w:r>
        <w:rPr>
          <w:rFonts w:eastAsia="方正仿宋简体"/>
          <w:bCs/>
          <w:sz w:val="30"/>
          <w:szCs w:val="30"/>
        </w:rPr>
        <w:t>2.认沽期权义务仓开仓保证金：（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保证金余额少于卖出开仓申报对应的开仓保证金额度的，该卖出开仓申报无效。甲方保证金余额等于或者高于卖出开仓申报对应的开仓保证金额度的，该卖出开仓申报有效，乙方在其保证金数据中记减相应的开仓保证金额度。</w:t>
      </w:r>
    </w:p>
    <w:p>
      <w:pPr>
        <w:adjustRightInd w:val="0"/>
        <w:spacing w:line="560" w:lineRule="exact"/>
        <w:ind w:firstLine="600" w:firstLineChars="200"/>
        <w:rPr>
          <w:rFonts w:eastAsia="方正仿宋简体"/>
          <w:bCs/>
          <w:sz w:val="30"/>
          <w:szCs w:val="30"/>
        </w:rPr>
      </w:pPr>
      <w:r>
        <w:rPr>
          <w:rFonts w:eastAsia="方正仿宋简体"/>
          <w:bCs/>
          <w:sz w:val="30"/>
          <w:szCs w:val="30"/>
        </w:rPr>
        <w:t>甲方进行买入开仓时，其资金保证金余额少于买入开仓对应的权利金额度的，该买入开仓申报无效。资金保证金余额等于或者高于买入开仓对应的权利金额度的，该买入开仓申报有效，乙方在其保证金余额中记减相应的权利金额度。</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甲方就其持仓合约构建组合策略的，乙方按照深交所及中国结算规定的标准收取相应保证金。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乙方在期权保证金结算银行开设客户期权保证金账户，统一存放并管理甲方及乙方其他客户交纳的用于期权交易的资金。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通过在开户申请表中登记的投资者期权银行结算账户向乙方在同一保证金结算银行开设的客户保证金专用账户转账，实现资金保证金的入金；通过将保证金从乙方客户保证金专用账户转出至甲方投资者期权银行结算账户，实现资金保证金的出金。</w:t>
      </w:r>
    </w:p>
    <w:p>
      <w:pPr>
        <w:adjustRightInd w:val="0"/>
        <w:spacing w:line="560" w:lineRule="exact"/>
        <w:ind w:firstLine="600" w:firstLineChars="200"/>
        <w:rPr>
          <w:rFonts w:eastAsia="方正仿宋简体"/>
          <w:bCs/>
          <w:sz w:val="30"/>
          <w:szCs w:val="30"/>
        </w:rPr>
      </w:pPr>
      <w:r>
        <w:rPr>
          <w:rFonts w:eastAsia="方正仿宋简体"/>
          <w:bCs/>
          <w:sz w:val="30"/>
          <w:szCs w:val="30"/>
        </w:rPr>
        <w:t>甲方资金保证金的出入金方式应符合中国证监会、保证金安全存管监控机构以及保证金结算银行资金结算的有关规定。</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乙方在中国结算开设股票期权客户证券保证金账户，统一存放并管理甲方及乙方其他客户交纳的用于期权交易的证券保证金。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 xml:space="preserve">甲方知晓并同意，存放在乙方客户证券保证金账户内的证券，作为乙方向中国结算提交的证券保证金，用于乙方期权结算和保证期权合约的履行。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甲方可以根据本合同的约定以及乙方做出的其他规定，将其普通证券账户内持有的证券提交为保证金。</w:t>
      </w:r>
    </w:p>
    <w:p>
      <w:pPr>
        <w:adjustRightInd w:val="0"/>
        <w:spacing w:line="560" w:lineRule="exact"/>
        <w:ind w:firstLine="600" w:firstLineChars="200"/>
        <w:rPr>
          <w:rFonts w:eastAsia="方正仿宋简体"/>
          <w:bCs/>
          <w:sz w:val="30"/>
          <w:szCs w:val="30"/>
        </w:rPr>
      </w:pPr>
      <w:r>
        <w:rPr>
          <w:rFonts w:eastAsia="方正仿宋简体"/>
          <w:bCs/>
          <w:sz w:val="30"/>
          <w:szCs w:val="30"/>
        </w:rPr>
        <w:t>甲方可以根据本合同的约定以及乙方做出其他的规定，向乙方提出证券保证金转出指令，申请将其提交的证券保证金转出至甲方普通证券账户。</w:t>
      </w:r>
    </w:p>
    <w:p>
      <w:pPr>
        <w:adjustRightInd w:val="0"/>
        <w:spacing w:line="560" w:lineRule="exact"/>
        <w:ind w:firstLine="600" w:firstLineChars="200"/>
        <w:rPr>
          <w:rFonts w:eastAsia="方正仿宋简体"/>
          <w:bCs/>
          <w:sz w:val="30"/>
          <w:szCs w:val="30"/>
        </w:rPr>
      </w:pPr>
      <w:r>
        <w:rPr>
          <w:rFonts w:eastAsia="方正仿宋简体"/>
          <w:bCs/>
          <w:sz w:val="30"/>
          <w:szCs w:val="30"/>
        </w:rPr>
        <w:t>乙方可以根据深交所及中国结算的业务规则，对甲方转出证券保证金的条件做出规定，并以公告或者通知的方式告知甲方。</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甲方应当保证其保证金来源的合法性。乙方有权要求甲方对保证金来源的合法性进行说明，必要时可以要求甲方提供相关证明。</w:t>
      </w:r>
    </w:p>
    <w:p>
      <w:pPr>
        <w:adjustRightInd w:val="0"/>
        <w:spacing w:line="560" w:lineRule="exact"/>
        <w:ind w:firstLine="600" w:firstLineChars="200"/>
        <w:rPr>
          <w:rFonts w:eastAsia="方正仿宋简体"/>
          <w:bCs/>
          <w:sz w:val="30"/>
          <w:szCs w:val="30"/>
        </w:rPr>
      </w:pPr>
      <w:r>
        <w:rPr>
          <w:rFonts w:eastAsia="方正仿宋简体"/>
          <w:bCs/>
          <w:sz w:val="30"/>
          <w:szCs w:val="30"/>
        </w:rPr>
        <w:t>甲方对其所做的说明及提供的证明文件负保证义务，并承担相应的法律责任。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 xml:space="preserve">甲方可以通过中国证券投资者保护基金有限责任公司网站（www.sipf.com.cn）或者中国期货市场监控中心网站（www.cfmmc.com）查询期权保证金相关信息。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甲方交存的保证金属于甲方所有，除下列可划转的情形外，乙方不得挪用甲方保证金：</w:t>
      </w:r>
    </w:p>
    <w:p>
      <w:pPr>
        <w:adjustRightInd w:val="0"/>
        <w:spacing w:line="560" w:lineRule="exact"/>
        <w:ind w:firstLine="600" w:firstLineChars="200"/>
        <w:rPr>
          <w:rFonts w:eastAsia="方正仿宋简体"/>
          <w:bCs/>
          <w:sz w:val="30"/>
          <w:szCs w:val="30"/>
        </w:rPr>
      </w:pPr>
      <w:r>
        <w:rPr>
          <w:rFonts w:eastAsia="方正仿宋简体"/>
          <w:bCs/>
          <w:sz w:val="30"/>
          <w:szCs w:val="30"/>
        </w:rPr>
        <w:t>（一）依照甲方的指示支付可用资金；</w:t>
      </w:r>
    </w:p>
    <w:p>
      <w:pPr>
        <w:adjustRightInd w:val="0"/>
        <w:spacing w:line="560" w:lineRule="exact"/>
        <w:ind w:firstLine="600" w:firstLineChars="200"/>
        <w:rPr>
          <w:rFonts w:eastAsia="方正仿宋简体"/>
          <w:bCs/>
          <w:sz w:val="30"/>
          <w:szCs w:val="30"/>
        </w:rPr>
      </w:pPr>
      <w:r>
        <w:rPr>
          <w:rFonts w:eastAsia="方正仿宋简体"/>
          <w:bCs/>
          <w:sz w:val="30"/>
          <w:szCs w:val="30"/>
        </w:rPr>
        <w:t>（二）为甲方交存保证金；</w:t>
      </w:r>
    </w:p>
    <w:p>
      <w:pPr>
        <w:adjustRightInd w:val="0"/>
        <w:spacing w:line="560" w:lineRule="exact"/>
        <w:ind w:firstLine="600" w:firstLineChars="200"/>
        <w:rPr>
          <w:rFonts w:eastAsia="方正仿宋简体"/>
          <w:bCs/>
          <w:sz w:val="30"/>
          <w:szCs w:val="30"/>
        </w:rPr>
      </w:pPr>
      <w:r>
        <w:rPr>
          <w:rFonts w:eastAsia="方正仿宋简体"/>
          <w:bCs/>
          <w:sz w:val="30"/>
          <w:szCs w:val="30"/>
        </w:rPr>
        <w:t>（三）为甲方支付期权合约权利金；</w:t>
      </w:r>
    </w:p>
    <w:p>
      <w:pPr>
        <w:adjustRightInd w:val="0"/>
        <w:spacing w:line="560" w:lineRule="exact"/>
        <w:ind w:firstLine="600" w:firstLineChars="200"/>
        <w:rPr>
          <w:rFonts w:eastAsia="方正仿宋简体"/>
          <w:bCs/>
          <w:sz w:val="30"/>
          <w:szCs w:val="30"/>
        </w:rPr>
      </w:pPr>
      <w:r>
        <w:rPr>
          <w:rFonts w:eastAsia="方正仿宋简体"/>
          <w:bCs/>
          <w:sz w:val="30"/>
          <w:szCs w:val="30"/>
        </w:rPr>
        <w:t>（四）为甲方支付期权行权交收价款或者甲方未履约情况下的违约金；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（五）甲方应当支付的佣金、费用或者代扣税款；</w:t>
      </w:r>
    </w:p>
    <w:p>
      <w:pPr>
        <w:adjustRightInd w:val="0"/>
        <w:spacing w:line="560" w:lineRule="exact"/>
        <w:ind w:firstLine="600" w:firstLineChars="200"/>
        <w:rPr>
          <w:rFonts w:eastAsia="方正仿宋简体"/>
          <w:bCs/>
          <w:sz w:val="30"/>
          <w:szCs w:val="30"/>
        </w:rPr>
      </w:pPr>
      <w:r>
        <w:rPr>
          <w:rFonts w:eastAsia="方正仿宋简体"/>
          <w:bCs/>
          <w:sz w:val="30"/>
          <w:szCs w:val="30"/>
        </w:rPr>
        <w:t>（六）根据中国结算业务规则以自有资金垫付甲方款项后，收回垫付的款项本息及违约金；</w:t>
      </w:r>
    </w:p>
    <w:p>
      <w:pPr>
        <w:adjustRightInd w:val="0"/>
        <w:spacing w:line="560" w:lineRule="exact"/>
        <w:ind w:firstLine="600" w:firstLineChars="200"/>
        <w:rPr>
          <w:rFonts w:eastAsia="方正仿宋简体"/>
          <w:bCs/>
          <w:sz w:val="30"/>
          <w:szCs w:val="30"/>
        </w:rPr>
      </w:pPr>
      <w:r>
        <w:rPr>
          <w:rFonts w:eastAsia="方正仿宋简体"/>
          <w:bCs/>
          <w:sz w:val="30"/>
          <w:szCs w:val="30"/>
        </w:rPr>
        <w:t>（七）根据中国结算业务规则以自有证券通过甲方衍生品合约账户履行乙方行权结算义务后，收回相应的行权资金；</w:t>
      </w:r>
    </w:p>
    <w:p>
      <w:pPr>
        <w:adjustRightInd w:val="0"/>
        <w:spacing w:line="560" w:lineRule="exact"/>
        <w:ind w:firstLine="600" w:firstLineChars="200"/>
        <w:rPr>
          <w:rFonts w:eastAsia="方正仿宋简体"/>
          <w:bCs/>
          <w:sz w:val="30"/>
          <w:szCs w:val="30"/>
        </w:rPr>
      </w:pPr>
      <w:r>
        <w:rPr>
          <w:rFonts w:eastAsia="方正仿宋简体"/>
          <w:bCs/>
          <w:sz w:val="30"/>
          <w:szCs w:val="30"/>
        </w:rPr>
        <w:t>（八）转回利息收入；</w:t>
      </w:r>
    </w:p>
    <w:p>
      <w:pPr>
        <w:adjustRightInd w:val="0"/>
        <w:spacing w:line="560" w:lineRule="exact"/>
        <w:ind w:firstLine="600" w:firstLineChars="200"/>
        <w:rPr>
          <w:rFonts w:eastAsia="方正仿宋简体"/>
          <w:bCs/>
          <w:sz w:val="30"/>
          <w:szCs w:val="30"/>
        </w:rPr>
      </w:pPr>
      <w:r>
        <w:rPr>
          <w:rFonts w:eastAsia="方正仿宋简体"/>
          <w:bCs/>
          <w:sz w:val="30"/>
          <w:szCs w:val="30"/>
        </w:rPr>
        <w:t>（九）有关法律、法规或中国证监会、深交所、中国结算规定的其他情形。</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甲方应当根据乙方确定的比例交纳保证金。乙方有权根据深交所、中国结算的规定、市场情况，或者乙方认为有必要时自行调整保证金比例。乙方调整保证金比例时，以乙方发出的调整保证金公告或者通知为准。</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 xml:space="preserve">乙方认为甲方持有的未平仓合约风险较大时，有权对甲方单独提高保证金比例或者拒绝甲方开仓。在此种情形下，提高保证金或者拒绝甲方开仓的通知单独对甲方发出。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乙方应当对甲方期权保证金账户的有关信息保密，但国家法律法规和中国证监会有特别规定的除外。</w:t>
      </w:r>
    </w:p>
    <w:p>
      <w:pPr>
        <w:adjustRightInd w:val="0"/>
        <w:spacing w:line="560" w:lineRule="exact"/>
        <w:ind w:firstLine="600" w:firstLineChars="200"/>
        <w:rPr>
          <w:rFonts w:eastAsia="方正仿宋简体"/>
          <w:bCs/>
          <w:sz w:val="30"/>
          <w:szCs w:val="30"/>
        </w:rPr>
      </w:pPr>
      <w:r>
        <w:rPr>
          <w:rFonts w:eastAsia="方正仿宋简体"/>
          <w:bCs/>
          <w:sz w:val="30"/>
          <w:szCs w:val="30"/>
        </w:rPr>
        <w:t>为保障甲方保证金的安全，甲方同意乙方按照中国证监会的规定或要求，向期权保证金安全存管机构报送甲方与保证金安全存管相关的信息。</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甲方保证金不足乙方规定标准的，乙方将于当日交易结算报告中向甲方发出平仓通知。甲方应当在下一交易日开市前及时追加保证金或者在开市后（  ）时（  ）分前立即自行平仓。甲方未在乙方要求的时间内追加保证金或者自行平仓的，乙方有权就不足部分对甲方的部分或全部未平仓合约强行平仓。</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乙方因甲方保证金不足实施强行平仓时，按照下列原则执行平仓：</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 选择平仓合约的原则：（                         ）；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2. 执行时间、申报价格和方式：（                   ）。                             </w:t>
      </w:r>
    </w:p>
    <w:p>
      <w:pPr>
        <w:numPr>
          <w:ilvl w:val="0"/>
          <w:numId w:val="113"/>
        </w:numPr>
        <w:adjustRightInd w:val="0"/>
        <w:spacing w:line="560" w:lineRule="exact"/>
        <w:ind w:left="0" w:firstLine="602"/>
        <w:rPr>
          <w:rFonts w:eastAsia="方正仿宋简体"/>
          <w:bCs/>
          <w:sz w:val="30"/>
          <w:szCs w:val="30"/>
        </w:rPr>
      </w:pPr>
      <w:r>
        <w:rPr>
          <w:rFonts w:eastAsia="方正仿宋简体"/>
          <w:bCs/>
          <w:sz w:val="30"/>
          <w:szCs w:val="30"/>
        </w:rPr>
        <w:t>甲方用于备兑开仓的证券不足，且未在乙方要求的时间内追加备兑证券或者自行平仓的，乙方有权根据中国结算的日终交收结果将备兑仓不足部分转为普通仓，并向甲方收取相应维持保证金。</w:t>
      </w:r>
    </w:p>
    <w:p>
      <w:pPr>
        <w:adjustRightInd w:val="0"/>
        <w:spacing w:line="560" w:lineRule="exact"/>
        <w:ind w:firstLine="600" w:firstLineChars="200"/>
        <w:rPr>
          <w:rFonts w:eastAsia="方正仿宋简体"/>
          <w:bCs/>
          <w:sz w:val="30"/>
          <w:szCs w:val="30"/>
        </w:rPr>
      </w:pPr>
      <w:r>
        <w:rPr>
          <w:rFonts w:eastAsia="方正仿宋简体"/>
          <w:bCs/>
          <w:sz w:val="30"/>
          <w:szCs w:val="30"/>
        </w:rPr>
        <w:t>甲方备兑开仓持仓在存续期内出现备兑证券不足的，乙方可以按备兑不足期权合约数量锁定甲方保证金账户内相应保证金。</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乙方根据深交所的持仓限额规定，对甲方未平仓合约数量进行管理。乙方核定甲方的持仓限额标准为：</w:t>
      </w:r>
    </w:p>
    <w:p>
      <w:pPr>
        <w:adjustRightInd w:val="0"/>
        <w:spacing w:line="560" w:lineRule="exact"/>
        <w:ind w:firstLine="600" w:firstLineChars="200"/>
        <w:rPr>
          <w:rFonts w:eastAsia="方正仿宋简体"/>
          <w:bCs/>
          <w:sz w:val="30"/>
          <w:szCs w:val="30"/>
        </w:rPr>
      </w:pPr>
      <w:r>
        <w:rPr>
          <w:rFonts w:eastAsia="方正仿宋简体"/>
          <w:bCs/>
          <w:sz w:val="30"/>
          <w:szCs w:val="30"/>
        </w:rPr>
        <w:t>1. 对单个合约品种的权利仓持仓限额为深交所公布的相应持仓限额的（ ）%；</w:t>
      </w:r>
    </w:p>
    <w:p>
      <w:pPr>
        <w:adjustRightInd w:val="0"/>
        <w:spacing w:line="560" w:lineRule="exact"/>
        <w:ind w:firstLine="600" w:firstLineChars="200"/>
        <w:rPr>
          <w:rFonts w:eastAsia="方正仿宋简体"/>
          <w:bCs/>
          <w:sz w:val="30"/>
          <w:szCs w:val="30"/>
        </w:rPr>
      </w:pPr>
      <w:r>
        <w:rPr>
          <w:rFonts w:eastAsia="方正仿宋简体"/>
          <w:bCs/>
          <w:sz w:val="30"/>
          <w:szCs w:val="30"/>
        </w:rPr>
        <w:t>2. 对单个合约品种的总持仓限额为深交所公布的相应持仓限额的（ ）%；</w:t>
      </w:r>
    </w:p>
    <w:p>
      <w:pPr>
        <w:adjustRightInd w:val="0"/>
        <w:spacing w:line="560" w:lineRule="exact"/>
        <w:ind w:firstLine="600" w:firstLineChars="200"/>
        <w:rPr>
          <w:rFonts w:eastAsia="方正仿宋简体"/>
          <w:bCs/>
          <w:sz w:val="30"/>
          <w:szCs w:val="30"/>
        </w:rPr>
      </w:pPr>
      <w:r>
        <w:rPr>
          <w:rFonts w:eastAsia="方正仿宋简体"/>
          <w:bCs/>
          <w:sz w:val="30"/>
          <w:szCs w:val="30"/>
        </w:rPr>
        <w:t>3. 对单个合约品种单日买入开仓限额为深交所公布的相应开仓限额的（ ）%。</w:t>
      </w:r>
    </w:p>
    <w:p>
      <w:pPr>
        <w:adjustRightInd w:val="0"/>
        <w:spacing w:line="560" w:lineRule="exact"/>
        <w:ind w:firstLine="600" w:firstLineChars="200"/>
        <w:rPr>
          <w:rFonts w:eastAsia="方正仿宋简体"/>
          <w:bCs/>
          <w:sz w:val="30"/>
          <w:szCs w:val="30"/>
        </w:rPr>
      </w:pPr>
      <w:r>
        <w:rPr>
          <w:rFonts w:eastAsia="方正仿宋简体"/>
          <w:bCs/>
          <w:sz w:val="30"/>
          <w:szCs w:val="30"/>
        </w:rPr>
        <w:t>乙方据此对甲方的开仓及持仓情况进行前端控制。乙方可以根据深交所公布的持仓限额标准以及甲方实际情况，不时调整甲方的持仓限额标准，并以书面方式或者甲方认可的其他方式告知甲方。</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甲方为个人投资者的，乙方核定其持有的权利仓对应的总成交金额限额（以下简称买入金额限额）为下述金额中较高者：</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1.甲方托管在乙方的证券账户持有的证券市值与资金账户可用余额（不含融入的证券和资金）的10%，即（      ）元； </w:t>
      </w:r>
    </w:p>
    <w:p>
      <w:pPr>
        <w:adjustRightInd w:val="0"/>
        <w:spacing w:line="560" w:lineRule="exact"/>
        <w:ind w:firstLine="600" w:firstLineChars="200"/>
        <w:rPr>
          <w:rFonts w:eastAsia="方正仿宋简体"/>
          <w:bCs/>
          <w:sz w:val="30"/>
          <w:szCs w:val="30"/>
        </w:rPr>
      </w:pPr>
      <w:r>
        <w:rPr>
          <w:rFonts w:eastAsia="方正仿宋简体"/>
          <w:bCs/>
          <w:sz w:val="30"/>
          <w:szCs w:val="30"/>
        </w:rPr>
        <w:t>2.甲方托管在乙方的证券账户过去6个月日均持有深沪证券市值的20%，即（     ）元。</w:t>
      </w:r>
    </w:p>
    <w:p>
      <w:pPr>
        <w:adjustRightInd w:val="0"/>
        <w:spacing w:line="560" w:lineRule="exact"/>
        <w:ind w:firstLine="600" w:firstLineChars="200"/>
        <w:rPr>
          <w:rFonts w:eastAsia="方正仿宋简体"/>
          <w:bCs/>
          <w:sz w:val="30"/>
          <w:szCs w:val="30"/>
        </w:rPr>
      </w:pPr>
      <w:r>
        <w:rPr>
          <w:rFonts w:eastAsia="方正仿宋简体"/>
          <w:bCs/>
          <w:sz w:val="30"/>
          <w:szCs w:val="30"/>
        </w:rPr>
        <w:t>乙方据此对甲方买入开仓并持仓情况进行前端控制。乙方可以根据深交所公布的标准以及甲方实际情况，调整甲方的买入金额限额标准，并以书面方式或者甲方认可的其他方式告知甲方。</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当甲方持有的未平仓合约数量超过持仓限额规定时，乙方于当日交易结算报告中向甲方发出平仓通知，甲方应当在下一交易日开市后（ ）时（ ）分前立即自行平仓。甲方未在乙方要求的时间内自行平仓的，乙方有权对甲方的部分或全部未平仓合约强行平仓，直至甲方满足持仓限额要求。</w:t>
      </w:r>
    </w:p>
    <w:p>
      <w:pPr>
        <w:adjustRightInd w:val="0"/>
        <w:spacing w:line="560" w:lineRule="exact"/>
        <w:ind w:firstLine="600" w:firstLineChars="200"/>
        <w:rPr>
          <w:rFonts w:eastAsia="方正仿宋简体"/>
          <w:bCs/>
          <w:sz w:val="30"/>
          <w:szCs w:val="30"/>
        </w:rPr>
      </w:pPr>
      <w:r>
        <w:rPr>
          <w:rFonts w:eastAsia="方正仿宋简体"/>
          <w:bCs/>
          <w:sz w:val="30"/>
          <w:szCs w:val="30"/>
        </w:rPr>
        <w:t>因深交所采取风险控制措施等原因统一降低持仓限额、乙方根据经纪合同约定对甲方的持仓限额做出调整或者甲方申请的持仓额度到期，导致甲方未平仓合约数量超过持仓限额规定的，乙方不对甲方超出持仓限额的持仓实施强行平仓，但甲方在自行平仓直至满足降低后的持仓限额前不得再进行相应买入或者卖出开仓。</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乙方因甲方超出持仓限额实施强行平仓时，按照下列原则执行平仓：</w:t>
      </w:r>
    </w:p>
    <w:p>
      <w:pPr>
        <w:adjustRightInd w:val="0"/>
        <w:spacing w:line="560" w:lineRule="exact"/>
        <w:ind w:firstLine="600" w:firstLineChars="200"/>
        <w:rPr>
          <w:rFonts w:eastAsia="方正仿宋简体"/>
          <w:bCs/>
          <w:sz w:val="30"/>
          <w:szCs w:val="30"/>
        </w:rPr>
      </w:pPr>
      <w:r>
        <w:rPr>
          <w:rFonts w:eastAsia="方正仿宋简体"/>
          <w:bCs/>
          <w:sz w:val="30"/>
          <w:szCs w:val="30"/>
        </w:rPr>
        <w:t>1. 选择平仓合约的原则：（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2. 执行时间、申报价格和方式：（                     ）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甲方知晓并同意，深交所、中国结算有权根据相关业务规则的规定，对甲方持有的未平仓合约实施强行平仓。甲方不对深交所或中国结算根据业务规则规定执行的强行平仓主张权益。</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中国结算根据法律、法规、规章、业务规则或者本合同约定进行强行平仓时，甲方是直接责任人的，应承担强行平仓的手续费及由此产生的结果，并享有强行平仓产生的盈利，由于市场原因导致乙方无法采取强行平仓措施产生的损失由甲方承担；甲方不是直接责任人的，由乙方先行向甲方承担相关损失，再向直接责任人追索，甲方应当提供必要协助。</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乙方选择的平仓价位和平仓数量在当时的市场条件应当属于合理的范围。甲方同意不以强行平仓的时机未能选择最佳价位和数量为由向乙方主张权益。</w:t>
      </w:r>
    </w:p>
    <w:p>
      <w:pPr>
        <w:adjustRightInd w:val="0"/>
        <w:spacing w:line="560" w:lineRule="exact"/>
        <w:ind w:firstLine="600" w:firstLineChars="200"/>
        <w:rPr>
          <w:rFonts w:eastAsia="方正仿宋简体"/>
          <w:bCs/>
          <w:sz w:val="30"/>
          <w:szCs w:val="30"/>
        </w:rPr>
      </w:pPr>
      <w:r>
        <w:rPr>
          <w:rFonts w:eastAsia="方正仿宋简体"/>
          <w:bCs/>
          <w:sz w:val="30"/>
          <w:szCs w:val="30"/>
        </w:rPr>
        <w:t>乙方强行平仓不符合法定或者约定条件并有过错的，除甲方认可外，应当在下一交易日闭市前恢复被强行平仓的持仓，或者根据甲方的意愿采取其他合理的解决办法，并赔偿由此给甲方造成的直接损失。</w:t>
      </w:r>
    </w:p>
    <w:p>
      <w:pPr>
        <w:adjustRightInd w:val="0"/>
        <w:spacing w:line="560" w:lineRule="exact"/>
        <w:ind w:firstLine="600" w:firstLineChars="200"/>
        <w:rPr>
          <w:rFonts w:eastAsia="方正仿宋简体"/>
          <w:bCs/>
          <w:sz w:val="30"/>
          <w:szCs w:val="30"/>
        </w:rPr>
      </w:pPr>
      <w:r>
        <w:rPr>
          <w:rFonts w:eastAsia="方正仿宋简体"/>
          <w:bCs/>
          <w:sz w:val="30"/>
          <w:szCs w:val="30"/>
        </w:rPr>
        <w:t>乙方在采取本节规定的强行平仓措施后，应在事后及时将有关情况告知甲方。</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甲方被深交所要求报告持仓情况的，应当按照规定的内容及时间要求，向乙方报告其持仓、资金以及交易用途等情况，并由乙方提交给深交所。</w:t>
      </w:r>
    </w:p>
    <w:p>
      <w:pPr>
        <w:adjustRightInd w:val="0"/>
        <w:spacing w:line="560" w:lineRule="exact"/>
        <w:ind w:firstLine="567"/>
        <w:rPr>
          <w:rFonts w:eastAsia="方正仿宋简体"/>
          <w:bCs/>
          <w:sz w:val="30"/>
          <w:szCs w:val="30"/>
        </w:rPr>
      </w:pPr>
      <w:r>
        <w:rPr>
          <w:rFonts w:eastAsia="方正仿宋简体"/>
          <w:bCs/>
          <w:sz w:val="30"/>
          <w:szCs w:val="30"/>
        </w:rPr>
        <w:t>甲方应当配合乙方履行报告义务，向甲方如实提供前款所列资料，保证所提供资料真实、准确、完整。若甲方不提供或乙方有合理理由怀疑其提供的信息虚假或不准确，乙方有权要求其及时补正。若甲方不按要求补正，由此产生的后果由投资者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 xml:space="preserve">有下列情形之一的，乙方有权对甲方采取提高保证金、限制开仓、限制甲方衍生品合约账户全部或部分功能、拒绝甲方委托或者终止经纪关系等措施：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（一）甲方提供的资料、证件失效或严重失实的；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（二）乙方认定甲方资金来源不合法，或甲方违反反洗钱监管规定的；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（三）甲方有严重损害乙方合法权益、影响其正常经营秩序的行为； </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（四）甲方发生符合深交所异常交易认定标准的异常交易行为或其他违规交易行为的； </w:t>
      </w:r>
    </w:p>
    <w:p>
      <w:pPr>
        <w:adjustRightInd w:val="0"/>
        <w:spacing w:line="560" w:lineRule="exact"/>
        <w:ind w:firstLine="600" w:firstLineChars="200"/>
        <w:rPr>
          <w:rFonts w:eastAsia="方正仿宋简体"/>
          <w:bCs/>
          <w:sz w:val="30"/>
          <w:szCs w:val="30"/>
        </w:rPr>
      </w:pPr>
      <w:r>
        <w:rPr>
          <w:rFonts w:eastAsia="方正仿宋简体"/>
          <w:bCs/>
          <w:sz w:val="30"/>
          <w:szCs w:val="30"/>
        </w:rPr>
        <w:t>（五）乙方应监管部门要求或者甲方违反法律、法规、规章、政策及深交所规则规定的其他情形。</w:t>
      </w:r>
    </w:p>
    <w:p>
      <w:pPr>
        <w:adjustRightInd w:val="0"/>
        <w:spacing w:line="560" w:lineRule="exact"/>
        <w:ind w:firstLine="560" w:firstLineChars="200"/>
        <w:rPr>
          <w:rFonts w:eastAsia="方正仿宋简体"/>
          <w:bCs/>
          <w:sz w:val="28"/>
          <w:szCs w:val="28"/>
        </w:rPr>
      </w:pPr>
    </w:p>
    <w:p>
      <w:pPr>
        <w:keepNext/>
        <w:keepLines/>
        <w:numPr>
          <w:ilvl w:val="0"/>
          <w:numId w:val="112"/>
        </w:numPr>
        <w:spacing w:line="560" w:lineRule="exact"/>
        <w:ind w:left="420"/>
        <w:jc w:val="center"/>
        <w:rPr>
          <w:rFonts w:ascii="黑体" w:hAnsi="黑体" w:eastAsia="黑体"/>
          <w:bCs/>
          <w:kern w:val="44"/>
          <w:sz w:val="30"/>
          <w:szCs w:val="30"/>
        </w:rPr>
      </w:pPr>
      <w:bookmarkStart w:id="392" w:name="_Toc409007916"/>
      <w:r>
        <w:rPr>
          <w:rFonts w:ascii="黑体" w:hAnsi="黑体" w:eastAsia="黑体"/>
          <w:bCs/>
          <w:kern w:val="44"/>
          <w:sz w:val="30"/>
          <w:szCs w:val="30"/>
        </w:rPr>
        <w:t>合同生效、变更与终止</w:t>
      </w:r>
      <w:bookmarkEnd w:id="392"/>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本合同经双方签字（甲方为机构投资者的须加盖公章）之日起生效。</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本合同履行过程中，如果相关法律、法规、规章、政策及深交所或者中国结算的业务规则发生变化，乙方有权依照上述变化直接变更本合同与此相关部分的条款，变更或补充条款优先适用。</w:t>
      </w:r>
    </w:p>
    <w:p>
      <w:pPr>
        <w:adjustRightInd w:val="0"/>
        <w:spacing w:line="560" w:lineRule="exact"/>
        <w:ind w:firstLine="600" w:firstLineChars="200"/>
        <w:rPr>
          <w:rFonts w:eastAsia="方正仿宋简体"/>
          <w:bCs/>
          <w:sz w:val="30"/>
          <w:szCs w:val="30"/>
        </w:rPr>
      </w:pPr>
      <w:r>
        <w:rPr>
          <w:rFonts w:eastAsia="方正仿宋简体"/>
          <w:bCs/>
          <w:sz w:val="30"/>
          <w:szCs w:val="30"/>
        </w:rPr>
        <w:t xml:space="preserve">根据上述情况的变化，乙方对本合同有关条款进行的变更或补充，以本合同约定的通知方式及在乙方营业场所、网站、期权交易客户端公告等方式向甲方发出，变更或补充合同于该合同发出（　）日后生效。变更与补充合同生效之前，甲方有权与乙方进行协商。 </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除前条所述情况外，如需变更或者补充本合同，需双方协商一致并签订书面变更或者补充合同。变更或者补充合同经乙方授权的代表签字、加盖乙方公章，甲方或者其授权代理人签字盖章后生效。变更或补充合同优先适用。</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本合同履行过程中的未列明事宜，按国家有关法律、法规、规章、政策及深交所、中国结算的规则、乙方相关业务规则以及期权交易惯例处理。</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甲乙双方均有权经协商一致后解除本合同，合同的解除对已发生的交易无溯及力。</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乙方向甲方提出解除合同的，应当提前（ ）天以书面形式通知甲方。甲方未在此期间内自行清理账户的，乙方有权拒绝甲方的新单交易指令及资金调拨指令，甲方应对其账户清算的费用、清算后的债务余额以及由此造成的损失负全部责任。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甲方可以通过注销账户的方式终止本合同。但在下列情况下，甲方不得注销账户或者终止合同：</w:t>
      </w:r>
    </w:p>
    <w:p>
      <w:pPr>
        <w:adjustRightInd w:val="0"/>
        <w:spacing w:line="560" w:lineRule="exact"/>
        <w:ind w:firstLine="600" w:firstLineChars="200"/>
        <w:rPr>
          <w:rFonts w:eastAsia="方正仿宋简体"/>
          <w:bCs/>
          <w:sz w:val="30"/>
          <w:szCs w:val="30"/>
        </w:rPr>
      </w:pPr>
      <w:r>
        <w:rPr>
          <w:rFonts w:eastAsia="方正仿宋简体"/>
          <w:bCs/>
          <w:sz w:val="30"/>
          <w:szCs w:val="30"/>
        </w:rPr>
        <w:t>（一）甲方账户上持有未平仓合约或存在交收遗留问题尚未解决；</w:t>
      </w:r>
    </w:p>
    <w:p>
      <w:pPr>
        <w:adjustRightInd w:val="0"/>
        <w:spacing w:line="560" w:lineRule="exact"/>
        <w:ind w:firstLine="600" w:firstLineChars="200"/>
        <w:rPr>
          <w:rFonts w:eastAsia="方正仿宋简体"/>
          <w:bCs/>
          <w:sz w:val="30"/>
          <w:szCs w:val="30"/>
        </w:rPr>
      </w:pPr>
      <w:r>
        <w:rPr>
          <w:rFonts w:eastAsia="方正仿宋简体"/>
          <w:bCs/>
          <w:sz w:val="30"/>
          <w:szCs w:val="30"/>
        </w:rPr>
        <w:t>（二）甲方与乙方有未清偿的债权、债务关系；</w:t>
      </w:r>
    </w:p>
    <w:p>
      <w:pPr>
        <w:adjustRightInd w:val="0"/>
        <w:spacing w:line="560" w:lineRule="exact"/>
        <w:ind w:firstLine="600" w:firstLineChars="200"/>
        <w:rPr>
          <w:rFonts w:eastAsia="方正仿宋简体"/>
          <w:bCs/>
          <w:sz w:val="30"/>
          <w:szCs w:val="30"/>
        </w:rPr>
      </w:pPr>
      <w:r>
        <w:rPr>
          <w:rFonts w:eastAsia="方正仿宋简体"/>
          <w:bCs/>
          <w:sz w:val="30"/>
          <w:szCs w:val="30"/>
        </w:rPr>
        <w:t>（三）甲方与乙方有交易纠纷尚未解决的。</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乙方因故不能从事期权业务时，应当采取必要措施妥善处理甲方的持仓和保证金。经甲方同意，乙方应将甲方持仓和保证金转移至其他期权经营机构，由此产生的合理费用由乙方承担。</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甲方、乙方终止合同的，甲方应当办理书面销户手续，签署《销户确认书》。</w:t>
      </w:r>
    </w:p>
    <w:p>
      <w:pPr>
        <w:adjustRightInd w:val="0"/>
        <w:spacing w:line="560" w:lineRule="exact"/>
        <w:rPr>
          <w:rFonts w:eastAsia="方正仿宋简体"/>
          <w:bCs/>
          <w:sz w:val="28"/>
          <w:szCs w:val="28"/>
        </w:rPr>
      </w:pPr>
    </w:p>
    <w:p>
      <w:pPr>
        <w:keepNext/>
        <w:keepLines/>
        <w:numPr>
          <w:ilvl w:val="0"/>
          <w:numId w:val="112"/>
        </w:numPr>
        <w:spacing w:before="312" w:beforeLines="100" w:after="312" w:afterLines="100" w:line="560" w:lineRule="exact"/>
        <w:ind w:left="420"/>
        <w:jc w:val="center"/>
        <w:rPr>
          <w:rFonts w:ascii="黑体" w:hAnsi="黑体" w:eastAsia="黑体"/>
          <w:bCs/>
          <w:kern w:val="44"/>
          <w:sz w:val="30"/>
          <w:szCs w:val="30"/>
        </w:rPr>
      </w:pPr>
      <w:bookmarkStart w:id="393" w:name="_Toc409007917"/>
      <w:r>
        <w:rPr>
          <w:rFonts w:ascii="黑体" w:hAnsi="黑体" w:eastAsia="黑体"/>
          <w:bCs/>
          <w:kern w:val="44"/>
          <w:sz w:val="30"/>
          <w:szCs w:val="30"/>
        </w:rPr>
        <w:t>免责条款与争议解决</w:t>
      </w:r>
      <w:bookmarkEnd w:id="393"/>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由于地震、火灾、战争等不可抗力因素导致的交易中断、延误等，乙方不承担责任，但应当在条件允许的范围内采取一切必要的补救措施以减少因不可抗力造成的损失。</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由于国家有关法律、法规、规章、政策或者深交所、中国结算修改业务规则或者采取包括但不限于调整保证金、调整涨跌停价格、调整持仓限额、限制交易、取消交易、强行平仓等风险控制措施等导致甲方承担的风险或者损失，深交所、中国结算及乙方不承担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由于通讯系统繁忙、中断，计算机交易系统故障，网络及信息系统故障，电力中断等原因导致指令传达、执行出现延迟、中断或数据错误，乙方没有过错的，乙方不承担责任。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由于不可抗力、意外事件、深交所或者中国结算发生技术故障、重大差错等突发事件及其深交所、中国结算采取的相关措施，造成甲方损失的，深交所、中国结算及乙方不承担责任。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由于互联网上黑客攻击、非法登陆等风险的发生给甲方造成的损失，乙方不承担责任。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乙方交易系统与深交所、中国结算的交易和结算系统的时间可能存在不一致。甲方通过乙方交易系统提交期权交易委托时，乙方交易系统时间仅供参考，实际申报、成交等时间以深交所交易主机的时间为准。乙方对交易系统显示时间的准确性及其与深交所、中国结算的系统时间的一致性不作任何保证，亦不就此承担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凡因本合同引起的或与本合同有关的任何争议，甲乙双方可以自行协商解决，协商不成的，可以提请仲裁或提起诉讼；也可以直接提请仲裁或提起诉讼。</w:t>
      </w:r>
    </w:p>
    <w:p>
      <w:pPr>
        <w:adjustRightInd w:val="0"/>
        <w:spacing w:line="560" w:lineRule="exact"/>
        <w:ind w:firstLine="600" w:firstLineChars="200"/>
        <w:rPr>
          <w:rFonts w:eastAsia="方正仿宋简体"/>
          <w:bCs/>
          <w:sz w:val="30"/>
          <w:szCs w:val="30"/>
        </w:rPr>
      </w:pPr>
      <w:r>
        <w:rPr>
          <w:rFonts w:eastAsia="方正仿宋简体"/>
          <w:bCs/>
          <w:sz w:val="30"/>
          <w:szCs w:val="30"/>
        </w:rPr>
        <w:t>甲乙双方协商按下列选择提请仲裁或提起诉讼（以下方式选择其一）：</w:t>
      </w:r>
    </w:p>
    <w:p>
      <w:pPr>
        <w:adjustRightInd w:val="0"/>
        <w:spacing w:line="560" w:lineRule="exact"/>
        <w:ind w:firstLine="600" w:firstLineChars="200"/>
        <w:rPr>
          <w:rFonts w:eastAsia="方正仿宋简体"/>
          <w:bCs/>
          <w:sz w:val="30"/>
          <w:szCs w:val="30"/>
        </w:rPr>
      </w:pPr>
      <w:r>
        <w:rPr>
          <w:rFonts w:eastAsia="方正仿宋简体"/>
          <w:bCs/>
          <w:sz w:val="30"/>
          <w:szCs w:val="30"/>
        </w:rPr>
        <w:t>□ 提请</w:t>
      </w:r>
      <w:r>
        <w:rPr>
          <w:rFonts w:eastAsia="方正仿宋简体"/>
          <w:bCs/>
          <w:sz w:val="30"/>
          <w:szCs w:val="30"/>
          <w:u w:val="single"/>
        </w:rPr>
        <w:t xml:space="preserve">                   </w:t>
      </w:r>
      <w:r>
        <w:rPr>
          <w:rFonts w:eastAsia="方正仿宋简体"/>
          <w:bCs/>
          <w:sz w:val="30"/>
          <w:szCs w:val="30"/>
        </w:rPr>
        <w:t>仲裁委员会仲裁；</w:t>
      </w:r>
    </w:p>
    <w:p>
      <w:pPr>
        <w:adjustRightInd w:val="0"/>
        <w:spacing w:line="560" w:lineRule="exact"/>
        <w:ind w:firstLine="600" w:firstLineChars="200"/>
        <w:rPr>
          <w:rFonts w:eastAsia="方正仿宋简体"/>
          <w:bCs/>
          <w:sz w:val="30"/>
          <w:szCs w:val="30"/>
        </w:rPr>
      </w:pPr>
      <w:r>
        <w:rPr>
          <w:rFonts w:eastAsia="方正仿宋简体"/>
          <w:bCs/>
          <w:sz w:val="30"/>
          <w:szCs w:val="30"/>
        </w:rPr>
        <w:t>或</w:t>
      </w:r>
    </w:p>
    <w:p>
      <w:pPr>
        <w:adjustRightInd w:val="0"/>
        <w:spacing w:line="560" w:lineRule="exact"/>
        <w:ind w:firstLine="600" w:firstLineChars="200"/>
        <w:rPr>
          <w:rFonts w:eastAsia="方正仿宋简体"/>
          <w:bCs/>
          <w:sz w:val="30"/>
          <w:szCs w:val="30"/>
        </w:rPr>
      </w:pPr>
      <w:r>
        <w:rPr>
          <w:rFonts w:eastAsia="方正仿宋简体"/>
          <w:bCs/>
          <w:sz w:val="30"/>
          <w:szCs w:val="30"/>
        </w:rPr>
        <w:t>□ 向</w:t>
      </w:r>
      <w:r>
        <w:rPr>
          <w:rFonts w:eastAsia="方正仿宋简体"/>
          <w:bCs/>
          <w:sz w:val="30"/>
          <w:szCs w:val="30"/>
          <w:u w:val="single"/>
        </w:rPr>
        <w:t xml:space="preserve">                   </w:t>
      </w:r>
      <w:r>
        <w:rPr>
          <w:rFonts w:eastAsia="方正仿宋简体"/>
          <w:bCs/>
          <w:sz w:val="30"/>
          <w:szCs w:val="30"/>
        </w:rPr>
        <w:t>人民法院起诉。</w:t>
      </w:r>
    </w:p>
    <w:p>
      <w:pPr>
        <w:adjustRightInd w:val="0"/>
        <w:spacing w:line="560" w:lineRule="exact"/>
        <w:ind w:firstLine="560" w:firstLineChars="200"/>
        <w:rPr>
          <w:rFonts w:eastAsia="方正仿宋简体"/>
          <w:bCs/>
          <w:sz w:val="28"/>
          <w:szCs w:val="28"/>
        </w:rPr>
      </w:pPr>
    </w:p>
    <w:p>
      <w:pPr>
        <w:keepNext/>
        <w:keepLines/>
        <w:numPr>
          <w:ilvl w:val="0"/>
          <w:numId w:val="112"/>
        </w:numPr>
        <w:spacing w:before="312" w:beforeLines="100" w:after="312" w:afterLines="100" w:line="560" w:lineRule="exact"/>
        <w:ind w:left="420"/>
        <w:jc w:val="center"/>
        <w:rPr>
          <w:rFonts w:ascii="黑体" w:hAnsi="黑体" w:eastAsia="黑体"/>
          <w:bCs/>
          <w:kern w:val="44"/>
          <w:sz w:val="30"/>
          <w:szCs w:val="30"/>
        </w:rPr>
      </w:pPr>
      <w:bookmarkStart w:id="394" w:name="_Toc409007918"/>
      <w:r>
        <w:rPr>
          <w:rFonts w:ascii="黑体" w:hAnsi="黑体" w:eastAsia="黑体"/>
          <w:bCs/>
          <w:kern w:val="44"/>
          <w:sz w:val="30"/>
          <w:szCs w:val="30"/>
        </w:rPr>
        <w:t>其他事项</w:t>
      </w:r>
      <w:bookmarkEnd w:id="394"/>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甲方不得利用在乙方开立的账户，以乙方工作人员的身份活动，通过网上交易或其他形式开展期权经纪业务或其他活动。若因甲方过错而使乙方遭受损失和不良影响的，甲方应当承担相应的赔偿责任。</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甲方应当向乙方支付期权交易和交收的佣金。佣金收取按照双方约定的《佣金收取标准》执行。</w:t>
      </w:r>
    </w:p>
    <w:p>
      <w:pPr>
        <w:adjustRightInd w:val="0"/>
        <w:spacing w:line="560" w:lineRule="exact"/>
        <w:ind w:firstLine="600" w:firstLineChars="200"/>
        <w:rPr>
          <w:rFonts w:eastAsia="方正仿宋简体"/>
          <w:bCs/>
          <w:sz w:val="30"/>
          <w:szCs w:val="30"/>
        </w:rPr>
      </w:pPr>
      <w:r>
        <w:rPr>
          <w:rFonts w:eastAsia="方正仿宋简体"/>
          <w:bCs/>
          <w:sz w:val="30"/>
          <w:szCs w:val="30"/>
        </w:rPr>
        <w:t>甲方应当支付乙方向深交所、中国结算代付的各项费用及税款。</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本合同未尽事宜，双方另行议定。</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《股票期权交易风险揭示书》《投资者须知》《开户申请表》《佣金收取标准》及其他补充合同为本合同不可分割的组成部分，与本合同具有同等法律效力。</w:t>
      </w:r>
    </w:p>
    <w:p>
      <w:pPr>
        <w:numPr>
          <w:ilvl w:val="0"/>
          <w:numId w:val="113"/>
        </w:numPr>
        <w:adjustRightInd w:val="0"/>
        <w:spacing w:line="560" w:lineRule="exact"/>
        <w:ind w:left="0" w:firstLine="482"/>
        <w:rPr>
          <w:rFonts w:eastAsia="方正仿宋简体"/>
          <w:bCs/>
          <w:sz w:val="30"/>
          <w:szCs w:val="30"/>
        </w:rPr>
      </w:pPr>
      <w:r>
        <w:rPr>
          <w:rFonts w:eastAsia="方正仿宋简体"/>
          <w:bCs/>
          <w:sz w:val="30"/>
          <w:szCs w:val="30"/>
        </w:rPr>
        <w:t>本合同一式三份，乙方执二份，甲方执一份。</w:t>
      </w:r>
    </w:p>
    <w:p>
      <w:pPr>
        <w:adjustRightInd w:val="0"/>
        <w:spacing w:line="560" w:lineRule="exact"/>
        <w:rPr>
          <w:rFonts w:eastAsia="方正仿宋简体"/>
          <w:bCs/>
          <w:sz w:val="30"/>
          <w:szCs w:val="30"/>
        </w:rPr>
      </w:pPr>
    </w:p>
    <w:p>
      <w:pPr>
        <w:adjustRightInd w:val="0"/>
        <w:spacing w:line="560" w:lineRule="exact"/>
        <w:rPr>
          <w:rFonts w:eastAsia="方正仿宋简体"/>
          <w:b/>
          <w:bCs/>
          <w:sz w:val="30"/>
          <w:szCs w:val="30"/>
        </w:rPr>
      </w:pPr>
    </w:p>
    <w:p>
      <w:pPr>
        <w:adjustRightInd w:val="0"/>
        <w:spacing w:line="560" w:lineRule="exact"/>
        <w:rPr>
          <w:rFonts w:eastAsia="方正仿宋简体"/>
          <w:b/>
          <w:bCs/>
          <w:sz w:val="30"/>
          <w:szCs w:val="30"/>
        </w:rPr>
      </w:pPr>
      <w:r>
        <w:rPr>
          <w:rFonts w:eastAsia="方正仿宋简体"/>
          <w:b/>
          <w:bCs/>
          <w:sz w:val="30"/>
          <w:szCs w:val="30"/>
        </w:rPr>
        <w:t>甲方</w:t>
      </w:r>
    </w:p>
    <w:p>
      <w:pPr>
        <w:adjustRightInd w:val="0"/>
        <w:snapToGrid w:val="0"/>
        <w:spacing w:line="560" w:lineRule="exact"/>
        <w:rPr>
          <w:rFonts w:eastAsia="方正仿宋简体"/>
          <w:sz w:val="30"/>
          <w:szCs w:val="30"/>
          <w:u w:val="single"/>
        </w:rPr>
      </w:pPr>
      <w:r>
        <w:rPr>
          <w:rFonts w:eastAsia="方正仿宋简体"/>
          <w:b/>
          <w:sz w:val="30"/>
          <w:szCs w:val="30"/>
        </w:rPr>
        <w:t>自然人投资者</w:t>
      </w:r>
      <w:r>
        <w:rPr>
          <w:rFonts w:eastAsia="方正仿宋简体"/>
          <w:sz w:val="30"/>
          <w:szCs w:val="30"/>
        </w:rPr>
        <w:t>：</w:t>
      </w:r>
    </w:p>
    <w:p>
      <w:pPr>
        <w:adjustRightInd w:val="0"/>
        <w:snapToGrid w:val="0"/>
        <w:spacing w:line="560" w:lineRule="exact"/>
        <w:rPr>
          <w:rFonts w:eastAsia="方正仿宋简体"/>
          <w:sz w:val="30"/>
          <w:szCs w:val="30"/>
        </w:rPr>
      </w:pPr>
      <w:r>
        <w:rPr>
          <w:rFonts w:eastAsia="方正仿宋简体"/>
          <w:sz w:val="30"/>
          <w:szCs w:val="30"/>
        </w:rPr>
        <w:t xml:space="preserve">（签字）        </w:t>
      </w:r>
    </w:p>
    <w:p>
      <w:pPr>
        <w:adjustRightInd w:val="0"/>
        <w:snapToGrid w:val="0"/>
        <w:spacing w:line="560" w:lineRule="exact"/>
        <w:ind w:firstLine="3450" w:firstLineChars="1150"/>
        <w:rPr>
          <w:rFonts w:eastAsia="方正仿宋简体"/>
          <w:sz w:val="30"/>
          <w:szCs w:val="30"/>
        </w:rPr>
      </w:pPr>
    </w:p>
    <w:p>
      <w:pPr>
        <w:adjustRightInd w:val="0"/>
        <w:snapToGrid w:val="0"/>
        <w:spacing w:line="560" w:lineRule="exact"/>
        <w:jc w:val="left"/>
        <w:rPr>
          <w:rFonts w:eastAsia="方正仿宋简体"/>
          <w:sz w:val="30"/>
          <w:szCs w:val="30"/>
          <w:u w:val="single"/>
        </w:rPr>
      </w:pPr>
      <w:r>
        <w:rPr>
          <w:rFonts w:eastAsia="方正仿宋简体"/>
          <w:b/>
          <w:sz w:val="30"/>
          <w:szCs w:val="30"/>
        </w:rPr>
        <w:t>机构投资者</w:t>
      </w:r>
      <w:r>
        <w:rPr>
          <w:rFonts w:eastAsia="方正仿宋简体"/>
          <w:sz w:val="30"/>
          <w:szCs w:val="30"/>
        </w:rPr>
        <w:t>（名称）：</w:t>
      </w:r>
    </w:p>
    <w:p>
      <w:pPr>
        <w:adjustRightInd w:val="0"/>
        <w:snapToGrid w:val="0"/>
        <w:spacing w:line="560" w:lineRule="exact"/>
        <w:jc w:val="left"/>
        <w:rPr>
          <w:rFonts w:eastAsia="方正仿宋简体"/>
          <w:sz w:val="30"/>
          <w:szCs w:val="30"/>
        </w:rPr>
      </w:pPr>
      <w:r>
        <w:rPr>
          <w:rFonts w:eastAsia="方正仿宋简体"/>
          <w:sz w:val="30"/>
          <w:szCs w:val="30"/>
        </w:rPr>
        <w:t>（加盖公章）</w:t>
      </w:r>
    </w:p>
    <w:p>
      <w:pPr>
        <w:adjustRightInd w:val="0"/>
        <w:spacing w:line="560" w:lineRule="exact"/>
        <w:rPr>
          <w:rFonts w:eastAsia="方正仿宋简体"/>
          <w:sz w:val="30"/>
          <w:szCs w:val="30"/>
        </w:rPr>
      </w:pPr>
      <w:r>
        <w:rPr>
          <w:rFonts w:eastAsia="方正仿宋简体"/>
          <w:sz w:val="30"/>
          <w:szCs w:val="30"/>
        </w:rPr>
        <w:t xml:space="preserve">委托代理人： </w:t>
      </w:r>
    </w:p>
    <w:p>
      <w:pPr>
        <w:adjustRightInd w:val="0"/>
        <w:spacing w:line="560" w:lineRule="exact"/>
        <w:rPr>
          <w:rFonts w:eastAsia="方正仿宋简体"/>
          <w:bCs/>
          <w:sz w:val="30"/>
          <w:szCs w:val="30"/>
        </w:rPr>
      </w:pPr>
      <w:r>
        <w:rPr>
          <w:rFonts w:eastAsia="方正仿宋简体"/>
          <w:sz w:val="30"/>
          <w:szCs w:val="30"/>
        </w:rPr>
        <w:t xml:space="preserve">（签字） </w:t>
      </w:r>
    </w:p>
    <w:p>
      <w:pPr>
        <w:adjustRightInd w:val="0"/>
        <w:spacing w:line="560" w:lineRule="exact"/>
        <w:rPr>
          <w:rFonts w:eastAsia="方正仿宋简体"/>
          <w:bCs/>
          <w:sz w:val="30"/>
          <w:szCs w:val="30"/>
        </w:rPr>
      </w:pPr>
    </w:p>
    <w:p>
      <w:pPr>
        <w:adjustRightInd w:val="0"/>
        <w:spacing w:line="560" w:lineRule="exact"/>
        <w:jc w:val="right"/>
        <w:rPr>
          <w:rFonts w:eastAsia="方正仿宋简体"/>
          <w:bCs/>
          <w:sz w:val="30"/>
          <w:szCs w:val="30"/>
        </w:rPr>
      </w:pPr>
      <w:r>
        <w:rPr>
          <w:rFonts w:eastAsia="方正仿宋简体"/>
          <w:bCs/>
          <w:sz w:val="30"/>
          <w:szCs w:val="30"/>
        </w:rPr>
        <w:t xml:space="preserve"> 日期：</w:t>
      </w:r>
      <w:r>
        <w:rPr>
          <w:rFonts w:eastAsia="方正仿宋简体"/>
          <w:bCs/>
          <w:sz w:val="30"/>
          <w:szCs w:val="30"/>
          <w:u w:val="single"/>
        </w:rPr>
        <w:t xml:space="preserve">      </w:t>
      </w:r>
      <w:r>
        <w:rPr>
          <w:rFonts w:eastAsia="方正仿宋简体"/>
          <w:bCs/>
          <w:sz w:val="30"/>
          <w:szCs w:val="30"/>
        </w:rPr>
        <w:t>年</w:t>
      </w:r>
      <w:r>
        <w:rPr>
          <w:rFonts w:eastAsia="方正仿宋简体"/>
          <w:bCs/>
          <w:sz w:val="30"/>
          <w:szCs w:val="30"/>
          <w:u w:val="single"/>
        </w:rPr>
        <w:t xml:space="preserve">   </w:t>
      </w:r>
      <w:r>
        <w:rPr>
          <w:rFonts w:eastAsia="方正仿宋简体"/>
          <w:bCs/>
          <w:sz w:val="30"/>
          <w:szCs w:val="30"/>
        </w:rPr>
        <w:t>月</w:t>
      </w:r>
      <w:r>
        <w:rPr>
          <w:rFonts w:eastAsia="方正仿宋简体"/>
          <w:bCs/>
          <w:sz w:val="30"/>
          <w:szCs w:val="30"/>
          <w:u w:val="single"/>
        </w:rPr>
        <w:t xml:space="preserve">   </w:t>
      </w:r>
      <w:r>
        <w:rPr>
          <w:rFonts w:eastAsia="方正仿宋简体"/>
          <w:bCs/>
          <w:sz w:val="30"/>
          <w:szCs w:val="30"/>
        </w:rPr>
        <w:t>日</w:t>
      </w:r>
    </w:p>
    <w:p>
      <w:pPr>
        <w:adjustRightInd w:val="0"/>
        <w:spacing w:line="560" w:lineRule="exact"/>
        <w:rPr>
          <w:rFonts w:eastAsia="方正仿宋简体"/>
          <w:bCs/>
          <w:sz w:val="30"/>
          <w:szCs w:val="30"/>
        </w:rPr>
      </w:pPr>
    </w:p>
    <w:p>
      <w:pPr>
        <w:adjustRightInd w:val="0"/>
        <w:spacing w:line="560" w:lineRule="exact"/>
        <w:rPr>
          <w:rFonts w:eastAsia="方正仿宋简体"/>
          <w:b/>
          <w:bCs/>
          <w:sz w:val="30"/>
          <w:szCs w:val="30"/>
        </w:rPr>
      </w:pPr>
      <w:r>
        <w:rPr>
          <w:rFonts w:eastAsia="方正仿宋简体"/>
          <w:b/>
          <w:bCs/>
          <w:sz w:val="30"/>
          <w:szCs w:val="30"/>
        </w:rPr>
        <w:t>乙方</w:t>
      </w:r>
    </w:p>
    <w:p>
      <w:pPr>
        <w:adjustRightInd w:val="0"/>
        <w:spacing w:line="560" w:lineRule="exact"/>
        <w:rPr>
          <w:rFonts w:eastAsia="方正仿宋简体"/>
          <w:sz w:val="30"/>
          <w:szCs w:val="30"/>
          <w:u w:val="single"/>
        </w:rPr>
      </w:pPr>
      <w:r>
        <w:rPr>
          <w:rFonts w:eastAsia="方正仿宋简体"/>
          <w:bCs/>
          <w:sz w:val="30"/>
          <w:szCs w:val="30"/>
        </w:rPr>
        <w:t xml:space="preserve">名称: </w:t>
      </w:r>
    </w:p>
    <w:p>
      <w:pPr>
        <w:adjustRightInd w:val="0"/>
        <w:spacing w:line="560" w:lineRule="exact"/>
        <w:rPr>
          <w:rFonts w:eastAsia="方正仿宋简体"/>
          <w:bCs/>
          <w:sz w:val="30"/>
          <w:szCs w:val="30"/>
        </w:rPr>
      </w:pPr>
      <w:r>
        <w:rPr>
          <w:rFonts w:eastAsia="方正仿宋简体"/>
          <w:sz w:val="30"/>
          <w:szCs w:val="30"/>
        </w:rPr>
        <w:t>（加盖公章）</w:t>
      </w:r>
    </w:p>
    <w:p>
      <w:pPr>
        <w:adjustRightInd w:val="0"/>
        <w:spacing w:line="560" w:lineRule="exact"/>
        <w:rPr>
          <w:rFonts w:eastAsia="方正仿宋简体"/>
          <w:bCs/>
          <w:sz w:val="30"/>
          <w:szCs w:val="30"/>
          <w:u w:val="single"/>
        </w:rPr>
      </w:pPr>
      <w:r>
        <w:rPr>
          <w:rFonts w:eastAsia="方正仿宋简体"/>
          <w:bCs/>
          <w:sz w:val="30"/>
          <w:szCs w:val="30"/>
        </w:rPr>
        <w:t>授权签字：</w:t>
      </w:r>
    </w:p>
    <w:p>
      <w:pPr>
        <w:adjustRightInd w:val="0"/>
        <w:spacing w:line="560" w:lineRule="exact"/>
        <w:rPr>
          <w:rFonts w:eastAsia="方正仿宋简体"/>
          <w:bCs/>
          <w:sz w:val="30"/>
          <w:szCs w:val="30"/>
          <w:u w:val="single"/>
        </w:rPr>
      </w:pPr>
    </w:p>
    <w:p>
      <w:pPr>
        <w:adjustRightInd w:val="0"/>
        <w:spacing w:line="560" w:lineRule="exact"/>
        <w:jc w:val="right"/>
        <w:rPr>
          <w:rFonts w:eastAsia="方正仿宋简体"/>
          <w:bCs/>
          <w:sz w:val="30"/>
          <w:szCs w:val="30"/>
        </w:rPr>
      </w:pPr>
      <w:r>
        <w:rPr>
          <w:rFonts w:eastAsia="方正仿宋简体"/>
          <w:bCs/>
          <w:sz w:val="30"/>
          <w:szCs w:val="30"/>
        </w:rPr>
        <w:t xml:space="preserve">  日期：</w:t>
      </w:r>
      <w:r>
        <w:rPr>
          <w:rFonts w:eastAsia="方正仿宋简体"/>
          <w:bCs/>
          <w:sz w:val="30"/>
          <w:szCs w:val="30"/>
          <w:u w:val="single"/>
        </w:rPr>
        <w:t xml:space="preserve">      </w:t>
      </w:r>
      <w:r>
        <w:rPr>
          <w:rFonts w:eastAsia="方正仿宋简体"/>
          <w:bCs/>
          <w:sz w:val="30"/>
          <w:szCs w:val="30"/>
        </w:rPr>
        <w:t>年</w:t>
      </w:r>
      <w:r>
        <w:rPr>
          <w:rFonts w:eastAsia="方正仿宋简体"/>
          <w:bCs/>
          <w:sz w:val="30"/>
          <w:szCs w:val="30"/>
          <w:u w:val="single"/>
        </w:rPr>
        <w:t xml:space="preserve">   </w:t>
      </w:r>
      <w:r>
        <w:rPr>
          <w:rFonts w:eastAsia="方正仿宋简体"/>
          <w:bCs/>
          <w:sz w:val="30"/>
          <w:szCs w:val="30"/>
        </w:rPr>
        <w:t>月</w:t>
      </w:r>
      <w:r>
        <w:rPr>
          <w:rFonts w:eastAsia="方正仿宋简体"/>
          <w:bCs/>
          <w:sz w:val="30"/>
          <w:szCs w:val="30"/>
          <w:u w:val="single"/>
        </w:rPr>
        <w:t xml:space="preserve">   </w:t>
      </w:r>
      <w:r>
        <w:rPr>
          <w:rFonts w:eastAsia="方正仿宋简体"/>
          <w:bCs/>
          <w:sz w:val="30"/>
          <w:szCs w:val="30"/>
        </w:rPr>
        <w:t>日</w:t>
      </w:r>
    </w:p>
    <w:p>
      <w:pPr>
        <w:spacing w:line="560" w:lineRule="exact"/>
        <w:rPr>
          <w:rFonts w:eastAsia="方正仿宋简体"/>
          <w:b/>
          <w:bCs/>
          <w:sz w:val="30"/>
          <w:szCs w:val="30"/>
          <w:lang w:val="zh-CN" w:eastAsia="zh-CN"/>
        </w:rPr>
      </w:pPr>
      <w:bookmarkStart w:id="395" w:name="_Toc64962688"/>
      <w:bookmarkStart w:id="396" w:name="_Toc67383005"/>
      <w:r>
        <w:rPr>
          <w:rFonts w:eastAsia="方正仿宋简体"/>
          <w:b/>
          <w:bCs/>
          <w:sz w:val="30"/>
          <w:szCs w:val="30"/>
          <w:lang w:val="zh-CN" w:eastAsia="zh-CN"/>
        </w:rPr>
        <w:br w:type="page"/>
      </w:r>
      <w:bookmarkEnd w:id="395"/>
      <w:bookmarkEnd w:id="396"/>
      <w:bookmarkStart w:id="397" w:name="_Toc408578718"/>
      <w:bookmarkStart w:id="398" w:name="_Toc409007919"/>
      <w:bookmarkStart w:id="399" w:name="_Toc381972651"/>
      <w:r>
        <w:rPr>
          <w:rFonts w:eastAsia="方正仿宋简体"/>
          <w:b/>
          <w:bCs/>
          <w:sz w:val="30"/>
          <w:szCs w:val="30"/>
        </w:rPr>
        <w:t>合同附件一  开户申请表</w:t>
      </w:r>
      <w:bookmarkEnd w:id="397"/>
      <w:bookmarkEnd w:id="398"/>
      <w:bookmarkEnd w:id="399"/>
      <w:bookmarkStart w:id="400" w:name="_Toc381972652"/>
    </w:p>
    <w:p>
      <w:pPr>
        <w:jc w:val="center"/>
        <w:rPr>
          <w:rFonts w:ascii="方正小标宋简体" w:eastAsia="方正小标宋简体"/>
          <w:sz w:val="32"/>
          <w:szCs w:val="36"/>
        </w:rPr>
      </w:pPr>
      <w:r>
        <w:rPr>
          <w:rFonts w:hint="eastAsia" w:ascii="方正小标宋简体" w:eastAsia="方正小标宋简体"/>
          <w:sz w:val="32"/>
          <w:szCs w:val="36"/>
        </w:rPr>
        <w:t>开户申请表（自然人）</w:t>
      </w:r>
    </w:p>
    <w:tbl>
      <w:tblPr>
        <w:tblStyle w:val="34"/>
        <w:tblW w:w="9509" w:type="dxa"/>
        <w:jc w:val="center"/>
        <w:tblLayout w:type="fixed"/>
        <w:tblCellMar>
          <w:top w:w="0" w:type="dxa"/>
          <w:left w:w="108" w:type="dxa"/>
          <w:bottom w:w="0" w:type="dxa"/>
          <w:right w:w="108" w:type="dxa"/>
        </w:tblCellMar>
      </w:tblPr>
      <w:tblGrid>
        <w:gridCol w:w="1726"/>
        <w:gridCol w:w="1003"/>
        <w:gridCol w:w="279"/>
        <w:gridCol w:w="571"/>
        <w:gridCol w:w="277"/>
        <w:gridCol w:w="568"/>
        <w:gridCol w:w="135"/>
        <w:gridCol w:w="1142"/>
        <w:gridCol w:w="298"/>
        <w:gridCol w:w="836"/>
        <w:gridCol w:w="43"/>
        <w:gridCol w:w="561"/>
        <w:gridCol w:w="673"/>
        <w:gridCol w:w="1397"/>
      </w:tblGrid>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Cs w:val="21"/>
              </w:rPr>
            </w:pPr>
            <w:r>
              <w:rPr>
                <w:rFonts w:eastAsia="方正仿宋简体"/>
                <w:color w:val="333333"/>
                <w:kern w:val="0"/>
                <w:szCs w:val="21"/>
              </w:rPr>
              <w:t xml:space="preserve">经营机构名称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nil"/>
              <w:left w:val="single" w:color="000000" w:sz="4" w:space="0"/>
              <w:bottom w:val="single" w:color="auto" w:sz="4" w:space="0"/>
              <w:right w:val="single" w:color="auto"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机构类型</w:t>
            </w:r>
          </w:p>
        </w:tc>
        <w:tc>
          <w:tcPr>
            <w:tcW w:w="7783" w:type="dxa"/>
            <w:gridSpan w:val="13"/>
            <w:tcBorders>
              <w:top w:val="single" w:color="000000" w:sz="4" w:space="0"/>
              <w:left w:val="single" w:color="auto" w:sz="4" w:space="0"/>
              <w:bottom w:val="single" w:color="000000" w:sz="4" w:space="0"/>
              <w:right w:val="single" w:color="000000" w:sz="4" w:space="0"/>
            </w:tcBorders>
          </w:tcPr>
          <w:p>
            <w:pPr>
              <w:widowControl/>
              <w:jc w:val="left"/>
              <w:rPr>
                <w:rFonts w:eastAsia="方正仿宋简体"/>
                <w:color w:val="333333"/>
                <w:kern w:val="0"/>
                <w:sz w:val="18"/>
                <w:szCs w:val="18"/>
              </w:rPr>
            </w:pPr>
            <w:r>
              <w:rPr>
                <w:rFonts w:eastAsia="方正仿宋简体"/>
                <w:color w:val="333333"/>
                <w:kern w:val="0"/>
                <w:szCs w:val="21"/>
              </w:rPr>
              <w:t>□证券公司        □ 期货公司</w:t>
            </w:r>
          </w:p>
        </w:tc>
      </w:tr>
      <w:tr>
        <w:tblPrEx>
          <w:tblCellMar>
            <w:top w:w="0" w:type="dxa"/>
            <w:left w:w="108" w:type="dxa"/>
            <w:bottom w:w="0" w:type="dxa"/>
            <w:right w:w="108" w:type="dxa"/>
          </w:tblCellMar>
        </w:tblPrEx>
        <w:trPr>
          <w:jc w:val="center"/>
        </w:trPr>
        <w:tc>
          <w:tcPr>
            <w:tcW w:w="1726" w:type="dxa"/>
            <w:tcBorders>
              <w:top w:val="single" w:color="auto" w:sz="4" w:space="0"/>
              <w:left w:val="single" w:color="auto" w:sz="4" w:space="0"/>
              <w:bottom w:val="single" w:color="auto" w:sz="4" w:space="0"/>
              <w:right w:val="single" w:color="auto"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交易参与人类型</w:t>
            </w:r>
          </w:p>
        </w:tc>
        <w:tc>
          <w:tcPr>
            <w:tcW w:w="7783" w:type="dxa"/>
            <w:gridSpan w:val="13"/>
            <w:tcBorders>
              <w:top w:val="single" w:color="auto" w:sz="4" w:space="0"/>
              <w:left w:val="single" w:color="auto" w:sz="4" w:space="0"/>
              <w:bottom w:val="single" w:color="000000" w:sz="4" w:space="0"/>
              <w:right w:val="single" w:color="000000" w:sz="4" w:space="0"/>
            </w:tcBorders>
            <w:vAlign w:val="center"/>
          </w:tcPr>
          <w:p>
            <w:pPr>
              <w:widowControl/>
              <w:jc w:val="left"/>
              <w:rPr>
                <w:rFonts w:eastAsia="方正仿宋简体"/>
                <w:color w:val="333333"/>
                <w:kern w:val="0"/>
                <w:szCs w:val="21"/>
              </w:rPr>
            </w:pPr>
            <w:r>
              <w:rPr>
                <w:rFonts w:eastAsia="方正仿宋简体"/>
                <w:color w:val="333333"/>
                <w:kern w:val="0"/>
                <w:szCs w:val="21"/>
              </w:rPr>
              <w:t>□深交所会员      □ 其他交易参与人</w:t>
            </w: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自然人开户申请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1282" w:type="dxa"/>
            <w:gridSpan w:val="2"/>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848" w:type="dxa"/>
            <w:gridSpan w:val="2"/>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性别</w:t>
            </w:r>
            <w:r>
              <w:rPr>
                <w:rFonts w:eastAsia="方正仿宋简体"/>
                <w:color w:val="333333"/>
                <w:kern w:val="0"/>
                <w:sz w:val="18"/>
                <w:szCs w:val="18"/>
              </w:rPr>
              <w:t xml:space="preserve"> </w:t>
            </w:r>
          </w:p>
        </w:tc>
        <w:tc>
          <w:tcPr>
            <w:tcW w:w="568" w:type="dxa"/>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277" w:type="dxa"/>
            <w:gridSpan w:val="2"/>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出生年月</w:t>
            </w:r>
            <w:r>
              <w:rPr>
                <w:rFonts w:eastAsia="方正仿宋简体"/>
                <w:color w:val="333333"/>
                <w:kern w:val="0"/>
                <w:sz w:val="18"/>
                <w:szCs w:val="18"/>
              </w:rPr>
              <w:t xml:space="preserve"> </w:t>
            </w:r>
          </w:p>
        </w:tc>
        <w:tc>
          <w:tcPr>
            <w:tcW w:w="1134" w:type="dxa"/>
            <w:gridSpan w:val="2"/>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2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职业</w:t>
            </w:r>
            <w:r>
              <w:rPr>
                <w:rFonts w:eastAsia="方正仿宋简体"/>
                <w:color w:val="333333"/>
                <w:kern w:val="0"/>
                <w:sz w:val="18"/>
                <w:szCs w:val="18"/>
              </w:rPr>
              <w:t xml:space="preserve"> </w:t>
            </w:r>
          </w:p>
        </w:tc>
        <w:tc>
          <w:tcPr>
            <w:tcW w:w="1397" w:type="dxa"/>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338" w:hRule="atLeast"/>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国籍/地区</w:t>
            </w:r>
            <w:r>
              <w:rPr>
                <w:rFonts w:eastAsia="方正仿宋简体"/>
                <w:color w:val="333333"/>
                <w:kern w:val="0"/>
                <w:sz w:val="18"/>
                <w:szCs w:val="18"/>
              </w:rPr>
              <w:t xml:space="preserve"> </w:t>
            </w:r>
          </w:p>
        </w:tc>
        <w:tc>
          <w:tcPr>
            <w:tcW w:w="1282" w:type="dxa"/>
            <w:gridSpan w:val="2"/>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416"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身份证号码</w:t>
            </w:r>
            <w:r>
              <w:rPr>
                <w:rFonts w:eastAsia="方正仿宋简体"/>
                <w:color w:val="333333"/>
                <w:kern w:val="0"/>
                <w:sz w:val="18"/>
                <w:szCs w:val="18"/>
              </w:rPr>
              <w:t xml:space="preserve"> </w:t>
            </w:r>
          </w:p>
        </w:tc>
        <w:tc>
          <w:tcPr>
            <w:tcW w:w="2411"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77"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有效期限</w:t>
            </w:r>
            <w:r>
              <w:rPr>
                <w:rFonts w:eastAsia="方正仿宋简体"/>
                <w:color w:val="333333"/>
                <w:kern w:val="0"/>
                <w:sz w:val="18"/>
                <w:szCs w:val="18"/>
              </w:rPr>
              <w:t xml:space="preserve"> </w:t>
            </w:r>
          </w:p>
        </w:tc>
        <w:tc>
          <w:tcPr>
            <w:tcW w:w="1397" w:type="dxa"/>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34" w:type="dxa"/>
            <w:gridSpan w:val="2"/>
            <w:tcBorders>
              <w:top w:val="single" w:color="000000" w:sz="4" w:space="0"/>
              <w:left w:val="nil"/>
              <w:bottom w:val="single" w:color="000000" w:sz="4" w:space="0"/>
              <w:right w:val="single" w:color="000000" w:sz="4" w:space="0"/>
            </w:tcBorders>
          </w:tcPr>
          <w:p>
            <w:pPr>
              <w:widowControl/>
              <w:spacing w:line="320" w:lineRule="atLeast"/>
              <w:jc w:val="left"/>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74" w:type="dxa"/>
            <w:gridSpan w:val="4"/>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72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是否从事过金融期货交易</w:t>
            </w:r>
            <w:r>
              <w:rPr>
                <w:rFonts w:eastAsia="方正仿宋简体"/>
                <w:color w:val="333333"/>
                <w:kern w:val="0"/>
                <w:sz w:val="18"/>
                <w:szCs w:val="18"/>
              </w:rPr>
              <w:t xml:space="preserve"> </w:t>
            </w:r>
          </w:p>
        </w:tc>
        <w:tc>
          <w:tcPr>
            <w:tcW w:w="85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w:t>
            </w:r>
            <w:r>
              <w:rPr>
                <w:rFonts w:eastAsia="方正仿宋简体"/>
                <w:color w:val="333333"/>
                <w:kern w:val="0"/>
                <w:sz w:val="18"/>
                <w:szCs w:val="18"/>
              </w:rPr>
              <w:t xml:space="preserve"> </w:t>
            </w:r>
          </w:p>
        </w:tc>
        <w:tc>
          <w:tcPr>
            <w:tcW w:w="2122"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34"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否</w:t>
            </w:r>
            <w:r>
              <w:rPr>
                <w:rFonts w:eastAsia="方正仿宋简体"/>
                <w:color w:val="333333"/>
                <w:kern w:val="0"/>
                <w:sz w:val="18"/>
                <w:szCs w:val="18"/>
              </w:rPr>
              <w:t xml:space="preserve"> </w:t>
            </w:r>
          </w:p>
        </w:tc>
        <w:tc>
          <w:tcPr>
            <w:tcW w:w="2674" w:type="dxa"/>
            <w:gridSpan w:val="4"/>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729"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从事期权交易的目的</w:t>
            </w:r>
            <w:r>
              <w:rPr>
                <w:rFonts w:eastAsia="方正仿宋简体"/>
                <w:color w:val="333333"/>
                <w:kern w:val="0"/>
                <w:sz w:val="18"/>
                <w:szCs w:val="18"/>
              </w:rPr>
              <w:t xml:space="preserve"> </w:t>
            </w:r>
          </w:p>
        </w:tc>
        <w:tc>
          <w:tcPr>
            <w:tcW w:w="85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保值</w:t>
            </w:r>
            <w:r>
              <w:rPr>
                <w:rFonts w:eastAsia="方正仿宋简体"/>
                <w:color w:val="333333"/>
                <w:kern w:val="0"/>
                <w:sz w:val="18"/>
                <w:szCs w:val="18"/>
              </w:rPr>
              <w:t xml:space="preserve"> </w:t>
            </w:r>
          </w:p>
        </w:tc>
        <w:tc>
          <w:tcPr>
            <w:tcW w:w="2122"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34"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投机</w:t>
            </w:r>
            <w:r>
              <w:rPr>
                <w:rFonts w:eastAsia="方正仿宋简体"/>
                <w:color w:val="333333"/>
                <w:kern w:val="0"/>
                <w:sz w:val="18"/>
                <w:szCs w:val="18"/>
              </w:rPr>
              <w:t xml:space="preserve"> </w:t>
            </w:r>
          </w:p>
        </w:tc>
        <w:tc>
          <w:tcPr>
            <w:tcW w:w="2674" w:type="dxa"/>
            <w:gridSpan w:val="4"/>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 xml:space="preserve">指令下达人 </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资金调拨人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439" w:hRule="atLeast"/>
          <w:jc w:val="center"/>
        </w:trPr>
        <w:tc>
          <w:tcPr>
            <w:tcW w:w="950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结算单确认人</w:t>
            </w: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7783" w:type="dxa"/>
            <w:gridSpan w:val="1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1726"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3975" w:type="dxa"/>
            <w:gridSpan w:val="7"/>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1177" w:type="dxa"/>
            <w:gridSpan w:val="3"/>
            <w:tcBorders>
              <w:top w:val="single" w:color="000000" w:sz="4" w:space="0"/>
              <w:left w:val="nil"/>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邮政编码</w:t>
            </w:r>
            <w:r>
              <w:rPr>
                <w:rFonts w:eastAsia="方正仿宋简体"/>
                <w:color w:val="333333"/>
                <w:kern w:val="0"/>
                <w:sz w:val="18"/>
                <w:szCs w:val="18"/>
              </w:rPr>
              <w:t xml:space="preserve"> </w:t>
            </w:r>
          </w:p>
        </w:tc>
        <w:tc>
          <w:tcPr>
            <w:tcW w:w="2631" w:type="dxa"/>
            <w:gridSpan w:val="3"/>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客户/投资者期权银行结算账户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trHeight w:val="417" w:hRule="atLeast"/>
          <w:jc w:val="center"/>
        </w:trPr>
        <w:tc>
          <w:tcPr>
            <w:tcW w:w="1726"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户名（全称）</w:t>
            </w:r>
            <w:r>
              <w:rPr>
                <w:rFonts w:eastAsia="方正仿宋简体"/>
                <w:color w:val="333333"/>
                <w:kern w:val="0"/>
                <w:sz w:val="18"/>
                <w:szCs w:val="18"/>
              </w:rPr>
              <w:t xml:space="preserve"> </w:t>
            </w:r>
          </w:p>
        </w:tc>
        <w:tc>
          <w:tcPr>
            <w:tcW w:w="2833" w:type="dxa"/>
            <w:gridSpan w:val="6"/>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期权保证金结算银行名称（写明具体开户网点）</w:t>
            </w:r>
            <w:r>
              <w:rPr>
                <w:rFonts w:eastAsia="方正仿宋简体"/>
                <w:color w:val="333333"/>
                <w:kern w:val="0"/>
                <w:sz w:val="18"/>
                <w:szCs w:val="18"/>
              </w:rPr>
              <w:t xml:space="preserve"> </w:t>
            </w:r>
          </w:p>
        </w:tc>
        <w:tc>
          <w:tcPr>
            <w:tcW w:w="144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投资者期权银行结算账户账号</w:t>
            </w:r>
            <w:r>
              <w:rPr>
                <w:rFonts w:eastAsia="方正仿宋简体"/>
                <w:color w:val="333333"/>
                <w:kern w:val="0"/>
                <w:sz w:val="18"/>
                <w:szCs w:val="18"/>
              </w:rPr>
              <w:t xml:space="preserve"> </w:t>
            </w:r>
          </w:p>
        </w:tc>
        <w:tc>
          <w:tcPr>
            <w:tcW w:w="1440"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此账户是否开通银衍转账（Y/N）</w:t>
            </w:r>
            <w:r>
              <w:rPr>
                <w:rFonts w:eastAsia="方正仿宋简体"/>
                <w:color w:val="333333"/>
                <w:kern w:val="0"/>
                <w:sz w:val="18"/>
                <w:szCs w:val="18"/>
              </w:rPr>
              <w:t xml:space="preserve"> </w:t>
            </w:r>
          </w:p>
        </w:tc>
        <w:tc>
          <w:tcPr>
            <w:tcW w:w="207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此账户是否开通网上银行（Y/N）</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trHeight w:val="414" w:hRule="atLeast"/>
          <w:jc w:val="center"/>
        </w:trPr>
        <w:tc>
          <w:tcPr>
            <w:tcW w:w="1726"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833"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07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414" w:hRule="atLeast"/>
          <w:jc w:val="center"/>
        </w:trPr>
        <w:tc>
          <w:tcPr>
            <w:tcW w:w="1726"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833"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40"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07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trHeight w:val="414" w:hRule="atLeast"/>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jc w:val="left"/>
              <w:rPr>
                <w:rFonts w:eastAsia="方正仿宋简体"/>
                <w:color w:val="333333"/>
                <w:kern w:val="0"/>
                <w:sz w:val="18"/>
                <w:szCs w:val="18"/>
              </w:rPr>
            </w:pPr>
            <w:r>
              <w:rPr>
                <w:rFonts w:eastAsia="方正仿宋简体"/>
                <w:color w:val="333333"/>
                <w:kern w:val="0"/>
                <w:szCs w:val="21"/>
              </w:rPr>
              <w:t>声明：以上为本人登记的用于股票期权交易出入金的投资者期权银行结算账户，本人在期权经营机构的出入金均通过以上账户办理。</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9509" w:type="dxa"/>
            <w:gridSpan w:val="14"/>
            <w:tcBorders>
              <w:top w:val="single" w:color="000000" w:sz="4" w:space="0"/>
              <w:left w:val="single" w:color="000000" w:sz="4" w:space="0"/>
              <w:bottom w:val="single" w:color="000000" w:sz="4" w:space="0"/>
              <w:right w:val="single" w:color="000000" w:sz="4" w:space="0"/>
            </w:tcBorders>
          </w:tcPr>
          <w:p>
            <w:pPr>
              <w:widowControl/>
              <w:spacing w:line="320" w:lineRule="atLeast"/>
              <w:ind w:firstLine="420"/>
              <w:jc w:val="left"/>
              <w:rPr>
                <w:rFonts w:eastAsia="方正仿宋简体"/>
                <w:color w:val="333333"/>
                <w:kern w:val="0"/>
                <w:sz w:val="18"/>
                <w:szCs w:val="18"/>
              </w:rPr>
            </w:pPr>
            <w:r>
              <w:rPr>
                <w:rFonts w:eastAsia="方正仿宋简体"/>
                <w:color w:val="333333"/>
                <w:kern w:val="0"/>
                <w:szCs w:val="21"/>
              </w:rPr>
              <w:t>本人有能力承担因参与股票期权交易而产生的风险，并保证参与股票期权交易资金来源的合法性和所提供资料的真实性，承诺遵守深交所及中国结算的各项业务规则，自愿承担股票期权交易结果。</w:t>
            </w:r>
            <w:r>
              <w:rPr>
                <w:rFonts w:eastAsia="方正仿宋简体"/>
                <w:color w:val="333333"/>
                <w:kern w:val="0"/>
                <w:sz w:val="18"/>
                <w:szCs w:val="18"/>
              </w:rPr>
              <w:t xml:space="preserve"> </w:t>
            </w:r>
          </w:p>
          <w:p>
            <w:pPr>
              <w:widowControl/>
              <w:spacing w:line="320" w:lineRule="atLeast"/>
              <w:jc w:val="left"/>
              <w:rPr>
                <w:rFonts w:eastAsia="方正仿宋简体"/>
                <w:color w:val="333333"/>
                <w:kern w:val="0"/>
                <w:szCs w:val="21"/>
              </w:rPr>
            </w:pPr>
            <w:r>
              <w:rPr>
                <w:rFonts w:eastAsia="方正仿宋简体"/>
                <w:color w:val="333333"/>
                <w:kern w:val="0"/>
                <w:szCs w:val="21"/>
              </w:rPr>
              <w:t xml:space="preserve">申请人签名：     </w:t>
            </w:r>
          </w:p>
          <w:p>
            <w:pPr>
              <w:widowControl/>
              <w:spacing w:line="320" w:lineRule="atLeast"/>
              <w:jc w:val="left"/>
              <w:rPr>
                <w:rFonts w:eastAsia="方正仿宋简体"/>
                <w:color w:val="333333"/>
                <w:kern w:val="0"/>
                <w:sz w:val="18"/>
                <w:szCs w:val="18"/>
              </w:rPr>
            </w:pPr>
            <w:r>
              <w:rPr>
                <w:rFonts w:eastAsia="方正仿宋简体"/>
                <w:color w:val="333333"/>
                <w:kern w:val="0"/>
                <w:szCs w:val="21"/>
              </w:rPr>
              <w:t xml:space="preserve">                                                                申请日期：    年  月  日</w:t>
            </w:r>
            <w:r>
              <w:rPr>
                <w:rFonts w:eastAsia="方正仿宋简体"/>
                <w:color w:val="333333"/>
                <w:kern w:val="0"/>
                <w:sz w:val="18"/>
                <w:szCs w:val="18"/>
              </w:rPr>
              <w:t xml:space="preserve"> </w:t>
            </w:r>
          </w:p>
        </w:tc>
      </w:tr>
    </w:tbl>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说明：</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1．客户开立账户必须提供身份证明及相关证明文件，并保证证明文件的真实性； </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2．客户明确此份申请表是客户开户必备法律文件之一，保证以上填写内容属实，并在上述填写内容发生变化时及时通知期权经营机构。 </w:t>
      </w:r>
    </w:p>
    <w:p>
      <w:pPr>
        <w:widowControl/>
        <w:shd w:val="clear" w:color="auto" w:fill="FFFFFF"/>
        <w:spacing w:line="560" w:lineRule="atLeast"/>
        <w:jc w:val="left"/>
        <w:rPr>
          <w:rFonts w:eastAsia="方正仿宋简体"/>
          <w:color w:val="000000"/>
          <w:spacing w:val="-6"/>
          <w:kern w:val="0"/>
          <w:sz w:val="30"/>
          <w:szCs w:val="30"/>
        </w:rPr>
      </w:pPr>
      <w:r>
        <w:rPr>
          <w:rFonts w:eastAsia="方正仿宋简体"/>
          <w:color w:val="000000"/>
          <w:spacing w:val="-6"/>
          <w:kern w:val="0"/>
          <w:sz w:val="30"/>
          <w:szCs w:val="30"/>
        </w:rPr>
        <w:t xml:space="preserve"> </w:t>
      </w:r>
    </w:p>
    <w:p>
      <w:pPr>
        <w:jc w:val="center"/>
        <w:rPr>
          <w:rFonts w:eastAsia="方正仿宋简体"/>
          <w:color w:val="000000"/>
          <w:spacing w:val="-6"/>
          <w:kern w:val="0"/>
          <w:sz w:val="30"/>
          <w:szCs w:val="30"/>
        </w:rPr>
      </w:pPr>
      <w:r>
        <w:rPr>
          <w:rFonts w:eastAsia="方正仿宋简体"/>
          <w:color w:val="000000"/>
          <w:spacing w:val="-6"/>
          <w:kern w:val="0"/>
          <w:sz w:val="30"/>
          <w:szCs w:val="30"/>
        </w:rPr>
        <w:br w:type="page"/>
      </w:r>
      <w:r>
        <w:rPr>
          <w:rFonts w:ascii="方正小标宋简体" w:eastAsia="方正小标宋简体"/>
          <w:sz w:val="32"/>
          <w:szCs w:val="36"/>
        </w:rPr>
        <w:t xml:space="preserve">开户申请表（机构） </w:t>
      </w:r>
    </w:p>
    <w:tbl>
      <w:tblPr>
        <w:tblStyle w:val="34"/>
        <w:tblW w:w="9269" w:type="dxa"/>
        <w:jc w:val="center"/>
        <w:tblLayout w:type="fixed"/>
        <w:tblCellMar>
          <w:top w:w="0" w:type="dxa"/>
          <w:left w:w="108" w:type="dxa"/>
          <w:bottom w:w="0" w:type="dxa"/>
          <w:right w:w="108" w:type="dxa"/>
        </w:tblCellMar>
      </w:tblPr>
      <w:tblGrid>
        <w:gridCol w:w="2609"/>
        <w:gridCol w:w="850"/>
        <w:gridCol w:w="580"/>
        <w:gridCol w:w="402"/>
        <w:gridCol w:w="719"/>
        <w:gridCol w:w="92"/>
        <w:gridCol w:w="333"/>
        <w:gridCol w:w="567"/>
        <w:gridCol w:w="284"/>
        <w:gridCol w:w="97"/>
        <w:gridCol w:w="310"/>
        <w:gridCol w:w="160"/>
        <w:gridCol w:w="1134"/>
        <w:gridCol w:w="1132"/>
      </w:tblGrid>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经营机构名称</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nil"/>
              <w:left w:val="single" w:color="000000" w:sz="4" w:space="0"/>
              <w:bottom w:val="single" w:color="auto" w:sz="4" w:space="0"/>
              <w:right w:val="single" w:color="000000" w:sz="4" w:space="0"/>
            </w:tcBorders>
            <w:vAlign w:val="center"/>
          </w:tcPr>
          <w:p>
            <w:pPr>
              <w:widowControl/>
              <w:spacing w:line="320" w:lineRule="atLeast"/>
              <w:ind w:firstLine="6"/>
              <w:jc w:val="center"/>
              <w:rPr>
                <w:rFonts w:eastAsia="方正仿宋简体"/>
                <w:color w:val="333333"/>
                <w:kern w:val="0"/>
                <w:sz w:val="18"/>
                <w:szCs w:val="18"/>
              </w:rPr>
            </w:pPr>
            <w:r>
              <w:rPr>
                <w:rFonts w:eastAsia="方正仿宋简体"/>
                <w:color w:val="333333"/>
                <w:kern w:val="0"/>
                <w:szCs w:val="21"/>
              </w:rPr>
              <w:t>机构类型</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r>
              <w:rPr>
                <w:rFonts w:eastAsia="方正仿宋简体"/>
                <w:color w:val="333333"/>
                <w:kern w:val="0"/>
                <w:szCs w:val="21"/>
              </w:rPr>
              <w:t>□证券公司        □ 期货公司</w:t>
            </w: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机构开户申请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机构名称</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44"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机构类型</w:t>
            </w:r>
            <w:r>
              <w:rPr>
                <w:rFonts w:eastAsia="方正仿宋简体"/>
                <w:color w:val="333333"/>
                <w:kern w:val="0"/>
                <w:sz w:val="18"/>
                <w:szCs w:val="18"/>
              </w:rPr>
              <w:t xml:space="preserve"> </w:t>
            </w:r>
          </w:p>
        </w:tc>
        <w:tc>
          <w:tcPr>
            <w:tcW w:w="3684" w:type="dxa"/>
            <w:gridSpan w:val="7"/>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营业执照号（正本）</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44" w:type="dxa"/>
            <w:gridSpan w:val="3"/>
            <w:tcBorders>
              <w:top w:val="single" w:color="000000" w:sz="4" w:space="0"/>
              <w:left w:val="nil"/>
              <w:bottom w:val="single" w:color="000000" w:sz="4" w:space="0"/>
              <w:right w:val="single" w:color="000000" w:sz="4" w:space="0"/>
            </w:tcBorders>
            <w:vAlign w:val="center"/>
          </w:tcPr>
          <w:p>
            <w:pPr>
              <w:widowControl/>
              <w:spacing w:line="360" w:lineRule="atLeast"/>
              <w:jc w:val="left"/>
              <w:rPr>
                <w:rFonts w:eastAsia="方正仿宋简体"/>
                <w:color w:val="333333"/>
                <w:kern w:val="0"/>
                <w:sz w:val="18"/>
                <w:szCs w:val="18"/>
              </w:rPr>
            </w:pPr>
            <w:r>
              <w:rPr>
                <w:rFonts w:eastAsia="方正仿宋简体"/>
                <w:color w:val="333333"/>
                <w:kern w:val="0"/>
                <w:szCs w:val="21"/>
              </w:rPr>
              <w:t>注册资本</w:t>
            </w:r>
          </w:p>
        </w:tc>
        <w:tc>
          <w:tcPr>
            <w:tcW w:w="3684" w:type="dxa"/>
            <w:gridSpan w:val="7"/>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法定代表人（负责人）</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144"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1258"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94" w:type="dxa"/>
            <w:gridSpan w:val="2"/>
            <w:tcBorders>
              <w:top w:val="single" w:color="000000" w:sz="4" w:space="0"/>
              <w:left w:val="nil"/>
              <w:bottom w:val="single" w:color="000000" w:sz="4" w:space="0"/>
              <w:right w:val="single" w:color="000000" w:sz="4" w:space="0"/>
            </w:tcBorders>
            <w:vAlign w:val="center"/>
          </w:tcPr>
          <w:p>
            <w:pPr>
              <w:widowControl/>
              <w:spacing w:line="360" w:lineRule="atLeast"/>
              <w:jc w:val="left"/>
              <w:rPr>
                <w:rFonts w:eastAsia="方正仿宋简体"/>
                <w:color w:val="333333"/>
                <w:kern w:val="0"/>
                <w:sz w:val="18"/>
                <w:szCs w:val="18"/>
              </w:rPr>
            </w:pPr>
            <w:r>
              <w:rPr>
                <w:rFonts w:eastAsia="方正仿宋简体"/>
                <w:color w:val="333333"/>
                <w:kern w:val="0"/>
                <w:szCs w:val="21"/>
              </w:rPr>
              <w:t>有效期限</w:t>
            </w:r>
            <w:r>
              <w:rPr>
                <w:rFonts w:eastAsia="方正仿宋简体"/>
                <w:color w:val="333333"/>
                <w:kern w:val="0"/>
                <w:sz w:val="18"/>
                <w:szCs w:val="18"/>
              </w:rPr>
              <w:t xml:space="preserve"> </w:t>
            </w:r>
          </w:p>
        </w:tc>
        <w:tc>
          <w:tcPr>
            <w:tcW w:w="1132" w:type="dxa"/>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经营范围</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联系人</w:t>
            </w:r>
            <w:r>
              <w:rPr>
                <w:rFonts w:eastAsia="方正仿宋简体"/>
                <w:color w:val="333333"/>
                <w:kern w:val="0"/>
                <w:sz w:val="18"/>
                <w:szCs w:val="18"/>
              </w:rPr>
              <w:t xml:space="preserve"> </w:t>
            </w:r>
          </w:p>
        </w:tc>
        <w:tc>
          <w:tcPr>
            <w:tcW w:w="183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995" w:type="dxa"/>
            <w:gridSpan w:val="5"/>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是否从事过金融期货交易</w:t>
            </w:r>
            <w:r>
              <w:rPr>
                <w:rFonts w:eastAsia="方正仿宋简体"/>
                <w:color w:val="333333"/>
                <w:kern w:val="0"/>
                <w:sz w:val="18"/>
                <w:szCs w:val="18"/>
              </w:rPr>
              <w:t xml:space="preserve"> </w:t>
            </w:r>
          </w:p>
        </w:tc>
        <w:tc>
          <w:tcPr>
            <w:tcW w:w="850" w:type="dxa"/>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是</w:t>
            </w:r>
            <w:r>
              <w:rPr>
                <w:rFonts w:eastAsia="方正仿宋简体"/>
                <w:color w:val="333333"/>
                <w:kern w:val="0"/>
                <w:sz w:val="18"/>
                <w:szCs w:val="18"/>
              </w:rPr>
              <w:t xml:space="preserve"> </w:t>
            </w:r>
          </w:p>
        </w:tc>
        <w:tc>
          <w:tcPr>
            <w:tcW w:w="2126"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否</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从事期权交易的目的</w:t>
            </w:r>
            <w:r>
              <w:rPr>
                <w:rFonts w:eastAsia="方正仿宋简体"/>
                <w:color w:val="333333"/>
                <w:kern w:val="0"/>
                <w:sz w:val="18"/>
                <w:szCs w:val="18"/>
              </w:rPr>
              <w:t xml:space="preserve"> </w:t>
            </w:r>
          </w:p>
        </w:tc>
        <w:tc>
          <w:tcPr>
            <w:tcW w:w="850" w:type="dxa"/>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保值</w:t>
            </w:r>
            <w:r>
              <w:rPr>
                <w:rFonts w:eastAsia="方正仿宋简体"/>
                <w:color w:val="333333"/>
                <w:kern w:val="0"/>
                <w:sz w:val="18"/>
                <w:szCs w:val="18"/>
              </w:rPr>
              <w:t xml:space="preserve"> </w:t>
            </w:r>
          </w:p>
        </w:tc>
        <w:tc>
          <w:tcPr>
            <w:tcW w:w="982"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719" w:type="dxa"/>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 xml:space="preserve">投机 </w:t>
            </w:r>
          </w:p>
        </w:tc>
        <w:tc>
          <w:tcPr>
            <w:tcW w:w="992"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4"/>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其他</w:t>
            </w:r>
            <w:r>
              <w:rPr>
                <w:rFonts w:eastAsia="方正仿宋简体"/>
                <w:color w:val="333333"/>
                <w:kern w:val="0"/>
                <w:sz w:val="18"/>
                <w:szCs w:val="18"/>
              </w:rPr>
              <w:t xml:space="preserve"> </w:t>
            </w:r>
          </w:p>
        </w:tc>
        <w:tc>
          <w:tcPr>
            <w:tcW w:w="2266"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开户代理人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身份证号码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指令下达人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资金调拨人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结算单确认人</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姓名</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联系</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电话</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证件类型及号码</w:t>
            </w:r>
            <w:r>
              <w:rPr>
                <w:rFonts w:eastAsia="方正仿宋简体"/>
                <w:color w:val="333333"/>
                <w:kern w:val="0"/>
                <w:sz w:val="18"/>
                <w:szCs w:val="18"/>
              </w:rPr>
              <w:t xml:space="preserve"> </w:t>
            </w:r>
          </w:p>
        </w:tc>
        <w:tc>
          <w:tcPr>
            <w:tcW w:w="6660" w:type="dxa"/>
            <w:gridSpan w:val="1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tcPr>
          <w:p>
            <w:pPr>
              <w:widowControl/>
              <w:spacing w:line="320" w:lineRule="atLeast"/>
              <w:jc w:val="center"/>
              <w:rPr>
                <w:rFonts w:eastAsia="方正仿宋简体"/>
                <w:color w:val="333333"/>
                <w:kern w:val="0"/>
                <w:sz w:val="18"/>
                <w:szCs w:val="18"/>
              </w:rPr>
            </w:pPr>
            <w:r>
              <w:rPr>
                <w:rFonts w:eastAsia="方正仿宋简体"/>
                <w:color w:val="333333"/>
                <w:kern w:val="0"/>
                <w:szCs w:val="21"/>
              </w:rPr>
              <w:t>联系地址</w:t>
            </w:r>
            <w:r>
              <w:rPr>
                <w:rFonts w:eastAsia="方正仿宋简体"/>
                <w:color w:val="333333"/>
                <w:kern w:val="0"/>
                <w:sz w:val="18"/>
                <w:szCs w:val="18"/>
              </w:rPr>
              <w:t xml:space="preserve"> </w:t>
            </w:r>
          </w:p>
        </w:tc>
        <w:tc>
          <w:tcPr>
            <w:tcW w:w="2976" w:type="dxa"/>
            <w:gridSpan w:val="6"/>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c>
          <w:tcPr>
            <w:tcW w:w="851"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Cs w:val="21"/>
              </w:rPr>
            </w:pPr>
            <w:r>
              <w:rPr>
                <w:rFonts w:eastAsia="方正仿宋简体"/>
                <w:color w:val="333333"/>
                <w:kern w:val="0"/>
                <w:szCs w:val="21"/>
              </w:rPr>
              <w:t>邮政</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编码</w:t>
            </w:r>
            <w:r>
              <w:rPr>
                <w:rFonts w:eastAsia="方正仿宋简体"/>
                <w:color w:val="333333"/>
                <w:kern w:val="0"/>
                <w:sz w:val="18"/>
                <w:szCs w:val="18"/>
              </w:rPr>
              <w:t xml:space="preserve"> </w:t>
            </w:r>
          </w:p>
        </w:tc>
        <w:tc>
          <w:tcPr>
            <w:tcW w:w="2833" w:type="dxa"/>
            <w:gridSpan w:val="5"/>
            <w:tcBorders>
              <w:top w:val="single" w:color="000000" w:sz="4" w:space="0"/>
              <w:left w:val="nil"/>
              <w:bottom w:val="single" w:color="000000" w:sz="4" w:space="0"/>
              <w:right w:val="single" w:color="000000" w:sz="4" w:space="0"/>
            </w:tcBorders>
          </w:tcPr>
          <w:p>
            <w:pPr>
              <w:widowControl/>
              <w:jc w:val="left"/>
              <w:rPr>
                <w:rFonts w:eastAsia="方正仿宋简体"/>
                <w:color w:val="333333"/>
                <w:kern w:val="0"/>
                <w:sz w:val="18"/>
                <w:szCs w:val="18"/>
              </w:rPr>
            </w:pP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客户/投资者期权银行结算账户</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trHeight w:val="1112" w:hRule="atLeast"/>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户名</w:t>
            </w:r>
            <w:r>
              <w:rPr>
                <w:rFonts w:eastAsia="方正仿宋简体"/>
                <w:color w:val="333333"/>
                <w:kern w:val="0"/>
                <w:sz w:val="18"/>
                <w:szCs w:val="18"/>
              </w:rPr>
              <w:t xml:space="preserve"> </w:t>
            </w:r>
          </w:p>
          <w:p>
            <w:pPr>
              <w:widowControl/>
              <w:spacing w:line="320" w:lineRule="atLeast"/>
              <w:jc w:val="center"/>
              <w:rPr>
                <w:rFonts w:eastAsia="方正仿宋简体"/>
                <w:color w:val="333333"/>
                <w:kern w:val="0"/>
                <w:sz w:val="18"/>
                <w:szCs w:val="18"/>
              </w:rPr>
            </w:pPr>
            <w:r>
              <w:rPr>
                <w:rFonts w:eastAsia="方正仿宋简体"/>
                <w:color w:val="333333"/>
                <w:kern w:val="0"/>
                <w:szCs w:val="21"/>
              </w:rPr>
              <w:t>（全称）</w:t>
            </w:r>
            <w:r>
              <w:rPr>
                <w:rFonts w:eastAsia="方正仿宋简体"/>
                <w:color w:val="333333"/>
                <w:kern w:val="0"/>
                <w:sz w:val="18"/>
                <w:szCs w:val="18"/>
              </w:rPr>
              <w:t xml:space="preserve"> </w:t>
            </w:r>
          </w:p>
        </w:tc>
        <w:tc>
          <w:tcPr>
            <w:tcW w:w="1430" w:type="dxa"/>
            <w:gridSpan w:val="2"/>
            <w:tcBorders>
              <w:top w:val="single" w:color="000000" w:sz="4" w:space="0"/>
              <w:left w:val="nil"/>
              <w:bottom w:val="single" w:color="000000" w:sz="4" w:space="0"/>
              <w:right w:val="single" w:color="000000" w:sz="4" w:space="0"/>
            </w:tcBorders>
            <w:vAlign w:val="center"/>
          </w:tcPr>
          <w:p>
            <w:pPr>
              <w:widowControl/>
              <w:spacing w:line="320" w:lineRule="atLeast"/>
              <w:jc w:val="left"/>
              <w:rPr>
                <w:rFonts w:eastAsia="方正仿宋简体"/>
                <w:color w:val="333333"/>
                <w:kern w:val="0"/>
                <w:sz w:val="18"/>
                <w:szCs w:val="18"/>
              </w:rPr>
            </w:pPr>
            <w:r>
              <w:rPr>
                <w:rFonts w:eastAsia="方正仿宋简体"/>
                <w:color w:val="333333"/>
                <w:kern w:val="0"/>
                <w:szCs w:val="21"/>
              </w:rPr>
              <w:t>期权保证金结算银行名称（写明具体开户网点）</w:t>
            </w:r>
            <w:r>
              <w:rPr>
                <w:rFonts w:eastAsia="方正仿宋简体"/>
                <w:color w:val="333333"/>
                <w:kern w:val="0"/>
                <w:sz w:val="18"/>
                <w:szCs w:val="18"/>
              </w:rPr>
              <w:t xml:space="preserve"> </w:t>
            </w:r>
          </w:p>
        </w:tc>
        <w:tc>
          <w:tcPr>
            <w:tcW w:w="1213" w:type="dxa"/>
            <w:gridSpan w:val="3"/>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投资者期权银行结算账户账号</w:t>
            </w:r>
            <w:r>
              <w:rPr>
                <w:rFonts w:eastAsia="方正仿宋简体"/>
                <w:color w:val="333333"/>
                <w:kern w:val="0"/>
                <w:sz w:val="18"/>
                <w:szCs w:val="18"/>
              </w:rPr>
              <w:t xml:space="preserve"> </w:t>
            </w:r>
          </w:p>
        </w:tc>
        <w:tc>
          <w:tcPr>
            <w:tcW w:w="1281" w:type="dxa"/>
            <w:gridSpan w:val="4"/>
            <w:tcBorders>
              <w:top w:val="single" w:color="000000" w:sz="4" w:space="0"/>
              <w:left w:val="nil"/>
              <w:bottom w:val="single" w:color="000000" w:sz="4" w:space="0"/>
              <w:right w:val="single" w:color="000000" w:sz="4" w:space="0"/>
            </w:tcBorders>
            <w:vAlign w:val="center"/>
          </w:tcPr>
          <w:p>
            <w:pPr>
              <w:widowControl/>
              <w:spacing w:line="320" w:lineRule="atLeast"/>
              <w:jc w:val="center"/>
              <w:rPr>
                <w:rFonts w:eastAsia="方正仿宋简体"/>
                <w:color w:val="333333"/>
                <w:kern w:val="0"/>
                <w:sz w:val="18"/>
                <w:szCs w:val="18"/>
              </w:rPr>
            </w:pPr>
            <w:r>
              <w:rPr>
                <w:rFonts w:eastAsia="方正仿宋简体"/>
                <w:color w:val="333333"/>
                <w:kern w:val="0"/>
                <w:szCs w:val="21"/>
              </w:rPr>
              <w:t>此账户是否开通银衍转账（Y/N）</w:t>
            </w:r>
            <w:r>
              <w:rPr>
                <w:rFonts w:eastAsia="方正仿宋简体"/>
                <w:color w:val="333333"/>
                <w:kern w:val="0"/>
                <w:sz w:val="18"/>
                <w:szCs w:val="18"/>
              </w:rPr>
              <w:t xml:space="preserve"> </w:t>
            </w:r>
          </w:p>
        </w:tc>
        <w:tc>
          <w:tcPr>
            <w:tcW w:w="2736" w:type="dxa"/>
            <w:gridSpan w:val="4"/>
            <w:tcBorders>
              <w:top w:val="single" w:color="000000" w:sz="4" w:space="0"/>
              <w:left w:val="nil"/>
              <w:bottom w:val="single" w:color="000000" w:sz="4" w:space="0"/>
              <w:right w:val="single" w:color="auto" w:sz="4" w:space="0"/>
            </w:tcBorders>
            <w:vAlign w:val="center"/>
          </w:tcPr>
          <w:p>
            <w:pPr>
              <w:widowControl/>
              <w:jc w:val="left"/>
              <w:rPr>
                <w:rFonts w:eastAsia="方正仿宋简体"/>
                <w:kern w:val="0"/>
                <w:sz w:val="20"/>
              </w:rPr>
            </w:pPr>
            <w:r>
              <w:rPr>
                <w:rFonts w:eastAsia="方正仿宋简体"/>
                <w:color w:val="333333"/>
                <w:kern w:val="0"/>
                <w:szCs w:val="21"/>
              </w:rPr>
              <w:t>此账户是否开通网上银行（Y/N）</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3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13"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81"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736" w:type="dxa"/>
            <w:gridSpan w:val="4"/>
            <w:tcBorders>
              <w:top w:val="single" w:color="000000" w:sz="4" w:space="0"/>
              <w:left w:val="nil"/>
              <w:bottom w:val="single" w:color="000000" w:sz="4" w:space="0"/>
              <w:right w:val="single" w:color="auto" w:sz="4" w:space="0"/>
            </w:tcBorders>
            <w:vAlign w:val="center"/>
          </w:tcPr>
          <w:p>
            <w:pPr>
              <w:widowControl/>
              <w:jc w:val="left"/>
              <w:rPr>
                <w:rFonts w:eastAsia="方正仿宋简体"/>
                <w:kern w:val="0"/>
                <w:sz w:val="20"/>
              </w:rPr>
            </w:pPr>
          </w:p>
        </w:tc>
      </w:tr>
      <w:tr>
        <w:tblPrEx>
          <w:tblCellMar>
            <w:top w:w="0" w:type="dxa"/>
            <w:left w:w="108" w:type="dxa"/>
            <w:bottom w:w="0" w:type="dxa"/>
            <w:right w:w="108" w:type="dxa"/>
          </w:tblCellMar>
        </w:tblPrEx>
        <w:trPr>
          <w:jc w:val="center"/>
        </w:trPr>
        <w:tc>
          <w:tcPr>
            <w:tcW w:w="2609" w:type="dxa"/>
            <w:tcBorders>
              <w:top w:val="single" w:color="000000" w:sz="4" w:space="0"/>
              <w:left w:val="single" w:color="000000" w:sz="4" w:space="0"/>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430" w:type="dxa"/>
            <w:gridSpan w:val="2"/>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13" w:type="dxa"/>
            <w:gridSpan w:val="3"/>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1281" w:type="dxa"/>
            <w:gridSpan w:val="4"/>
            <w:tcBorders>
              <w:top w:val="single" w:color="000000" w:sz="4" w:space="0"/>
              <w:left w:val="nil"/>
              <w:bottom w:val="single" w:color="000000" w:sz="4" w:space="0"/>
              <w:right w:val="single" w:color="000000" w:sz="4" w:space="0"/>
            </w:tcBorders>
            <w:vAlign w:val="center"/>
          </w:tcPr>
          <w:p>
            <w:pPr>
              <w:widowControl/>
              <w:jc w:val="left"/>
              <w:rPr>
                <w:rFonts w:eastAsia="方正仿宋简体"/>
                <w:color w:val="333333"/>
                <w:kern w:val="0"/>
                <w:sz w:val="18"/>
                <w:szCs w:val="18"/>
              </w:rPr>
            </w:pPr>
          </w:p>
        </w:tc>
        <w:tc>
          <w:tcPr>
            <w:tcW w:w="2736" w:type="dxa"/>
            <w:gridSpan w:val="4"/>
            <w:tcBorders>
              <w:top w:val="single" w:color="000000" w:sz="4" w:space="0"/>
              <w:left w:val="nil"/>
              <w:bottom w:val="single" w:color="000000" w:sz="4" w:space="0"/>
              <w:right w:val="single" w:color="auto" w:sz="4" w:space="0"/>
            </w:tcBorders>
            <w:vAlign w:val="center"/>
          </w:tcPr>
          <w:p>
            <w:pPr>
              <w:widowControl/>
              <w:jc w:val="left"/>
              <w:rPr>
                <w:rFonts w:eastAsia="方正仿宋简体"/>
                <w:kern w:val="0"/>
                <w:sz w:val="20"/>
              </w:rPr>
            </w:pPr>
          </w:p>
        </w:tc>
      </w:tr>
      <w:tr>
        <w:tblPrEx>
          <w:tblCellMar>
            <w:top w:w="0" w:type="dxa"/>
            <w:left w:w="108" w:type="dxa"/>
            <w:bottom w:w="0" w:type="dxa"/>
            <w:right w:w="108" w:type="dxa"/>
          </w:tblCellMar>
        </w:tblPrEx>
        <w:trPr>
          <w:trHeight w:val="658" w:hRule="atLeast"/>
          <w:jc w:val="center"/>
        </w:trPr>
        <w:tc>
          <w:tcPr>
            <w:tcW w:w="9269" w:type="dxa"/>
            <w:gridSpan w:val="14"/>
            <w:tcBorders>
              <w:top w:val="single" w:color="000000" w:sz="4" w:space="0"/>
              <w:left w:val="single" w:color="000000" w:sz="4" w:space="0"/>
              <w:bottom w:val="single" w:color="000000" w:sz="4" w:space="0"/>
              <w:right w:val="single" w:color="auto" w:sz="4" w:space="0"/>
            </w:tcBorders>
            <w:vAlign w:val="center"/>
          </w:tcPr>
          <w:p>
            <w:pPr>
              <w:widowControl/>
              <w:jc w:val="left"/>
              <w:rPr>
                <w:rFonts w:eastAsia="方正仿宋简体"/>
                <w:kern w:val="0"/>
                <w:sz w:val="20"/>
              </w:rPr>
            </w:pPr>
            <w:r>
              <w:rPr>
                <w:rFonts w:eastAsia="方正仿宋简体"/>
                <w:color w:val="333333"/>
                <w:kern w:val="0"/>
                <w:szCs w:val="21"/>
              </w:rPr>
              <w:t>声明：以上为本机构登记的用于股票期权交易出入金的期货结算账户，本机构在期权经营机构的出入金均通过以上账户办理。</w:t>
            </w:r>
            <w:r>
              <w:rPr>
                <w:rFonts w:eastAsia="方正仿宋简体"/>
                <w:color w:val="333333"/>
                <w:kern w:val="0"/>
                <w:sz w:val="18"/>
                <w:szCs w:val="18"/>
              </w:rPr>
              <w:t xml:space="preserve"> </w:t>
            </w:r>
          </w:p>
        </w:tc>
      </w:tr>
      <w:tr>
        <w:tblPrEx>
          <w:tblCellMar>
            <w:top w:w="0" w:type="dxa"/>
            <w:left w:w="108" w:type="dxa"/>
            <w:bottom w:w="0" w:type="dxa"/>
            <w:right w:w="108" w:type="dxa"/>
          </w:tblCellMar>
        </w:tblPrEx>
        <w:trPr>
          <w:jc w:val="center"/>
        </w:trPr>
        <w:tc>
          <w:tcPr>
            <w:tcW w:w="9269" w:type="dxa"/>
            <w:gridSpan w:val="14"/>
            <w:tcBorders>
              <w:top w:val="single" w:color="000000" w:sz="4" w:space="0"/>
              <w:left w:val="single" w:color="000000" w:sz="4" w:space="0"/>
              <w:bottom w:val="single" w:color="000000" w:sz="4" w:space="0"/>
              <w:right w:val="single" w:color="auto" w:sz="4" w:space="0"/>
            </w:tcBorders>
            <w:vAlign w:val="center"/>
          </w:tcPr>
          <w:p>
            <w:pPr>
              <w:widowControl/>
              <w:spacing w:line="320" w:lineRule="atLeast"/>
              <w:jc w:val="left"/>
              <w:rPr>
                <w:rFonts w:eastAsia="方正仿宋简体"/>
                <w:color w:val="333333"/>
                <w:kern w:val="0"/>
                <w:sz w:val="18"/>
                <w:szCs w:val="18"/>
              </w:rPr>
            </w:pPr>
            <w:r>
              <w:rPr>
                <w:rFonts w:eastAsia="方正仿宋简体"/>
                <w:color w:val="333333"/>
                <w:kern w:val="0"/>
                <w:szCs w:val="21"/>
              </w:rPr>
              <w:t xml:space="preserve">    本机构有能力承担因参与股票期权交易而产生的风险，并保证参与股票期权交易资金来源的合法性和所提供资料的真实性，承诺遵守深交所及中国结算的各项业务规则，自愿承担期权交易结果。</w:t>
            </w:r>
            <w:r>
              <w:rPr>
                <w:rFonts w:eastAsia="方正仿宋简体"/>
                <w:color w:val="333333"/>
                <w:kern w:val="0"/>
                <w:sz w:val="18"/>
                <w:szCs w:val="18"/>
              </w:rPr>
              <w:t xml:space="preserve"> </w:t>
            </w:r>
          </w:p>
          <w:p>
            <w:pPr>
              <w:widowControl/>
              <w:spacing w:line="320" w:lineRule="atLeast"/>
              <w:jc w:val="left"/>
              <w:rPr>
                <w:rFonts w:eastAsia="方正仿宋简体"/>
                <w:color w:val="333333"/>
                <w:kern w:val="0"/>
                <w:szCs w:val="21"/>
              </w:rPr>
            </w:pPr>
          </w:p>
          <w:p>
            <w:pPr>
              <w:widowControl/>
              <w:spacing w:line="320" w:lineRule="atLeast"/>
              <w:jc w:val="left"/>
              <w:rPr>
                <w:rFonts w:eastAsia="方正仿宋简体"/>
                <w:color w:val="333333"/>
                <w:kern w:val="0"/>
                <w:szCs w:val="21"/>
              </w:rPr>
            </w:pPr>
            <w:r>
              <w:rPr>
                <w:rFonts w:eastAsia="方正仿宋简体"/>
                <w:color w:val="333333"/>
                <w:kern w:val="0"/>
                <w:szCs w:val="21"/>
              </w:rPr>
              <w:t xml:space="preserve">申请单位盖章：                 法定代表人（负责人）/开户代理人签字：       </w:t>
            </w:r>
          </w:p>
          <w:p>
            <w:pPr>
              <w:widowControl/>
              <w:spacing w:line="320" w:lineRule="atLeast"/>
              <w:jc w:val="left"/>
              <w:rPr>
                <w:rFonts w:eastAsia="方正仿宋简体"/>
                <w:color w:val="333333"/>
                <w:kern w:val="0"/>
                <w:szCs w:val="21"/>
              </w:rPr>
            </w:pPr>
          </w:p>
          <w:p>
            <w:pPr>
              <w:widowControl/>
              <w:spacing w:line="320" w:lineRule="atLeast"/>
              <w:jc w:val="left"/>
              <w:rPr>
                <w:rFonts w:eastAsia="方正仿宋简体"/>
                <w:color w:val="333333"/>
                <w:kern w:val="0"/>
                <w:sz w:val="18"/>
                <w:szCs w:val="18"/>
              </w:rPr>
            </w:pPr>
            <w:r>
              <w:rPr>
                <w:rFonts w:eastAsia="方正仿宋简体"/>
                <w:color w:val="333333"/>
                <w:kern w:val="0"/>
                <w:szCs w:val="21"/>
              </w:rPr>
              <w:t xml:space="preserve">                                                            申请日期：    年  月  日</w:t>
            </w:r>
            <w:r>
              <w:rPr>
                <w:rFonts w:eastAsia="方正仿宋简体"/>
                <w:color w:val="333333"/>
                <w:kern w:val="0"/>
                <w:sz w:val="18"/>
                <w:szCs w:val="18"/>
              </w:rPr>
              <w:t xml:space="preserve"> </w:t>
            </w:r>
          </w:p>
        </w:tc>
      </w:tr>
    </w:tbl>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说明： </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 xml:space="preserve">1．机构客户开立账户必须提供相关证明文件，并保证证明文件的真实性。法人或其他经济组织客户开户，必须提供具有中国法人资格或其他经济组织资格的合法证件原件及与原件相一致的复印件（包括加载统一社会信用代码的营业执照、法人代表证明等，并加盖公章）； </w:t>
      </w:r>
    </w:p>
    <w:p>
      <w:pPr>
        <w:widowControl/>
        <w:shd w:val="clear" w:color="auto" w:fill="FFFFFF"/>
        <w:spacing w:line="560" w:lineRule="atLeast"/>
        <w:ind w:firstLine="600"/>
        <w:jc w:val="left"/>
        <w:rPr>
          <w:rFonts w:eastAsia="方正仿宋简体"/>
          <w:color w:val="000000"/>
          <w:spacing w:val="-6"/>
          <w:kern w:val="0"/>
          <w:sz w:val="30"/>
          <w:szCs w:val="30"/>
        </w:rPr>
      </w:pPr>
      <w:r>
        <w:rPr>
          <w:rFonts w:eastAsia="方正仿宋简体"/>
          <w:color w:val="000000"/>
          <w:spacing w:val="-6"/>
          <w:kern w:val="0"/>
          <w:sz w:val="30"/>
          <w:szCs w:val="30"/>
        </w:rPr>
        <w:t>2．机构客户明确此份申请表是客户开户必备法律文件之一，保证以上填写内容属实，并在上述填写内容发生变化时及时通知期权经营机构。</w:t>
      </w:r>
    </w:p>
    <w:p>
      <w:pPr>
        <w:rPr>
          <w:rFonts w:eastAsia="方正仿宋简体"/>
          <w:szCs w:val="24"/>
        </w:rPr>
      </w:pPr>
    </w:p>
    <w:p>
      <w:pPr>
        <w:widowControl/>
        <w:jc w:val="left"/>
        <w:rPr>
          <w:rFonts w:eastAsia="方正仿宋简体"/>
          <w:b/>
          <w:bCs/>
          <w:sz w:val="30"/>
          <w:szCs w:val="30"/>
        </w:rPr>
      </w:pPr>
    </w:p>
    <w:p>
      <w:pPr>
        <w:widowControl/>
        <w:jc w:val="left"/>
        <w:rPr>
          <w:rFonts w:eastAsia="方正仿宋简体"/>
          <w:b/>
          <w:bCs/>
          <w:sz w:val="30"/>
          <w:szCs w:val="30"/>
        </w:rPr>
      </w:pPr>
    </w:p>
    <w:p>
      <w:pPr>
        <w:widowControl/>
        <w:jc w:val="left"/>
        <w:rPr>
          <w:rFonts w:eastAsia="方正仿宋简体"/>
          <w:b/>
          <w:bCs/>
          <w:sz w:val="30"/>
          <w:szCs w:val="30"/>
        </w:rPr>
      </w:pPr>
    </w:p>
    <w:p>
      <w:pPr>
        <w:spacing w:before="240" w:after="60" w:line="360" w:lineRule="auto"/>
        <w:rPr>
          <w:rFonts w:eastAsia="方正仿宋简体"/>
          <w:b/>
          <w:bCs/>
          <w:sz w:val="30"/>
          <w:szCs w:val="30"/>
        </w:rPr>
      </w:pPr>
      <w:bookmarkStart w:id="401" w:name="_Toc408578719"/>
      <w:bookmarkStart w:id="402" w:name="_Toc409007920"/>
      <w:r>
        <w:rPr>
          <w:rFonts w:eastAsia="方正仿宋简体"/>
          <w:b/>
          <w:bCs/>
          <w:sz w:val="30"/>
          <w:szCs w:val="30"/>
        </w:rPr>
        <w:t>合同附件二  佣金收取标准</w:t>
      </w:r>
      <w:bookmarkEnd w:id="400"/>
      <w:bookmarkEnd w:id="401"/>
      <w:bookmarkEnd w:id="402"/>
    </w:p>
    <w:p>
      <w:pPr>
        <w:widowControl/>
        <w:jc w:val="left"/>
        <w:rPr>
          <w:rFonts w:eastAsia="方正仿宋简体"/>
          <w:sz w:val="30"/>
          <w:szCs w:val="30"/>
        </w:rPr>
      </w:pPr>
      <w:bookmarkStart w:id="403" w:name="_Toc67383006"/>
      <w:bookmarkStart w:id="404" w:name="_Toc64962689"/>
      <w:bookmarkStart w:id="405" w:name="_Toc381972653"/>
    </w:p>
    <w:p>
      <w:pPr>
        <w:spacing w:before="240" w:after="60" w:line="360" w:lineRule="auto"/>
        <w:rPr>
          <w:rFonts w:eastAsia="方正仿宋简体"/>
          <w:b/>
          <w:bCs/>
          <w:sz w:val="30"/>
          <w:szCs w:val="30"/>
          <w:lang w:val="zh-CN" w:eastAsia="zh-CN"/>
        </w:rPr>
      </w:pPr>
      <w:r>
        <w:rPr>
          <w:rFonts w:eastAsia="方正仿宋简体"/>
          <w:b/>
          <w:bCs/>
          <w:sz w:val="30"/>
          <w:szCs w:val="30"/>
          <w:lang w:val="zh-CN" w:eastAsia="zh-CN"/>
        </w:rPr>
        <w:br w:type="page"/>
      </w:r>
      <w:bookmarkStart w:id="406" w:name="_Toc408578720"/>
      <w:bookmarkStart w:id="407" w:name="_Toc409007921"/>
      <w:r>
        <w:rPr>
          <w:rFonts w:eastAsia="方正仿宋简体"/>
          <w:b/>
          <w:bCs/>
          <w:sz w:val="30"/>
          <w:szCs w:val="30"/>
        </w:rPr>
        <w:t>合同附件</w:t>
      </w:r>
      <w:bookmarkEnd w:id="403"/>
      <w:bookmarkEnd w:id="404"/>
      <w:r>
        <w:rPr>
          <w:rFonts w:eastAsia="方正仿宋简体"/>
          <w:b/>
          <w:bCs/>
          <w:sz w:val="30"/>
          <w:szCs w:val="30"/>
        </w:rPr>
        <w:t>三  股票期权交易委托代理人授权书</w:t>
      </w:r>
      <w:bookmarkEnd w:id="405"/>
      <w:bookmarkEnd w:id="406"/>
      <w:bookmarkEnd w:id="407"/>
    </w:p>
    <w:p>
      <w:pPr>
        <w:adjustRightInd w:val="0"/>
        <w:snapToGrid w:val="0"/>
        <w:spacing w:line="360" w:lineRule="auto"/>
        <w:ind w:firstLine="600" w:firstLineChars="200"/>
        <w:rPr>
          <w:rFonts w:eastAsia="方正仿宋简体"/>
          <w:sz w:val="30"/>
          <w:szCs w:val="30"/>
        </w:rPr>
      </w:pPr>
      <w:r>
        <w:rPr>
          <w:rFonts w:eastAsia="方正仿宋简体"/>
          <w:sz w:val="30"/>
          <w:szCs w:val="30"/>
        </w:rPr>
        <w:t>一、指令下达人</w:t>
      </w:r>
    </w:p>
    <w:p>
      <w:pPr>
        <w:adjustRightInd w:val="0"/>
        <w:snapToGrid w:val="0"/>
        <w:spacing w:line="360" w:lineRule="auto"/>
        <w:ind w:firstLine="600" w:firstLineChars="200"/>
        <w:rPr>
          <w:rFonts w:eastAsia="方正仿宋简体"/>
          <w:sz w:val="30"/>
          <w:szCs w:val="30"/>
        </w:rPr>
      </w:pPr>
      <w:r>
        <w:rPr>
          <w:rFonts w:eastAsia="方正仿宋简体"/>
          <w:sz w:val="30"/>
          <w:szCs w:val="30"/>
        </w:rPr>
        <w:t>代理权限：委托</w:t>
      </w:r>
      <w:r>
        <w:rPr>
          <w:rFonts w:eastAsia="方正仿宋简体"/>
          <w:sz w:val="30"/>
          <w:szCs w:val="30"/>
          <w:u w:val="single"/>
        </w:rPr>
        <w:t>　　　　</w:t>
      </w:r>
      <w:r>
        <w:rPr>
          <w:rFonts w:eastAsia="方正仿宋简体"/>
          <w:sz w:val="30"/>
          <w:szCs w:val="30"/>
        </w:rPr>
        <w:t>作为本人/单位的委托代理人，代表本人/单位下达交易及行权指令。</w:t>
      </w:r>
    </w:p>
    <w:p>
      <w:pPr>
        <w:adjustRightInd w:val="0"/>
        <w:snapToGrid w:val="0"/>
        <w:spacing w:line="360" w:lineRule="auto"/>
        <w:ind w:firstLine="600" w:firstLineChars="200"/>
        <w:rPr>
          <w:rFonts w:eastAsia="方正仿宋简体"/>
          <w:sz w:val="30"/>
          <w:szCs w:val="30"/>
        </w:rPr>
      </w:pPr>
      <w:r>
        <w:rPr>
          <w:rFonts w:eastAsia="方正仿宋简体"/>
          <w:sz w:val="30"/>
          <w:szCs w:val="30"/>
        </w:rPr>
        <w:t>授权期限：</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u w:val="single"/>
        </w:rPr>
      </w:pPr>
      <w:r>
        <w:rPr>
          <w:rFonts w:eastAsia="方正仿宋简体"/>
          <w:sz w:val="30"/>
          <w:szCs w:val="30"/>
        </w:rPr>
        <w:t>委托代理人（签字留样）：</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证件类型：</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证件号码：</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二、资金调拨人</w:t>
      </w:r>
    </w:p>
    <w:p>
      <w:pPr>
        <w:adjustRightInd w:val="0"/>
        <w:snapToGrid w:val="0"/>
        <w:spacing w:line="360" w:lineRule="auto"/>
        <w:ind w:firstLine="630" w:firstLineChars="210"/>
        <w:rPr>
          <w:rFonts w:eastAsia="方正仿宋简体"/>
          <w:sz w:val="30"/>
          <w:szCs w:val="30"/>
        </w:rPr>
      </w:pPr>
      <w:r>
        <w:rPr>
          <w:rFonts w:eastAsia="方正仿宋简体"/>
          <w:sz w:val="30"/>
          <w:szCs w:val="30"/>
        </w:rPr>
        <w:t>代理权限：委托</w:t>
      </w:r>
      <w:r>
        <w:rPr>
          <w:rFonts w:eastAsia="方正仿宋简体"/>
          <w:sz w:val="30"/>
          <w:szCs w:val="30"/>
          <w:u w:val="single"/>
        </w:rPr>
        <w:t>　　　　</w:t>
      </w:r>
      <w:r>
        <w:rPr>
          <w:rFonts w:eastAsia="方正仿宋简体"/>
          <w:sz w:val="30"/>
          <w:szCs w:val="30"/>
        </w:rPr>
        <w:t xml:space="preserve">作为本人/单位的委托代理人，代表本人/单位下达资金调拨指令。   </w:t>
      </w:r>
    </w:p>
    <w:p>
      <w:pPr>
        <w:adjustRightInd w:val="0"/>
        <w:snapToGrid w:val="0"/>
        <w:spacing w:line="360" w:lineRule="auto"/>
        <w:ind w:firstLine="600" w:firstLineChars="200"/>
        <w:rPr>
          <w:rFonts w:eastAsia="方正仿宋简体"/>
          <w:sz w:val="30"/>
          <w:szCs w:val="30"/>
        </w:rPr>
      </w:pPr>
      <w:r>
        <w:rPr>
          <w:rFonts w:eastAsia="方正仿宋简体"/>
          <w:sz w:val="30"/>
          <w:szCs w:val="30"/>
        </w:rPr>
        <w:t>授权期限：</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委托代理人（签字留样）：</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证件类型：</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证件号码：</w:t>
      </w:r>
      <w:r>
        <w:rPr>
          <w:rFonts w:eastAsia="方正仿宋简体"/>
          <w:sz w:val="30"/>
          <w:szCs w:val="30"/>
          <w:u w:val="single"/>
        </w:rPr>
        <w:t xml:space="preserve">                         </w:t>
      </w:r>
    </w:p>
    <w:p>
      <w:pPr>
        <w:adjustRightInd w:val="0"/>
        <w:snapToGrid w:val="0"/>
        <w:spacing w:line="360" w:lineRule="auto"/>
        <w:ind w:firstLine="594" w:firstLineChars="198"/>
        <w:rPr>
          <w:rFonts w:eastAsia="方正仿宋简体"/>
          <w:sz w:val="30"/>
          <w:szCs w:val="30"/>
        </w:rPr>
      </w:pPr>
      <w:r>
        <w:rPr>
          <w:rFonts w:eastAsia="方正仿宋简体"/>
          <w:sz w:val="30"/>
          <w:szCs w:val="30"/>
        </w:rPr>
        <w:t>三、交易结算报告确认人</w:t>
      </w:r>
    </w:p>
    <w:p>
      <w:pPr>
        <w:adjustRightInd w:val="0"/>
        <w:snapToGrid w:val="0"/>
        <w:spacing w:line="360" w:lineRule="auto"/>
        <w:ind w:firstLine="594" w:firstLineChars="198"/>
        <w:rPr>
          <w:rFonts w:eastAsia="方正仿宋简体"/>
          <w:sz w:val="30"/>
          <w:szCs w:val="30"/>
        </w:rPr>
      </w:pPr>
      <w:r>
        <w:rPr>
          <w:rFonts w:eastAsia="方正仿宋简体"/>
          <w:sz w:val="30"/>
          <w:szCs w:val="30"/>
        </w:rPr>
        <w:t>代理权限：委托</w:t>
      </w:r>
      <w:r>
        <w:rPr>
          <w:rFonts w:eastAsia="方正仿宋简体"/>
          <w:sz w:val="30"/>
          <w:szCs w:val="30"/>
          <w:u w:val="single"/>
        </w:rPr>
        <w:t>　   　　　</w:t>
      </w:r>
      <w:r>
        <w:rPr>
          <w:rFonts w:eastAsia="方正仿宋简体"/>
          <w:sz w:val="30"/>
          <w:szCs w:val="30"/>
        </w:rPr>
        <w:t>作为本人/单位的委托代理人，代表本人/单位对交易结算结果进行确认。</w:t>
      </w:r>
    </w:p>
    <w:p>
      <w:pPr>
        <w:adjustRightInd w:val="0"/>
        <w:snapToGrid w:val="0"/>
        <w:spacing w:line="360" w:lineRule="auto"/>
        <w:ind w:firstLine="600" w:firstLineChars="200"/>
        <w:rPr>
          <w:rFonts w:eastAsia="方正仿宋简体"/>
          <w:sz w:val="30"/>
          <w:szCs w:val="30"/>
        </w:rPr>
      </w:pPr>
      <w:r>
        <w:rPr>
          <w:rFonts w:eastAsia="方正仿宋简体"/>
          <w:sz w:val="30"/>
          <w:szCs w:val="30"/>
        </w:rPr>
        <w:t>授权期限：</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委托代理人（签字留样）：</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证件类型：</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证件号码：</w:t>
      </w:r>
      <w:r>
        <w:rPr>
          <w:rFonts w:eastAsia="方正仿宋简体"/>
          <w:sz w:val="30"/>
          <w:szCs w:val="30"/>
          <w:u w:val="single"/>
        </w:rPr>
        <w:t xml:space="preserve">                         </w:t>
      </w:r>
    </w:p>
    <w:p>
      <w:pPr>
        <w:adjustRightInd w:val="0"/>
        <w:snapToGrid w:val="0"/>
        <w:spacing w:line="360" w:lineRule="auto"/>
        <w:rPr>
          <w:rFonts w:eastAsia="方正仿宋简体"/>
          <w:sz w:val="30"/>
          <w:szCs w:val="30"/>
        </w:rPr>
      </w:pPr>
    </w:p>
    <w:p>
      <w:pPr>
        <w:adjustRightInd w:val="0"/>
        <w:snapToGrid w:val="0"/>
        <w:spacing w:line="360" w:lineRule="auto"/>
        <w:rPr>
          <w:rFonts w:eastAsia="方正仿宋简体"/>
          <w:sz w:val="30"/>
          <w:szCs w:val="30"/>
        </w:rPr>
      </w:pPr>
    </w:p>
    <w:p>
      <w:pPr>
        <w:adjustRightInd w:val="0"/>
        <w:snapToGrid w:val="0"/>
        <w:spacing w:line="360" w:lineRule="auto"/>
        <w:ind w:firstLine="600" w:firstLineChars="200"/>
        <w:rPr>
          <w:rFonts w:eastAsia="方正仿宋简体"/>
          <w:sz w:val="30"/>
          <w:szCs w:val="30"/>
          <w:u w:val="single"/>
        </w:rPr>
      </w:pPr>
      <w:r>
        <w:rPr>
          <w:rFonts w:eastAsia="方正仿宋简体"/>
          <w:sz w:val="30"/>
          <w:szCs w:val="30"/>
        </w:rPr>
        <w:t>委托人：</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u w:val="single"/>
        </w:rPr>
      </w:pPr>
      <w:r>
        <w:rPr>
          <w:rFonts w:eastAsia="方正仿宋简体"/>
          <w:sz w:val="30"/>
          <w:szCs w:val="30"/>
        </w:rPr>
        <w:t>（签字或盖章）：</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（法定代表人签章）：</w:t>
      </w:r>
      <w:r>
        <w:rPr>
          <w:rFonts w:eastAsia="方正仿宋简体"/>
          <w:sz w:val="30"/>
          <w:szCs w:val="30"/>
          <w:u w:val="single"/>
        </w:rPr>
        <w:t xml:space="preserve">           </w:t>
      </w:r>
    </w:p>
    <w:p>
      <w:pPr>
        <w:adjustRightInd w:val="0"/>
        <w:snapToGrid w:val="0"/>
        <w:spacing w:line="360" w:lineRule="auto"/>
        <w:ind w:firstLine="600" w:firstLineChars="200"/>
        <w:rPr>
          <w:rFonts w:eastAsia="方正仿宋简体"/>
          <w:sz w:val="30"/>
          <w:szCs w:val="30"/>
        </w:rPr>
      </w:pPr>
      <w:r>
        <w:rPr>
          <w:rFonts w:eastAsia="方正仿宋简体"/>
          <w:sz w:val="30"/>
          <w:szCs w:val="30"/>
        </w:rPr>
        <w:t>时间：</w:t>
      </w:r>
      <w:r>
        <w:rPr>
          <w:rFonts w:eastAsia="方正仿宋简体"/>
          <w:sz w:val="30"/>
          <w:szCs w:val="30"/>
          <w:u w:val="single"/>
        </w:rPr>
        <w:t xml:space="preserve">         </w:t>
      </w:r>
      <w:r>
        <w:rPr>
          <w:rFonts w:eastAsia="方正仿宋简体"/>
          <w:sz w:val="30"/>
          <w:szCs w:val="30"/>
        </w:rPr>
        <w:t>年</w:t>
      </w:r>
      <w:r>
        <w:rPr>
          <w:rFonts w:eastAsia="方正仿宋简体"/>
          <w:sz w:val="30"/>
          <w:szCs w:val="30"/>
          <w:u w:val="single"/>
        </w:rPr>
        <w:t xml:space="preserve">     </w:t>
      </w:r>
      <w:r>
        <w:rPr>
          <w:rFonts w:eastAsia="方正仿宋简体"/>
          <w:sz w:val="30"/>
          <w:szCs w:val="30"/>
        </w:rPr>
        <w:t>月</w:t>
      </w:r>
      <w:r>
        <w:rPr>
          <w:rFonts w:eastAsia="方正仿宋简体"/>
          <w:sz w:val="30"/>
          <w:szCs w:val="30"/>
          <w:u w:val="single"/>
        </w:rPr>
        <w:t xml:space="preserve">     </w:t>
      </w:r>
      <w:r>
        <w:rPr>
          <w:rFonts w:eastAsia="方正仿宋简体"/>
          <w:sz w:val="30"/>
          <w:szCs w:val="30"/>
        </w:rPr>
        <w:t>日</w:t>
      </w:r>
    </w:p>
    <w:p>
      <w:pPr>
        <w:widowControl/>
        <w:spacing w:after="156" w:afterLines="50"/>
        <w:jc w:val="left"/>
        <w:rPr>
          <w:rFonts w:eastAsia="方正仿宋简体"/>
          <w:bCs/>
          <w:sz w:val="30"/>
          <w:szCs w:val="30"/>
        </w:rPr>
      </w:pPr>
      <w:r>
        <w:rPr>
          <w:rFonts w:eastAsia="方正仿宋简体"/>
          <w:sz w:val="28"/>
          <w:szCs w:val="28"/>
        </w:rPr>
        <w:br w:type="page"/>
      </w:r>
      <w:bookmarkStart w:id="408" w:name="_Toc25049541"/>
      <w:r>
        <w:rPr>
          <w:rFonts w:eastAsia="方正仿宋简体"/>
          <w:bCs/>
          <w:sz w:val="30"/>
          <w:szCs w:val="30"/>
        </w:rPr>
        <w:t>附件13：股票期权经纪业务准备情况表</w:t>
      </w:r>
      <w:bookmarkEnd w:id="408"/>
    </w:p>
    <w:tbl>
      <w:tblPr>
        <w:tblStyle w:val="34"/>
        <w:tblW w:w="8633" w:type="dxa"/>
        <w:tblInd w:w="0" w:type="dxa"/>
        <w:tblLayout w:type="autofit"/>
        <w:tblCellMar>
          <w:top w:w="0" w:type="dxa"/>
          <w:left w:w="108" w:type="dxa"/>
          <w:bottom w:w="0" w:type="dxa"/>
          <w:right w:w="108" w:type="dxa"/>
        </w:tblCellMar>
      </w:tblPr>
      <w:tblGrid>
        <w:gridCol w:w="449"/>
        <w:gridCol w:w="1360"/>
        <w:gridCol w:w="1437"/>
        <w:gridCol w:w="1445"/>
        <w:gridCol w:w="3942"/>
      </w:tblGrid>
      <w:tr>
        <w:tblPrEx>
          <w:tblCellMar>
            <w:top w:w="0" w:type="dxa"/>
            <w:left w:w="108" w:type="dxa"/>
            <w:bottom w:w="0" w:type="dxa"/>
            <w:right w:w="108" w:type="dxa"/>
          </w:tblCellMar>
        </w:tblPrEx>
        <w:trPr>
          <w:trHeight w:val="860" w:hRule="atLeast"/>
          <w:tblHeader/>
        </w:trPr>
        <w:tc>
          <w:tcPr>
            <w:tcW w:w="44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b/>
                <w:bCs/>
                <w:kern w:val="0"/>
                <w:szCs w:val="21"/>
              </w:rPr>
            </w:pPr>
            <w:r>
              <w:rPr>
                <w:rFonts w:eastAsia="方正仿宋简体"/>
                <w:b/>
                <w:bCs/>
                <w:kern w:val="0"/>
                <w:szCs w:val="21"/>
              </w:rPr>
              <w:t>序号</w:t>
            </w:r>
          </w:p>
        </w:tc>
        <w:tc>
          <w:tcPr>
            <w:tcW w:w="1360" w:type="dxa"/>
            <w:tcBorders>
              <w:top w:val="single" w:color="auto" w:sz="4" w:space="0"/>
              <w:left w:val="nil"/>
              <w:bottom w:val="single" w:color="auto" w:sz="4" w:space="0"/>
              <w:right w:val="single" w:color="auto" w:sz="4" w:space="0"/>
            </w:tcBorders>
            <w:shd w:val="clear" w:color="auto" w:fill="auto"/>
            <w:noWrap/>
            <w:vAlign w:val="center"/>
          </w:tcPr>
          <w:p>
            <w:pPr>
              <w:widowControl/>
              <w:spacing w:line="320" w:lineRule="exact"/>
              <w:jc w:val="center"/>
              <w:rPr>
                <w:rFonts w:eastAsia="方正仿宋简体"/>
                <w:b/>
                <w:bCs/>
                <w:kern w:val="0"/>
                <w:szCs w:val="21"/>
              </w:rPr>
            </w:pPr>
            <w:r>
              <w:rPr>
                <w:rFonts w:eastAsia="方正仿宋简体"/>
                <w:b/>
                <w:bCs/>
                <w:kern w:val="0"/>
                <w:szCs w:val="21"/>
              </w:rPr>
              <w:t>类别</w:t>
            </w:r>
          </w:p>
        </w:tc>
        <w:tc>
          <w:tcPr>
            <w:tcW w:w="1437" w:type="dxa"/>
            <w:tcBorders>
              <w:top w:val="single" w:color="auto" w:sz="4" w:space="0"/>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b/>
                <w:bCs/>
                <w:kern w:val="0"/>
                <w:szCs w:val="21"/>
              </w:rPr>
            </w:pPr>
            <w:r>
              <w:rPr>
                <w:rFonts w:eastAsia="方正仿宋简体"/>
                <w:b/>
                <w:bCs/>
                <w:kern w:val="0"/>
                <w:szCs w:val="21"/>
              </w:rPr>
              <w:t>项目</w:t>
            </w:r>
          </w:p>
        </w:tc>
        <w:tc>
          <w:tcPr>
            <w:tcW w:w="5387" w:type="dxa"/>
            <w:gridSpan w:val="2"/>
            <w:tcBorders>
              <w:top w:val="single" w:color="auto" w:sz="4" w:space="0"/>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b/>
                <w:bCs/>
                <w:kern w:val="0"/>
                <w:szCs w:val="21"/>
              </w:rPr>
            </w:pPr>
            <w:r>
              <w:rPr>
                <w:rFonts w:eastAsia="方正仿宋简体"/>
                <w:b/>
                <w:bCs/>
                <w:kern w:val="0"/>
                <w:szCs w:val="21"/>
              </w:rPr>
              <w:t>主要内容</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w:t>
            </w:r>
          </w:p>
        </w:tc>
        <w:tc>
          <w:tcPr>
            <w:tcW w:w="1360" w:type="dxa"/>
            <w:vMerge w:val="restart"/>
            <w:tcBorders>
              <w:top w:val="nil"/>
              <w:left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一、基本要求</w:t>
            </w: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（一）业务方案</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根据深交所最新股票期权业务规则，完成公司交易、结算、风控业务方案</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（二）运作团队</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设立独立的股票期权经纪业务部门</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确定了具体岗位和工作职责</w:t>
            </w:r>
          </w:p>
        </w:tc>
      </w:tr>
      <w:tr>
        <w:tblPrEx>
          <w:tblCellMar>
            <w:top w:w="0" w:type="dxa"/>
            <w:left w:w="108" w:type="dxa"/>
            <w:bottom w:w="0" w:type="dxa"/>
            <w:right w:w="108" w:type="dxa"/>
          </w:tblCellMar>
        </w:tblPrEx>
        <w:trPr>
          <w:trHeight w:val="72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交易运行、结算、风控、投资者教育、技术等岗位已经配备了相关人员；相关人员均已完成培训，熟悉期权业务知识</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5</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（三）制度流程</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根据最新制度，制定了期权业务经纪业务制度与流程</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6</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根据最新制度，制定了期权业务保证金管理方面的制度与流程</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7</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根据最新制度，制定了期权业务登记结算方面的制度与流程</w:t>
            </w:r>
          </w:p>
        </w:tc>
      </w:tr>
      <w:tr>
        <w:tblPrEx>
          <w:tblCellMar>
            <w:top w:w="0" w:type="dxa"/>
            <w:left w:w="108" w:type="dxa"/>
            <w:bottom w:w="0" w:type="dxa"/>
            <w:right w:w="108" w:type="dxa"/>
          </w:tblCellMar>
        </w:tblPrEx>
        <w:trPr>
          <w:trHeight w:val="230" w:hRule="atLeast"/>
        </w:trPr>
        <w:tc>
          <w:tcPr>
            <w:tcW w:w="449" w:type="dxa"/>
            <w:vMerge w:val="restart"/>
            <w:tcBorders>
              <w:top w:val="nil"/>
              <w:left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8</w:t>
            </w:r>
          </w:p>
        </w:tc>
        <w:tc>
          <w:tcPr>
            <w:tcW w:w="1360" w:type="dxa"/>
            <w:vMerge w:val="continue"/>
            <w:tcBorders>
              <w:left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根据最新制度，制定了期权业务风险控制方面的制度与流程</w:t>
            </w:r>
          </w:p>
        </w:tc>
      </w:tr>
      <w:tr>
        <w:tblPrEx>
          <w:tblCellMar>
            <w:top w:w="0" w:type="dxa"/>
            <w:left w:w="108" w:type="dxa"/>
            <w:bottom w:w="0" w:type="dxa"/>
            <w:right w:w="108" w:type="dxa"/>
          </w:tblCellMar>
        </w:tblPrEx>
        <w:trPr>
          <w:trHeight w:val="238" w:hRule="atLeast"/>
        </w:trPr>
        <w:tc>
          <w:tcPr>
            <w:tcW w:w="449" w:type="dxa"/>
            <w:vMerge w:val="continue"/>
            <w:tcBorders>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p>
        </w:tc>
        <w:tc>
          <w:tcPr>
            <w:tcW w:w="1360" w:type="dxa"/>
            <w:vMerge w:val="continue"/>
            <w:tcBorders>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eastAsia="方正仿宋简体"/>
                <w:kern w:val="0"/>
                <w:szCs w:val="21"/>
              </w:rPr>
            </w:pPr>
            <w:r>
              <w:rPr>
                <w:rFonts w:eastAsia="方正仿宋简体"/>
                <w:kern w:val="0"/>
                <w:szCs w:val="21"/>
              </w:rPr>
              <w:t>（四）业务合规</w:t>
            </w:r>
          </w:p>
        </w:tc>
        <w:tc>
          <w:tcPr>
            <w:tcW w:w="5387" w:type="dxa"/>
            <w:gridSpan w:val="2"/>
            <w:tcBorders>
              <w:top w:val="single" w:color="auto" w:sz="4" w:space="0"/>
              <w:left w:val="nil"/>
              <w:bottom w:val="single" w:color="auto" w:sz="4" w:space="0"/>
              <w:right w:val="single" w:color="auto" w:sz="4" w:space="0"/>
            </w:tcBorders>
            <w:shd w:val="clear" w:color="auto" w:fill="auto"/>
            <w:vAlign w:val="center"/>
          </w:tcPr>
          <w:p>
            <w:pPr>
              <w:spacing w:line="320" w:lineRule="exact"/>
              <w:rPr>
                <w:rFonts w:eastAsia="方正仿宋简体"/>
                <w:kern w:val="0"/>
                <w:szCs w:val="21"/>
              </w:rPr>
            </w:pPr>
            <w:r>
              <w:rPr>
                <w:rFonts w:eastAsia="方正仿宋简体"/>
                <w:kern w:val="0"/>
                <w:szCs w:val="21"/>
              </w:rPr>
              <w:t>股票期权业务未收到自律监管措施、纪律处分，或收到自律监管措施、纪律处分的事项已完成整改</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9</w:t>
            </w:r>
          </w:p>
        </w:tc>
        <w:tc>
          <w:tcPr>
            <w:tcW w:w="1360"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二、技术</w:t>
            </w: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（一）技术规划</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制定期权系统的技术规划，包括系统的建设目标、容量及可靠性要求</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10</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（二）技术方案</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制定详细的期权技术系统方案，包括交易、结算、行情、风控等方面</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11</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明确技术备份、应急预案等</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（三）系统测试</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做好参与全网测试和演练的组织准备工作</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具备参与全网测试和演练的技术条件</w:t>
            </w:r>
          </w:p>
        </w:tc>
      </w:tr>
      <w:tr>
        <w:tblPrEx>
          <w:tblCellMar>
            <w:top w:w="0" w:type="dxa"/>
            <w:left w:w="108" w:type="dxa"/>
            <w:bottom w:w="0" w:type="dxa"/>
            <w:right w:w="108" w:type="dxa"/>
          </w:tblCellMar>
        </w:tblPrEx>
        <w:trPr>
          <w:trHeight w:val="73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14</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（四）系统部署</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完成期权交易及相关系统的生产环境软、硬件部署</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15</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期权交易系统运维人员到位</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16</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在技术系统部署方面，期权交易技术系统与现货交易系统保持隔离</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17</w:t>
            </w:r>
          </w:p>
        </w:tc>
        <w:tc>
          <w:tcPr>
            <w:tcW w:w="1360"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三、交易</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（一）交易指令</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支持买入开仓交易指令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18</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支持买入平仓交易指令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19</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支持卖出平仓交易指令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20</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支持卖出开仓交易指令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21</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支持备兑开仓交易指令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22</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支持备兑平仓交易指令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23</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（二）非交易指令</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支持行权指令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24</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支持撤销行权指令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25</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支持行权指令组合申报相关指令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26</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支持组合策略保证金相关指令</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27</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（三）交易与行情</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支持客户通过周边系统进行交易</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28</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满足客户报单需要的基本行情显示</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29</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（四）前端控制</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支持对客户的资金进行前端控制</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30</w:t>
            </w:r>
          </w:p>
        </w:tc>
        <w:tc>
          <w:tcPr>
            <w:tcW w:w="1360" w:type="dxa"/>
            <w:vMerge w:val="continue"/>
            <w:tcBorders>
              <w:top w:val="nil"/>
              <w:left w:val="single" w:color="auto" w:sz="4" w:space="0"/>
              <w:bottom w:val="single" w:color="000000"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支持对客户的持仓进行前端控制</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31</w:t>
            </w:r>
          </w:p>
        </w:tc>
        <w:tc>
          <w:tcPr>
            <w:tcW w:w="1360" w:type="dxa"/>
            <w:vMerge w:val="restart"/>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四、结算</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（一）结算</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支持盘后单向持仓对冲</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支持日常清算</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（二）行权</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支持到期日行权处理流程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34</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支持被指派行权处理流程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35</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支持交割日行权交收流程</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36</w:t>
            </w:r>
          </w:p>
        </w:tc>
        <w:tc>
          <w:tcPr>
            <w:tcW w:w="136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五、风险控制</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（一）制度与组织架构</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建立清晰、相对独立的期权业务公司风险控制组织架构</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37</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明确各级风控执行部门的职能和责任</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38</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制定了与现货适当的隔离机制，保证现货交易安全</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39</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建立期权业务逐日盯市制度</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40</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建立期权业务预警制度</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41</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建立强行平仓制度</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建立大户报告制度</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（二）交易前段风险防范</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对单个客户持仓限额进行前段控制</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44</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（三）风险处置</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制定强行平仓业务流程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45</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支持对客户进行强行平仓</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46</w:t>
            </w:r>
          </w:p>
        </w:tc>
        <w:tc>
          <w:tcPr>
            <w:tcW w:w="136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六、客户管理</w:t>
            </w:r>
          </w:p>
        </w:tc>
        <w:tc>
          <w:tcPr>
            <w:tcW w:w="1437" w:type="dxa"/>
            <w:tcBorders>
              <w:top w:val="nil"/>
              <w:left w:val="nil"/>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（一）业务受理</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制定了受理客户开展期权交易的业务流程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47</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（二）账户管理</w:t>
            </w: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支持客户开立衍生品资金账户</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48</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支持客户开立衍生品合约账户</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49</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客户在期权经纪业务部门开立的衍生品资金账户应与股票资金账户分立</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50</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支持账户的业务权限管理</w:t>
            </w:r>
          </w:p>
        </w:tc>
      </w:tr>
      <w:tr>
        <w:tblPrEx>
          <w:tblCellMar>
            <w:top w:w="0" w:type="dxa"/>
            <w:left w:w="108" w:type="dxa"/>
            <w:bottom w:w="0" w:type="dxa"/>
            <w:right w:w="108" w:type="dxa"/>
          </w:tblCellMar>
        </w:tblPrEx>
        <w:trPr>
          <w:trHeight w:val="2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51</w:t>
            </w:r>
          </w:p>
        </w:tc>
        <w:tc>
          <w:tcPr>
            <w:tcW w:w="1360"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七、投资者教育</w:t>
            </w:r>
          </w:p>
        </w:tc>
        <w:tc>
          <w:tcPr>
            <w:tcW w:w="1437" w:type="dxa"/>
            <w:vMerge w:val="restart"/>
            <w:tcBorders>
              <w:top w:val="nil"/>
              <w:left w:val="single" w:color="auto" w:sz="4" w:space="0"/>
              <w:bottom w:val="single" w:color="auto" w:sz="4" w:space="0"/>
              <w:right w:val="single" w:color="auto" w:sz="4" w:space="0"/>
            </w:tcBorders>
            <w:shd w:val="clear" w:color="auto" w:fill="auto"/>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建立了股票期权投资者持续培育工作机制</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52</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开展了投资者培训与推广工作，储备了适合参与期权交易的客户</w:t>
            </w:r>
          </w:p>
        </w:tc>
      </w:tr>
      <w:tr>
        <w:tblPrEx>
          <w:tblCellMar>
            <w:top w:w="0" w:type="dxa"/>
            <w:left w:w="108" w:type="dxa"/>
            <w:bottom w:w="0" w:type="dxa"/>
            <w:right w:w="108" w:type="dxa"/>
          </w:tblCellMar>
        </w:tblPrEx>
        <w:trPr>
          <w:trHeight w:val="480" w:hRule="atLeast"/>
        </w:trPr>
        <w:tc>
          <w:tcPr>
            <w:tcW w:w="449" w:type="dxa"/>
            <w:tcBorders>
              <w:top w:val="nil"/>
              <w:left w:val="single" w:color="auto" w:sz="4" w:space="0"/>
              <w:bottom w:val="single" w:color="auto" w:sz="4" w:space="0"/>
              <w:right w:val="single" w:color="auto" w:sz="4" w:space="0"/>
            </w:tcBorders>
            <w:shd w:val="clear" w:color="auto" w:fill="auto"/>
            <w:noWrap/>
            <w:vAlign w:val="center"/>
          </w:tcPr>
          <w:p>
            <w:pPr>
              <w:widowControl/>
              <w:spacing w:line="320" w:lineRule="exact"/>
              <w:jc w:val="center"/>
              <w:rPr>
                <w:rFonts w:eastAsia="方正仿宋简体"/>
                <w:kern w:val="0"/>
                <w:szCs w:val="21"/>
              </w:rPr>
            </w:pPr>
            <w:r>
              <w:rPr>
                <w:rFonts w:eastAsia="方正仿宋简体"/>
                <w:kern w:val="0"/>
                <w:szCs w:val="21"/>
              </w:rPr>
              <w:t>53</w:t>
            </w:r>
          </w:p>
        </w:tc>
        <w:tc>
          <w:tcPr>
            <w:tcW w:w="1360"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1437" w:type="dxa"/>
            <w:vMerge w:val="continue"/>
            <w:tcBorders>
              <w:top w:val="nil"/>
              <w:left w:val="single" w:color="auto" w:sz="4" w:space="0"/>
              <w:bottom w:val="single" w:color="auto" w:sz="4" w:space="0"/>
              <w:right w:val="single" w:color="auto" w:sz="4" w:space="0"/>
            </w:tcBorders>
            <w:vAlign w:val="center"/>
          </w:tcPr>
          <w:p>
            <w:pPr>
              <w:widowControl/>
              <w:spacing w:line="320" w:lineRule="exact"/>
              <w:jc w:val="center"/>
              <w:rPr>
                <w:rFonts w:eastAsia="方正仿宋简体"/>
                <w:kern w:val="0"/>
                <w:szCs w:val="21"/>
              </w:rPr>
            </w:pPr>
          </w:p>
        </w:tc>
        <w:tc>
          <w:tcPr>
            <w:tcW w:w="5387" w:type="dxa"/>
            <w:gridSpan w:val="2"/>
            <w:tcBorders>
              <w:top w:val="nil"/>
              <w:left w:val="nil"/>
              <w:bottom w:val="single" w:color="auto" w:sz="4" w:space="0"/>
              <w:right w:val="single" w:color="auto" w:sz="4" w:space="0"/>
            </w:tcBorders>
            <w:shd w:val="clear" w:color="auto" w:fill="auto"/>
            <w:vAlign w:val="center"/>
          </w:tcPr>
          <w:p>
            <w:pPr>
              <w:widowControl/>
              <w:spacing w:line="320" w:lineRule="exact"/>
              <w:rPr>
                <w:rFonts w:eastAsia="方正仿宋简体"/>
                <w:kern w:val="0"/>
                <w:szCs w:val="21"/>
              </w:rPr>
            </w:pPr>
            <w:r>
              <w:rPr>
                <w:rFonts w:eastAsia="方正仿宋简体"/>
                <w:kern w:val="0"/>
                <w:szCs w:val="21"/>
              </w:rPr>
              <w:t>完成了规定数量、基本满足参与期权交易条件的投资者培育（保留相关记录备查）</w:t>
            </w:r>
          </w:p>
        </w:tc>
      </w:tr>
      <w:tr>
        <w:tblPrEx>
          <w:tblCellMar>
            <w:top w:w="0" w:type="dxa"/>
            <w:left w:w="108" w:type="dxa"/>
            <w:bottom w:w="0" w:type="dxa"/>
            <w:right w:w="108" w:type="dxa"/>
          </w:tblCellMar>
        </w:tblPrEx>
        <w:trPr>
          <w:trHeight w:val="548" w:hRule="atLeast"/>
        </w:trPr>
        <w:tc>
          <w:tcPr>
            <w:tcW w:w="8633" w:type="dxa"/>
            <w:gridSpan w:val="5"/>
            <w:tcBorders>
              <w:top w:val="single" w:color="auto" w:sz="4" w:space="0"/>
              <w:left w:val="single" w:color="auto" w:sz="4" w:space="0"/>
              <w:right w:val="single" w:color="auto" w:sz="4" w:space="0"/>
            </w:tcBorders>
            <w:shd w:val="clear" w:color="auto" w:fill="auto"/>
            <w:vAlign w:val="center"/>
          </w:tcPr>
          <w:p>
            <w:pPr>
              <w:widowControl/>
              <w:spacing w:line="320" w:lineRule="exact"/>
              <w:ind w:firstLine="420" w:firstLineChars="200"/>
              <w:jc w:val="left"/>
              <w:rPr>
                <w:rFonts w:eastAsia="方正仿宋简体"/>
                <w:kern w:val="0"/>
                <w:szCs w:val="21"/>
              </w:rPr>
            </w:pPr>
            <w:r>
              <w:rPr>
                <w:rFonts w:eastAsia="方正仿宋简体"/>
                <w:kern w:val="0"/>
                <w:szCs w:val="21"/>
              </w:rPr>
              <w:t>本公司承诺，上述项目均已就绪。</w:t>
            </w:r>
          </w:p>
        </w:tc>
      </w:tr>
      <w:tr>
        <w:tblPrEx>
          <w:tblCellMar>
            <w:top w:w="0" w:type="dxa"/>
            <w:left w:w="108" w:type="dxa"/>
            <w:bottom w:w="0" w:type="dxa"/>
            <w:right w:w="108" w:type="dxa"/>
          </w:tblCellMar>
        </w:tblPrEx>
        <w:trPr>
          <w:trHeight w:val="1140" w:hRule="atLeast"/>
        </w:trPr>
        <w:tc>
          <w:tcPr>
            <w:tcW w:w="4691" w:type="dxa"/>
            <w:gridSpan w:val="4"/>
            <w:tcBorders>
              <w:left w:val="single" w:color="auto" w:sz="4" w:space="0"/>
              <w:bottom w:val="single" w:color="auto" w:sz="4" w:space="0"/>
            </w:tcBorders>
            <w:shd w:val="clear" w:color="auto" w:fill="auto"/>
            <w:vAlign w:val="center"/>
          </w:tcPr>
          <w:p>
            <w:pPr>
              <w:widowControl/>
              <w:spacing w:line="320" w:lineRule="exact"/>
              <w:jc w:val="center"/>
              <w:rPr>
                <w:rFonts w:eastAsia="方正仿宋简体"/>
                <w:kern w:val="0"/>
                <w:szCs w:val="21"/>
              </w:rPr>
            </w:pPr>
            <w:r>
              <w:rPr>
                <w:rFonts w:eastAsia="方正仿宋简体"/>
                <w:kern w:val="0"/>
                <w:szCs w:val="21"/>
              </w:rPr>
              <w:t>分管股票期权经纪业务</w:t>
            </w:r>
          </w:p>
          <w:p>
            <w:pPr>
              <w:widowControl/>
              <w:spacing w:line="320" w:lineRule="exact"/>
              <w:jc w:val="center"/>
              <w:rPr>
                <w:rFonts w:eastAsia="方正仿宋简体"/>
                <w:kern w:val="0"/>
                <w:szCs w:val="21"/>
              </w:rPr>
            </w:pPr>
            <w:r>
              <w:rPr>
                <w:rFonts w:eastAsia="方正仿宋简体"/>
                <w:kern w:val="0"/>
                <w:szCs w:val="21"/>
              </w:rPr>
              <w:t>高级管理人员签字:</w:t>
            </w:r>
          </w:p>
        </w:tc>
        <w:tc>
          <w:tcPr>
            <w:tcW w:w="3942" w:type="dxa"/>
            <w:tcBorders>
              <w:bottom w:val="single" w:color="auto" w:sz="4" w:space="0"/>
              <w:right w:val="single" w:color="auto" w:sz="4" w:space="0"/>
            </w:tcBorders>
            <w:shd w:val="clear" w:color="auto" w:fill="auto"/>
            <w:vAlign w:val="center"/>
          </w:tcPr>
          <w:p>
            <w:pPr>
              <w:widowControl/>
              <w:spacing w:line="320" w:lineRule="exact"/>
              <w:ind w:firstLine="420" w:firstLineChars="200"/>
              <w:jc w:val="left"/>
              <w:rPr>
                <w:rFonts w:eastAsia="方正仿宋简体"/>
                <w:kern w:val="0"/>
                <w:szCs w:val="21"/>
              </w:rPr>
            </w:pPr>
            <w:r>
              <w:rPr>
                <w:rFonts w:eastAsia="方正仿宋简体"/>
                <w:kern w:val="0"/>
                <w:szCs w:val="21"/>
              </w:rPr>
              <w:t>公司公章</w:t>
            </w:r>
            <w:r>
              <w:rPr>
                <w:rFonts w:eastAsia="方正仿宋简体"/>
                <w:kern w:val="0"/>
                <w:szCs w:val="21"/>
              </w:rPr>
              <w:br w:type="textWrapping"/>
            </w:r>
            <w:r>
              <w:rPr>
                <w:rFonts w:eastAsia="方正仿宋简体"/>
                <w:kern w:val="0"/>
                <w:szCs w:val="21"/>
              </w:rPr>
              <w:br w:type="textWrapping"/>
            </w:r>
            <w:r>
              <w:rPr>
                <w:rFonts w:eastAsia="方正仿宋简体"/>
                <w:kern w:val="0"/>
                <w:szCs w:val="21"/>
              </w:rPr>
              <w:t xml:space="preserve">    日期：</w:t>
            </w:r>
          </w:p>
        </w:tc>
      </w:tr>
    </w:tbl>
    <w:p>
      <w:pPr>
        <w:spacing w:line="560" w:lineRule="exact"/>
        <w:ind w:left="-420" w:leftChars="-200"/>
        <w:jc w:val="center"/>
        <w:rPr>
          <w:rFonts w:eastAsia="方正仿宋简体"/>
          <w:b/>
          <w:sz w:val="28"/>
          <w:szCs w:val="28"/>
        </w:rPr>
      </w:pPr>
    </w:p>
    <w:sectPr>
      <w:footerReference r:id="rId6" w:type="default"/>
      <w:footerReference r:id="rId7" w:type="even"/>
      <w:pgSz w:w="11907" w:h="16840"/>
      <w:pgMar w:top="2098" w:right="1588" w:bottom="1985" w:left="1701" w:header="0" w:footer="1418"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楷体简体">
    <w:altName w:val="方正楷体_GBK"/>
    <w:panose1 w:val="02010601030101010101"/>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方正仿宋简体">
    <w:altName w:val="方正仿宋_GBK"/>
    <w:panose1 w:val="02010601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tabs>
        <w:tab w:val="center" w:pos="4153"/>
        <w:tab w:val="right" w:pos="8306"/>
      </w:tabs>
      <w:snapToGrid w:val="0"/>
      <w:jc w:val="left"/>
      <w:rPr>
        <w:rFonts w:ascii="宋体" w:hAnsi="宋体"/>
        <w:sz w:val="22"/>
        <w:szCs w:val="22"/>
      </w:rPr>
    </w:pPr>
    <w:r>
      <w:rPr>
        <w:rFonts w:hint="eastAsia" w:ascii="宋体" w:hAnsi="宋体"/>
        <w:sz w:val="22"/>
        <w:szCs w:val="22"/>
      </w:rPr>
      <w:t>— 4 —</w:t>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sz w:val="18"/>
      </w:rPr>
      <w:pict>
        <v:shape id="_x0000_s2049" o:spid="_x0000_s2049"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tabs>
                    <w:tab w:val="center" w:pos="4153"/>
                    <w:tab w:val="right" w:pos="8306"/>
                  </w:tabs>
                  <w:snapToGrid w:val="0"/>
                  <w:jc w:val="left"/>
                  <w:rPr>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w:instrText>
                </w:r>
                <w:r>
                  <w:rPr>
                    <w:rFonts w:ascii="宋体" w:hAnsi="宋体"/>
                    <w:sz w:val="28"/>
                    <w:szCs w:val="28"/>
                  </w:rPr>
                  <w:fldChar w:fldCharType="separate"/>
                </w:r>
                <w:r>
                  <w:rPr>
                    <w:rFonts w:ascii="宋体" w:hAnsi="宋体"/>
                    <w:sz w:val="28"/>
                    <w:szCs w:val="28"/>
                  </w:rPr>
                  <w:t>57</w:t>
                </w:r>
                <w:r>
                  <w:rPr>
                    <w:rFonts w:ascii="宋体" w:hAnsi="宋体"/>
                    <w:sz w:val="28"/>
                    <w:szCs w:val="28"/>
                  </w:rPr>
                  <w:fldChar w:fldCharType="end"/>
                </w:r>
                <w:r>
                  <w:rPr>
                    <w:rFonts w:hint="eastAsia" w:ascii="宋体" w:hAnsi="宋体"/>
                    <w:sz w:val="28"/>
                    <w:szCs w:val="28"/>
                  </w:rPr>
                  <w:t xml:space="preserve">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right="360" w:firstLine="360"/>
    </w:pPr>
    <w:r>
      <w:rPr>
        <w:sz w:val="18"/>
      </w:rPr>
      <w:pict>
        <v:shape id="_x0000_s2050" o:spid="_x0000_s2050"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tabs>
                    <w:tab w:val="center" w:pos="4153"/>
                    <w:tab w:val="right" w:pos="8306"/>
                  </w:tabs>
                  <w:snapToGrid w:val="0"/>
                  <w:jc w:val="left"/>
                  <w:rPr>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PAGE  </w:instrText>
                </w:r>
                <w:r>
                  <w:rPr>
                    <w:rFonts w:ascii="宋体" w:hAnsi="宋体"/>
                    <w:sz w:val="28"/>
                    <w:szCs w:val="28"/>
                  </w:rPr>
                  <w:fldChar w:fldCharType="separate"/>
                </w:r>
                <w:r>
                  <w:rPr>
                    <w:rFonts w:ascii="宋体" w:hAnsi="宋体"/>
                    <w:sz w:val="28"/>
                    <w:szCs w:val="28"/>
                  </w:rPr>
                  <w:t>56</w:t>
                </w:r>
                <w:r>
                  <w:rPr>
                    <w:rFonts w:ascii="宋体" w:hAnsi="宋体"/>
                    <w:sz w:val="28"/>
                    <w:szCs w:val="28"/>
                  </w:rPr>
                  <w:fldChar w:fldCharType="end"/>
                </w:r>
                <w:r>
                  <w:rPr>
                    <w:rFonts w:hint="eastAsia" w:ascii="宋体" w:hAnsi="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31406"/>
    <w:multiLevelType w:val="multilevel"/>
    <w:tmpl w:val="00131406"/>
    <w:lvl w:ilvl="0" w:tentative="0">
      <w:start w:val="1"/>
      <w:numFmt w:val="decimal"/>
      <w:suff w:val="space"/>
      <w:lvlText w:val="（%1）"/>
      <w:lvlJc w:val="left"/>
      <w:pPr>
        <w:ind w:left="0" w:firstLine="126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
    <w:nsid w:val="021645E8"/>
    <w:multiLevelType w:val="multilevel"/>
    <w:tmpl w:val="021645E8"/>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7573437"/>
    <w:multiLevelType w:val="multilevel"/>
    <w:tmpl w:val="07573437"/>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7993030"/>
    <w:multiLevelType w:val="multilevel"/>
    <w:tmpl w:val="07993030"/>
    <w:lvl w:ilvl="0" w:tentative="0">
      <w:start w:val="1"/>
      <w:numFmt w:val="decimal"/>
      <w:suff w:val="nothing"/>
      <w:lvlText w:val="%1．"/>
      <w:lvlJc w:val="left"/>
      <w:pPr>
        <w:ind w:left="0" w:firstLine="709"/>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4">
    <w:nsid w:val="07C41E76"/>
    <w:multiLevelType w:val="multilevel"/>
    <w:tmpl w:val="07C41E76"/>
    <w:lvl w:ilvl="0" w:tentative="0">
      <w:start w:val="15"/>
      <w:numFmt w:val="chineseCountingThousand"/>
      <w:suff w:val="space"/>
      <w:lvlText w:val="第%1章 "/>
      <w:lvlJc w:val="left"/>
      <w:pPr>
        <w:ind w:left="420" w:hanging="420"/>
      </w:pPr>
      <w:rPr>
        <w:rFonts w:hint="eastAsia" w:ascii="黑体" w:hAnsi="黑体" w:eastAsia="黑体"/>
        <w:b w:val="0"/>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9FA7836"/>
    <w:multiLevelType w:val="multilevel"/>
    <w:tmpl w:val="09FA7836"/>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6">
    <w:nsid w:val="0A737E14"/>
    <w:multiLevelType w:val="multilevel"/>
    <w:tmpl w:val="0A737E14"/>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7">
    <w:nsid w:val="0B8657EB"/>
    <w:multiLevelType w:val="multilevel"/>
    <w:tmpl w:val="0B8657EB"/>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8">
    <w:nsid w:val="0C071396"/>
    <w:multiLevelType w:val="multilevel"/>
    <w:tmpl w:val="0C071396"/>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9">
    <w:nsid w:val="0D5E7FAF"/>
    <w:multiLevelType w:val="multilevel"/>
    <w:tmpl w:val="0D5E7FAF"/>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0">
    <w:nsid w:val="0EC02109"/>
    <w:multiLevelType w:val="multilevel"/>
    <w:tmpl w:val="0EC02109"/>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1">
    <w:nsid w:val="0F347FE7"/>
    <w:multiLevelType w:val="multilevel"/>
    <w:tmpl w:val="0F347FE7"/>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2">
    <w:nsid w:val="10500A67"/>
    <w:multiLevelType w:val="multilevel"/>
    <w:tmpl w:val="10500A67"/>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19C42D2"/>
    <w:multiLevelType w:val="multilevel"/>
    <w:tmpl w:val="119C42D2"/>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1B75F50"/>
    <w:multiLevelType w:val="multilevel"/>
    <w:tmpl w:val="11B75F50"/>
    <w:lvl w:ilvl="0" w:tentative="0">
      <w:start w:val="1"/>
      <w:numFmt w:val="decimal"/>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5">
    <w:nsid w:val="12DF19B6"/>
    <w:multiLevelType w:val="multilevel"/>
    <w:tmpl w:val="12DF19B6"/>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6">
    <w:nsid w:val="135F607E"/>
    <w:multiLevelType w:val="multilevel"/>
    <w:tmpl w:val="135F607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4BA50CE"/>
    <w:multiLevelType w:val="multilevel"/>
    <w:tmpl w:val="14BA50CE"/>
    <w:lvl w:ilvl="0" w:tentative="0">
      <w:start w:val="1"/>
      <w:numFmt w:val="decimal"/>
      <w:suff w:val="space"/>
      <w:lvlText w:val="%1."/>
      <w:lvlJc w:val="left"/>
      <w:pPr>
        <w:ind w:left="10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suff w:val="space"/>
      <w:lvlText w:val="%4．"/>
      <w:lvlJc w:val="left"/>
      <w:pPr>
        <w:ind w:left="1271" w:hanging="420"/>
      </w:pPr>
      <w:rPr>
        <w:rFonts w:hint="eastAsia"/>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55F2366"/>
    <w:multiLevelType w:val="multilevel"/>
    <w:tmpl w:val="155F2366"/>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68E03A1"/>
    <w:multiLevelType w:val="multilevel"/>
    <w:tmpl w:val="168E03A1"/>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20">
    <w:nsid w:val="16AB4752"/>
    <w:multiLevelType w:val="multilevel"/>
    <w:tmpl w:val="16AB4752"/>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21">
    <w:nsid w:val="18B64146"/>
    <w:multiLevelType w:val="multilevel"/>
    <w:tmpl w:val="18B64146"/>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8C8716E"/>
    <w:multiLevelType w:val="multilevel"/>
    <w:tmpl w:val="18C8716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9835950"/>
    <w:multiLevelType w:val="multilevel"/>
    <w:tmpl w:val="19835950"/>
    <w:lvl w:ilvl="0" w:tentative="0">
      <w:start w:val="1"/>
      <w:numFmt w:val="decimal"/>
      <w:suff w:val="space"/>
      <w:lvlText w:val="%1．"/>
      <w:lvlJc w:val="left"/>
      <w:pPr>
        <w:ind w:left="168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A584DF2"/>
    <w:multiLevelType w:val="multilevel"/>
    <w:tmpl w:val="1A584DF2"/>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25">
    <w:nsid w:val="1A9624B5"/>
    <w:multiLevelType w:val="multilevel"/>
    <w:tmpl w:val="1A9624B5"/>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26">
    <w:nsid w:val="1C620E5B"/>
    <w:multiLevelType w:val="multilevel"/>
    <w:tmpl w:val="1C620E5B"/>
    <w:lvl w:ilvl="0" w:tentative="0">
      <w:start w:val="1"/>
      <w:numFmt w:val="chineseCountingThousand"/>
      <w:lvlText w:val="第%1条"/>
      <w:lvlJc w:val="left"/>
      <w:pPr>
        <w:ind w:left="420" w:hanging="420"/>
      </w:pPr>
      <w:rPr>
        <w:rFonts w:hint="eastAsia" w:ascii="方正仿宋简体" w:hAnsi="仿宋" w:eastAsia="方正仿宋简体"/>
        <w:b/>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1ED57631"/>
    <w:multiLevelType w:val="multilevel"/>
    <w:tmpl w:val="1ED57631"/>
    <w:lvl w:ilvl="0" w:tentative="0">
      <w:start w:val="1"/>
      <w:numFmt w:val="bullet"/>
      <w:lvlText w:val="□"/>
      <w:lvlJc w:val="left"/>
      <w:pPr>
        <w:ind w:left="360" w:hanging="360"/>
      </w:pPr>
      <w:rPr>
        <w:rFonts w:hint="eastAsia" w:ascii="仿宋_GB2312" w:hAnsi="Times New Roman" w:eastAsia="仿宋_GB2312"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8">
    <w:nsid w:val="21271089"/>
    <w:multiLevelType w:val="multilevel"/>
    <w:tmpl w:val="21271089"/>
    <w:lvl w:ilvl="0" w:tentative="0">
      <w:start w:val="1"/>
      <w:numFmt w:val="decimal"/>
      <w:lvlText w:val="%1、"/>
      <w:lvlJc w:val="left"/>
      <w:pPr>
        <w:tabs>
          <w:tab w:val="left" w:pos="720"/>
        </w:tabs>
        <w:ind w:left="720" w:hanging="720"/>
      </w:pPr>
      <w:rPr>
        <w:rFonts w:hint="eastAsia"/>
      </w:rPr>
    </w:lvl>
    <w:lvl w:ilvl="1" w:tentative="0">
      <w:start w:val="1"/>
      <w:numFmt w:val="japaneseCounting"/>
      <w:lvlText w:val="%2、"/>
      <w:lvlJc w:val="left"/>
      <w:pPr>
        <w:tabs>
          <w:tab w:val="left" w:pos="1140"/>
        </w:tabs>
        <w:ind w:left="1140" w:hanging="72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57"/>
      <w:lvlText w:val="%9."/>
      <w:lvlJc w:val="right"/>
      <w:pPr>
        <w:tabs>
          <w:tab w:val="left" w:pos="3780"/>
        </w:tabs>
        <w:ind w:left="3780" w:hanging="420"/>
      </w:pPr>
    </w:lvl>
  </w:abstractNum>
  <w:abstractNum w:abstractNumId="29">
    <w:nsid w:val="237D36D0"/>
    <w:multiLevelType w:val="multilevel"/>
    <w:tmpl w:val="237D36D0"/>
    <w:lvl w:ilvl="0" w:tentative="0">
      <w:start w:val="1"/>
      <w:numFmt w:val="decimal"/>
      <w:suff w:val="space"/>
      <w:lvlText w:val="%1．"/>
      <w:lvlJc w:val="left"/>
      <w:pPr>
        <w:ind w:left="0" w:firstLine="709"/>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30">
    <w:nsid w:val="25903F41"/>
    <w:multiLevelType w:val="multilevel"/>
    <w:tmpl w:val="25903F41"/>
    <w:lvl w:ilvl="0" w:tentative="0">
      <w:start w:val="1"/>
      <w:numFmt w:val="decimal"/>
      <w:suff w:val="space"/>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276D4398"/>
    <w:multiLevelType w:val="multilevel"/>
    <w:tmpl w:val="276D4398"/>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281A3897"/>
    <w:multiLevelType w:val="multilevel"/>
    <w:tmpl w:val="281A3897"/>
    <w:lvl w:ilvl="0" w:tentative="0">
      <w:start w:val="1"/>
      <w:numFmt w:val="japaneseCounting"/>
      <w:lvlText w:val="第%1章"/>
      <w:lvlJc w:val="left"/>
      <w:pPr>
        <w:ind w:left="720" w:hanging="360"/>
      </w:pPr>
      <w:rPr>
        <w:rFonts w:hint="default" w:ascii="黑体" w:hAnsi="黑体" w:eastAsia="黑体"/>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297C282D"/>
    <w:multiLevelType w:val="multilevel"/>
    <w:tmpl w:val="297C282D"/>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34">
    <w:nsid w:val="2C1018C7"/>
    <w:multiLevelType w:val="multilevel"/>
    <w:tmpl w:val="2C1018C7"/>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2EBF7FCE"/>
    <w:multiLevelType w:val="multilevel"/>
    <w:tmpl w:val="2EBF7FCE"/>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36">
    <w:nsid w:val="2F0F1C73"/>
    <w:multiLevelType w:val="multilevel"/>
    <w:tmpl w:val="2F0F1C73"/>
    <w:lvl w:ilvl="0" w:tentative="0">
      <w:start w:val="1"/>
      <w:numFmt w:val="decimal"/>
      <w:lvlText w:val="%1."/>
      <w:lvlJc w:val="left"/>
      <w:pPr>
        <w:ind w:left="0" w:firstLine="126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37">
    <w:nsid w:val="306B485A"/>
    <w:multiLevelType w:val="multilevel"/>
    <w:tmpl w:val="306B485A"/>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31321275"/>
    <w:multiLevelType w:val="multilevel"/>
    <w:tmpl w:val="31321275"/>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324F43F5"/>
    <w:multiLevelType w:val="multilevel"/>
    <w:tmpl w:val="324F43F5"/>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69" w:hanging="78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40">
    <w:nsid w:val="3299633A"/>
    <w:multiLevelType w:val="multilevel"/>
    <w:tmpl w:val="3299633A"/>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41">
    <w:nsid w:val="32AB1563"/>
    <w:multiLevelType w:val="multilevel"/>
    <w:tmpl w:val="32AB1563"/>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2C73D66"/>
    <w:multiLevelType w:val="multilevel"/>
    <w:tmpl w:val="32C73D66"/>
    <w:lvl w:ilvl="0" w:tentative="0">
      <w:start w:val="1"/>
      <w:numFmt w:val="decimal"/>
      <w:suff w:val="nothing"/>
      <w:lvlText w:val="%1．"/>
      <w:lvlJc w:val="left"/>
      <w:pPr>
        <w:ind w:left="551" w:firstLine="709"/>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43">
    <w:nsid w:val="33A4575C"/>
    <w:multiLevelType w:val="multilevel"/>
    <w:tmpl w:val="33A4575C"/>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44">
    <w:nsid w:val="34597B4B"/>
    <w:multiLevelType w:val="multilevel"/>
    <w:tmpl w:val="34597B4B"/>
    <w:lvl w:ilvl="0" w:tentative="0">
      <w:start w:val="1"/>
      <w:numFmt w:val="decimal"/>
      <w:lvlText w:val="%1."/>
      <w:lvlJc w:val="left"/>
      <w:pPr>
        <w:ind w:left="1" w:firstLine="709"/>
      </w:pPr>
      <w:rPr>
        <w:rFonts w:hint="eastAsia"/>
        <w:lang w:val="en-US"/>
      </w:rPr>
    </w:lvl>
    <w:lvl w:ilvl="1" w:tentative="0">
      <w:start w:val="1"/>
      <w:numFmt w:val="lowerLetter"/>
      <w:lvlText w:val="%2)"/>
      <w:lvlJc w:val="left"/>
      <w:pPr>
        <w:ind w:left="1345" w:hanging="420"/>
      </w:pPr>
    </w:lvl>
    <w:lvl w:ilvl="2" w:tentative="0">
      <w:start w:val="1"/>
      <w:numFmt w:val="lowerRoman"/>
      <w:lvlText w:val="%3."/>
      <w:lvlJc w:val="right"/>
      <w:pPr>
        <w:ind w:left="1765" w:hanging="420"/>
      </w:pPr>
    </w:lvl>
    <w:lvl w:ilvl="3" w:tentative="0">
      <w:start w:val="1"/>
      <w:numFmt w:val="decimal"/>
      <w:lvlText w:val="%4."/>
      <w:lvlJc w:val="left"/>
      <w:pPr>
        <w:ind w:left="2185" w:hanging="420"/>
      </w:pPr>
    </w:lvl>
    <w:lvl w:ilvl="4" w:tentative="0">
      <w:start w:val="1"/>
      <w:numFmt w:val="lowerLetter"/>
      <w:lvlText w:val="%5)"/>
      <w:lvlJc w:val="left"/>
      <w:pPr>
        <w:ind w:left="2605" w:hanging="420"/>
      </w:pPr>
    </w:lvl>
    <w:lvl w:ilvl="5" w:tentative="0">
      <w:start w:val="1"/>
      <w:numFmt w:val="lowerRoman"/>
      <w:lvlText w:val="%6."/>
      <w:lvlJc w:val="right"/>
      <w:pPr>
        <w:ind w:left="3025" w:hanging="420"/>
      </w:pPr>
    </w:lvl>
    <w:lvl w:ilvl="6" w:tentative="0">
      <w:start w:val="1"/>
      <w:numFmt w:val="decimal"/>
      <w:lvlText w:val="%7."/>
      <w:lvlJc w:val="left"/>
      <w:pPr>
        <w:ind w:left="3445" w:hanging="420"/>
      </w:pPr>
    </w:lvl>
    <w:lvl w:ilvl="7" w:tentative="0">
      <w:start w:val="1"/>
      <w:numFmt w:val="lowerLetter"/>
      <w:lvlText w:val="%8)"/>
      <w:lvlJc w:val="left"/>
      <w:pPr>
        <w:ind w:left="3865" w:hanging="420"/>
      </w:pPr>
    </w:lvl>
    <w:lvl w:ilvl="8" w:tentative="0">
      <w:start w:val="1"/>
      <w:numFmt w:val="lowerRoman"/>
      <w:lvlText w:val="%9."/>
      <w:lvlJc w:val="right"/>
      <w:pPr>
        <w:ind w:left="4285" w:hanging="420"/>
      </w:pPr>
    </w:lvl>
  </w:abstractNum>
  <w:abstractNum w:abstractNumId="45">
    <w:nsid w:val="34B837B8"/>
    <w:multiLevelType w:val="multilevel"/>
    <w:tmpl w:val="34B837B8"/>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35C75B9C"/>
    <w:multiLevelType w:val="multilevel"/>
    <w:tmpl w:val="35C75B9C"/>
    <w:lvl w:ilvl="0" w:tentative="0">
      <w:start w:val="1"/>
      <w:numFmt w:val="chineseCountingThousand"/>
      <w:suff w:val="space"/>
      <w:lvlText w:val="（%1）"/>
      <w:lvlJc w:val="left"/>
      <w:pPr>
        <w:ind w:left="1129" w:hanging="420"/>
      </w:pPr>
      <w:rPr>
        <w:rFonts w:hint="eastAsia"/>
        <w:b/>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47">
    <w:nsid w:val="35CC17CC"/>
    <w:multiLevelType w:val="multilevel"/>
    <w:tmpl w:val="35CC17CC"/>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48">
    <w:nsid w:val="37E477C9"/>
    <w:multiLevelType w:val="multilevel"/>
    <w:tmpl w:val="37E477C9"/>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39245023"/>
    <w:multiLevelType w:val="multilevel"/>
    <w:tmpl w:val="39245023"/>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50">
    <w:nsid w:val="3A05134D"/>
    <w:multiLevelType w:val="multilevel"/>
    <w:tmpl w:val="3A05134D"/>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51">
    <w:nsid w:val="3A284FBD"/>
    <w:multiLevelType w:val="multilevel"/>
    <w:tmpl w:val="3A284FBD"/>
    <w:lvl w:ilvl="0" w:tentative="0">
      <w:start w:val="1"/>
      <w:numFmt w:val="chineseCountingThousand"/>
      <w:suff w:val="space"/>
      <w:lvlText w:val="第%1章 "/>
      <w:lvlJc w:val="left"/>
      <w:pPr>
        <w:ind w:left="420" w:hanging="420"/>
      </w:pPr>
      <w:rPr>
        <w:rFonts w:hint="eastAsia" w:ascii="黑体" w:hAnsi="黑体" w:eastAsia="黑体"/>
        <w:b w:val="0"/>
        <w:sz w:val="30"/>
        <w:szCs w:val="30"/>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3BDA64C9"/>
    <w:multiLevelType w:val="multilevel"/>
    <w:tmpl w:val="3BDA64C9"/>
    <w:lvl w:ilvl="0" w:tentative="0">
      <w:start w:val="1"/>
      <w:numFmt w:val="decimal"/>
      <w:suff w:val="space"/>
      <w:lvlText w:val="（%1）"/>
      <w:lvlJc w:val="left"/>
      <w:pPr>
        <w:ind w:left="924"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53">
    <w:nsid w:val="3C8C011C"/>
    <w:multiLevelType w:val="multilevel"/>
    <w:tmpl w:val="3C8C011C"/>
    <w:lvl w:ilvl="0" w:tentative="0">
      <w:start w:val="1"/>
      <w:numFmt w:val="decimal"/>
      <w:suff w:val="space"/>
      <w:lvlText w:val="（%1）"/>
      <w:lvlJc w:val="left"/>
      <w:pPr>
        <w:ind w:left="924" w:hanging="420"/>
      </w:pPr>
      <w:rPr>
        <w:rFonts w:hint="default"/>
        <w:b w:val="0"/>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54">
    <w:nsid w:val="3D2E5353"/>
    <w:multiLevelType w:val="multilevel"/>
    <w:tmpl w:val="3D2E5353"/>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3DFE037F"/>
    <w:multiLevelType w:val="multilevel"/>
    <w:tmpl w:val="3DFE037F"/>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56">
    <w:nsid w:val="3E0D26F6"/>
    <w:multiLevelType w:val="multilevel"/>
    <w:tmpl w:val="3E0D26F6"/>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57">
    <w:nsid w:val="3FC538B1"/>
    <w:multiLevelType w:val="multilevel"/>
    <w:tmpl w:val="3FC538B1"/>
    <w:lvl w:ilvl="0" w:tentative="0">
      <w:start w:val="1"/>
      <w:numFmt w:val="chineseCountingThousand"/>
      <w:suff w:val="space"/>
      <w:lvlText w:val="%1、"/>
      <w:lvlJc w:val="left"/>
      <w:pPr>
        <w:ind w:left="1060" w:hanging="420"/>
      </w:pPr>
      <w:rPr>
        <w:rFonts w:hint="eastAsia"/>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400D714A"/>
    <w:multiLevelType w:val="multilevel"/>
    <w:tmpl w:val="400D714A"/>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404B2FEF"/>
    <w:multiLevelType w:val="multilevel"/>
    <w:tmpl w:val="404B2FEF"/>
    <w:lvl w:ilvl="0" w:tentative="0">
      <w:start w:val="1"/>
      <w:numFmt w:val="chineseCountingThousand"/>
      <w:suff w:val="space"/>
      <w:lvlText w:val="%1、"/>
      <w:lvlJc w:val="left"/>
      <w:pPr>
        <w:ind w:left="10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41506C47"/>
    <w:multiLevelType w:val="multilevel"/>
    <w:tmpl w:val="41506C47"/>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42811A42"/>
    <w:multiLevelType w:val="multilevel"/>
    <w:tmpl w:val="42811A42"/>
    <w:lvl w:ilvl="0" w:tentative="0">
      <w:start w:val="1"/>
      <w:numFmt w:val="decimal"/>
      <w:lvlText w:val="%1"/>
      <w:lvlJc w:val="left"/>
      <w:pPr>
        <w:ind w:left="987" w:hanging="420"/>
      </w:p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62">
    <w:nsid w:val="466C4F20"/>
    <w:multiLevelType w:val="multilevel"/>
    <w:tmpl w:val="466C4F20"/>
    <w:lvl w:ilvl="0" w:tentative="0">
      <w:start w:val="1"/>
      <w:numFmt w:val="decimal"/>
      <w:suff w:val="nothing"/>
      <w:lvlText w:val="%1．"/>
      <w:lvlJc w:val="left"/>
      <w:pPr>
        <w:ind w:left="0" w:firstLine="709"/>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3">
    <w:nsid w:val="468223AF"/>
    <w:multiLevelType w:val="multilevel"/>
    <w:tmpl w:val="468223AF"/>
    <w:lvl w:ilvl="0" w:tentative="0">
      <w:start w:val="1"/>
      <w:numFmt w:val="decimal"/>
      <w:lvlText w:val="%1."/>
      <w:lvlJc w:val="left"/>
      <w:pPr>
        <w:ind w:left="0" w:firstLine="709"/>
      </w:pPr>
      <w:rPr>
        <w:rFonts w:hint="eastAsia"/>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4">
    <w:nsid w:val="46F9092A"/>
    <w:multiLevelType w:val="multilevel"/>
    <w:tmpl w:val="46F9092A"/>
    <w:lvl w:ilvl="0" w:tentative="0">
      <w:start w:val="1"/>
      <w:numFmt w:val="decimal"/>
      <w:suff w:val="space"/>
      <w:lvlText w:val="（%1）"/>
      <w:lvlJc w:val="left"/>
      <w:pPr>
        <w:ind w:left="1680" w:hanging="42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5">
    <w:nsid w:val="488A2472"/>
    <w:multiLevelType w:val="multilevel"/>
    <w:tmpl w:val="488A2472"/>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497B32D3"/>
    <w:multiLevelType w:val="multilevel"/>
    <w:tmpl w:val="497B32D3"/>
    <w:lvl w:ilvl="0" w:tentative="0">
      <w:start w:val="1"/>
      <w:numFmt w:val="decimal"/>
      <w:lvlText w:val="%1."/>
      <w:lvlJc w:val="left"/>
      <w:pPr>
        <w:ind w:left="420" w:hanging="420"/>
      </w:pPr>
    </w:lvl>
    <w:lvl w:ilvl="1" w:tentative="0">
      <w:start w:val="1"/>
      <w:numFmt w:val="decimal"/>
      <w:suff w:val="space"/>
      <w:lvlText w:val="（%2）"/>
      <w:lvlJc w:val="left"/>
      <w:pPr>
        <w:ind w:left="0" w:firstLine="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4B055468"/>
    <w:multiLevelType w:val="multilevel"/>
    <w:tmpl w:val="4B055468"/>
    <w:lvl w:ilvl="0" w:tentative="0">
      <w:start w:val="1"/>
      <w:numFmt w:val="chineseCountingThousand"/>
      <w:suff w:val="space"/>
      <w:lvlText w:val="%1、"/>
      <w:lvlJc w:val="left"/>
      <w:pPr>
        <w:ind w:left="10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4B3337C7"/>
    <w:multiLevelType w:val="multilevel"/>
    <w:tmpl w:val="4B3337C7"/>
    <w:lvl w:ilvl="0" w:tentative="0">
      <w:start w:val="1"/>
      <w:numFmt w:val="decimal"/>
      <w:suff w:val="nothing"/>
      <w:lvlText w:val="%1．"/>
      <w:lvlJc w:val="left"/>
      <w:pPr>
        <w:ind w:left="0" w:firstLine="709"/>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69">
    <w:nsid w:val="4B9D177F"/>
    <w:multiLevelType w:val="multilevel"/>
    <w:tmpl w:val="4B9D177F"/>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70">
    <w:nsid w:val="4E4751CB"/>
    <w:multiLevelType w:val="multilevel"/>
    <w:tmpl w:val="4E4751CB"/>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4F011A2C"/>
    <w:multiLevelType w:val="multilevel"/>
    <w:tmpl w:val="4F011A2C"/>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72">
    <w:nsid w:val="4F244FDF"/>
    <w:multiLevelType w:val="multilevel"/>
    <w:tmpl w:val="4F244FDF"/>
    <w:lvl w:ilvl="0" w:tentative="0">
      <w:start w:val="1"/>
      <w:numFmt w:val="decimal"/>
      <w:lvlText w:val="%1."/>
      <w:lvlJc w:val="left"/>
      <w:pPr>
        <w:ind w:left="0" w:firstLine="1260"/>
      </w:pPr>
      <w:rPr>
        <w:rFonts w:hint="default"/>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73">
    <w:nsid w:val="51BD76CE"/>
    <w:multiLevelType w:val="multilevel"/>
    <w:tmpl w:val="51BD76C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53286EE4"/>
    <w:multiLevelType w:val="multilevel"/>
    <w:tmpl w:val="53286EE4"/>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5">
    <w:nsid w:val="534A7D45"/>
    <w:multiLevelType w:val="multilevel"/>
    <w:tmpl w:val="534A7D45"/>
    <w:lvl w:ilvl="0" w:tentative="0">
      <w:start w:val="1"/>
      <w:numFmt w:val="decimal"/>
      <w:lvlText w:val="%1."/>
      <w:lvlJc w:val="left"/>
      <w:pPr>
        <w:ind w:left="1129" w:hanging="4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76">
    <w:nsid w:val="535B1AEE"/>
    <w:multiLevelType w:val="multilevel"/>
    <w:tmpl w:val="535B1AEE"/>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547965D8"/>
    <w:multiLevelType w:val="multilevel"/>
    <w:tmpl w:val="547965D8"/>
    <w:lvl w:ilvl="0" w:tentative="0">
      <w:start w:val="0"/>
      <w:numFmt w:val="bullet"/>
      <w:lvlText w:val="□"/>
      <w:lvlJc w:val="left"/>
      <w:pPr>
        <w:ind w:left="360" w:hanging="360"/>
      </w:pPr>
      <w:rPr>
        <w:rFonts w:hint="eastAsia" w:ascii="仿宋_GB2312" w:hAnsi="Times New Roman" w:eastAsia="仿宋_GB2312"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8">
    <w:nsid w:val="550607BD"/>
    <w:multiLevelType w:val="multilevel"/>
    <w:tmpl w:val="550607BD"/>
    <w:lvl w:ilvl="0" w:tentative="0">
      <w:start w:val="1"/>
      <w:numFmt w:val="chineseCountingThousand"/>
      <w:suff w:val="space"/>
      <w:lvlText w:val="（%1）"/>
      <w:lvlJc w:val="left"/>
      <w:pPr>
        <w:ind w:left="1129" w:hanging="420"/>
      </w:pPr>
      <w:rPr>
        <w:rFonts w:hint="eastAsia"/>
      </w:rPr>
    </w:lvl>
    <w:lvl w:ilvl="1" w:tentative="0">
      <w:start w:val="1"/>
      <w:numFmt w:val="decimal"/>
      <w:lvlText w:val="%2、"/>
      <w:lvlJc w:val="left"/>
      <w:pPr>
        <w:ind w:left="1209" w:hanging="720"/>
      </w:pPr>
      <w:rPr>
        <w:rFonts w:hint="default"/>
      </w:r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79">
    <w:nsid w:val="55B705DC"/>
    <w:multiLevelType w:val="multilevel"/>
    <w:tmpl w:val="55B705DC"/>
    <w:lvl w:ilvl="0" w:tentative="0">
      <w:start w:val="1"/>
      <w:numFmt w:val="chineseCountingThousand"/>
      <w:suff w:val="space"/>
      <w:lvlText w:val="%1、"/>
      <w:lvlJc w:val="left"/>
      <w:pPr>
        <w:ind w:left="10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56B52178"/>
    <w:multiLevelType w:val="multilevel"/>
    <w:tmpl w:val="56B52178"/>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81">
    <w:nsid w:val="56D26DC1"/>
    <w:multiLevelType w:val="multilevel"/>
    <w:tmpl w:val="56D26DC1"/>
    <w:lvl w:ilvl="0" w:tentative="0">
      <w:start w:val="1"/>
      <w:numFmt w:val="chineseCountingThousand"/>
      <w:suff w:val="space"/>
      <w:lvlText w:val="%1、"/>
      <w:lvlJc w:val="left"/>
      <w:pPr>
        <w:ind w:left="1060" w:hanging="420"/>
      </w:pPr>
      <w:rPr>
        <w:rFonts w:hint="eastAsia"/>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5716E5A3"/>
    <w:multiLevelType w:val="singleLevel"/>
    <w:tmpl w:val="5716E5A3"/>
    <w:lvl w:ilvl="0" w:tentative="0">
      <w:start w:val="1"/>
      <w:numFmt w:val="decimal"/>
      <w:suff w:val="space"/>
      <w:lvlText w:val="%1."/>
      <w:lvlJc w:val="left"/>
      <w:pPr>
        <w:ind w:left="988" w:hanging="420"/>
      </w:pPr>
      <w:rPr>
        <w:rFonts w:hint="eastAsia"/>
      </w:rPr>
    </w:lvl>
  </w:abstractNum>
  <w:abstractNum w:abstractNumId="83">
    <w:nsid w:val="577E3524"/>
    <w:multiLevelType w:val="multilevel"/>
    <w:tmpl w:val="577E3524"/>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84">
    <w:nsid w:val="587F5B5F"/>
    <w:multiLevelType w:val="multilevel"/>
    <w:tmpl w:val="587F5B5F"/>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85">
    <w:nsid w:val="58BF72B4"/>
    <w:multiLevelType w:val="multilevel"/>
    <w:tmpl w:val="58BF72B4"/>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86">
    <w:nsid w:val="59321086"/>
    <w:multiLevelType w:val="multilevel"/>
    <w:tmpl w:val="59321086"/>
    <w:lvl w:ilvl="0" w:tentative="0">
      <w:start w:val="1"/>
      <w:numFmt w:val="decimal"/>
      <w:suff w:val="nothing"/>
      <w:lvlText w:val="%1．"/>
      <w:lvlJc w:val="left"/>
      <w:pPr>
        <w:ind w:left="1129" w:hanging="4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7">
    <w:nsid w:val="5A4D069F"/>
    <w:multiLevelType w:val="multilevel"/>
    <w:tmpl w:val="5A4D069F"/>
    <w:lvl w:ilvl="0" w:tentative="0">
      <w:start w:val="1"/>
      <w:numFmt w:val="decimal"/>
      <w:suff w:val="space"/>
      <w:lvlText w:val="%1．"/>
      <w:lvlJc w:val="left"/>
      <w:pPr>
        <w:ind w:left="168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5AE268E4"/>
    <w:multiLevelType w:val="multilevel"/>
    <w:tmpl w:val="5AE268E4"/>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89">
    <w:nsid w:val="5F4C4232"/>
    <w:multiLevelType w:val="multilevel"/>
    <w:tmpl w:val="5F4C4232"/>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5F9B174C"/>
    <w:multiLevelType w:val="multilevel"/>
    <w:tmpl w:val="5F9B174C"/>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91">
    <w:nsid w:val="5FF32C0B"/>
    <w:multiLevelType w:val="multilevel"/>
    <w:tmpl w:val="5FF32C0B"/>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2">
    <w:nsid w:val="61E312C1"/>
    <w:multiLevelType w:val="multilevel"/>
    <w:tmpl w:val="61E312C1"/>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93">
    <w:nsid w:val="62342CDF"/>
    <w:multiLevelType w:val="multilevel"/>
    <w:tmpl w:val="62342CDF"/>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94">
    <w:nsid w:val="62547A6E"/>
    <w:multiLevelType w:val="multilevel"/>
    <w:tmpl w:val="62547A6E"/>
    <w:lvl w:ilvl="0" w:tentative="0">
      <w:start w:val="1"/>
      <w:numFmt w:val="chineseCountingThousand"/>
      <w:suff w:val="space"/>
      <w:lvlText w:val="%1、"/>
      <w:lvlJc w:val="left"/>
      <w:pPr>
        <w:ind w:left="10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666277BA"/>
    <w:multiLevelType w:val="multilevel"/>
    <w:tmpl w:val="666277BA"/>
    <w:lvl w:ilvl="0" w:tentative="0">
      <w:start w:val="1"/>
      <w:numFmt w:val="decimal"/>
      <w:suff w:val="space"/>
      <w:lvlText w:val="%1."/>
      <w:lvlJc w:val="left"/>
      <w:pPr>
        <w:ind w:left="1680"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96">
    <w:nsid w:val="6BEC1512"/>
    <w:multiLevelType w:val="multilevel"/>
    <w:tmpl w:val="6BEC1512"/>
    <w:lvl w:ilvl="0" w:tentative="0">
      <w:start w:val="1"/>
      <w:numFmt w:val="decimal"/>
      <w:suff w:val="space"/>
      <w:lvlText w:val="%1."/>
      <w:lvlJc w:val="left"/>
      <w:pPr>
        <w:ind w:left="981" w:hanging="419"/>
      </w:pPr>
      <w:rPr>
        <w:rFonts w:hint="eastAsia"/>
      </w:rPr>
    </w:lvl>
    <w:lvl w:ilvl="1" w:tentative="0">
      <w:start w:val="1"/>
      <w:numFmt w:val="lowerLetter"/>
      <w:lvlText w:val="%2)"/>
      <w:lvlJc w:val="left"/>
      <w:pPr>
        <w:ind w:left="1543" w:hanging="420"/>
      </w:pPr>
    </w:lvl>
    <w:lvl w:ilvl="2" w:tentative="0">
      <w:start w:val="1"/>
      <w:numFmt w:val="lowerRoman"/>
      <w:lvlText w:val="%3."/>
      <w:lvlJc w:val="right"/>
      <w:pPr>
        <w:ind w:left="1963" w:hanging="420"/>
      </w:pPr>
    </w:lvl>
    <w:lvl w:ilvl="3" w:tentative="0">
      <w:start w:val="1"/>
      <w:numFmt w:val="decimal"/>
      <w:lvlText w:val="%4."/>
      <w:lvlJc w:val="left"/>
      <w:pPr>
        <w:ind w:left="2383" w:hanging="420"/>
      </w:pPr>
    </w:lvl>
    <w:lvl w:ilvl="4" w:tentative="0">
      <w:start w:val="1"/>
      <w:numFmt w:val="lowerLetter"/>
      <w:lvlText w:val="%5)"/>
      <w:lvlJc w:val="left"/>
      <w:pPr>
        <w:ind w:left="2803" w:hanging="420"/>
      </w:pPr>
    </w:lvl>
    <w:lvl w:ilvl="5" w:tentative="0">
      <w:start w:val="1"/>
      <w:numFmt w:val="lowerRoman"/>
      <w:lvlText w:val="%6."/>
      <w:lvlJc w:val="right"/>
      <w:pPr>
        <w:ind w:left="3223" w:hanging="420"/>
      </w:pPr>
    </w:lvl>
    <w:lvl w:ilvl="6" w:tentative="0">
      <w:start w:val="1"/>
      <w:numFmt w:val="decimal"/>
      <w:lvlText w:val="%7."/>
      <w:lvlJc w:val="left"/>
      <w:pPr>
        <w:ind w:left="3643" w:hanging="420"/>
      </w:pPr>
    </w:lvl>
    <w:lvl w:ilvl="7" w:tentative="0">
      <w:start w:val="1"/>
      <w:numFmt w:val="lowerLetter"/>
      <w:lvlText w:val="%8)"/>
      <w:lvlJc w:val="left"/>
      <w:pPr>
        <w:ind w:left="4063" w:hanging="420"/>
      </w:pPr>
    </w:lvl>
    <w:lvl w:ilvl="8" w:tentative="0">
      <w:start w:val="1"/>
      <w:numFmt w:val="lowerRoman"/>
      <w:lvlText w:val="%9."/>
      <w:lvlJc w:val="right"/>
      <w:pPr>
        <w:ind w:left="4483" w:hanging="420"/>
      </w:pPr>
    </w:lvl>
  </w:abstractNum>
  <w:abstractNum w:abstractNumId="97">
    <w:nsid w:val="6D150AA6"/>
    <w:multiLevelType w:val="multilevel"/>
    <w:tmpl w:val="6D150AA6"/>
    <w:lvl w:ilvl="0" w:tentative="0">
      <w:start w:val="1"/>
      <w:numFmt w:val="decimal"/>
      <w:suff w:val="nothing"/>
      <w:lvlText w:val="%1．"/>
      <w:lvlJc w:val="left"/>
      <w:pPr>
        <w:ind w:left="-142" w:firstLine="709"/>
      </w:pPr>
      <w:rPr>
        <w:rFonts w:hint="default"/>
        <w:lang w:val="en-US"/>
      </w:rPr>
    </w:lvl>
    <w:lvl w:ilvl="1" w:tentative="0">
      <w:start w:val="1"/>
      <w:numFmt w:val="lowerLetter"/>
      <w:lvlText w:val="%2)"/>
      <w:lvlJc w:val="left"/>
      <w:pPr>
        <w:ind w:left="1202" w:hanging="420"/>
      </w:pPr>
    </w:lvl>
    <w:lvl w:ilvl="2" w:tentative="0">
      <w:start w:val="1"/>
      <w:numFmt w:val="lowerRoman"/>
      <w:lvlText w:val="%3."/>
      <w:lvlJc w:val="right"/>
      <w:pPr>
        <w:ind w:left="1622" w:hanging="420"/>
      </w:pPr>
    </w:lvl>
    <w:lvl w:ilvl="3" w:tentative="0">
      <w:start w:val="1"/>
      <w:numFmt w:val="decimal"/>
      <w:lvlText w:val="%4."/>
      <w:lvlJc w:val="left"/>
      <w:pPr>
        <w:ind w:left="2042" w:hanging="420"/>
      </w:pPr>
    </w:lvl>
    <w:lvl w:ilvl="4" w:tentative="0">
      <w:start w:val="1"/>
      <w:numFmt w:val="lowerLetter"/>
      <w:lvlText w:val="%5)"/>
      <w:lvlJc w:val="left"/>
      <w:pPr>
        <w:ind w:left="2462" w:hanging="420"/>
      </w:pPr>
    </w:lvl>
    <w:lvl w:ilvl="5" w:tentative="0">
      <w:start w:val="1"/>
      <w:numFmt w:val="lowerRoman"/>
      <w:lvlText w:val="%6."/>
      <w:lvlJc w:val="right"/>
      <w:pPr>
        <w:ind w:left="2882" w:hanging="420"/>
      </w:pPr>
    </w:lvl>
    <w:lvl w:ilvl="6" w:tentative="0">
      <w:start w:val="1"/>
      <w:numFmt w:val="decimal"/>
      <w:lvlText w:val="%7."/>
      <w:lvlJc w:val="left"/>
      <w:pPr>
        <w:ind w:left="3302" w:hanging="420"/>
      </w:pPr>
    </w:lvl>
    <w:lvl w:ilvl="7" w:tentative="0">
      <w:start w:val="1"/>
      <w:numFmt w:val="lowerLetter"/>
      <w:lvlText w:val="%8)"/>
      <w:lvlJc w:val="left"/>
      <w:pPr>
        <w:ind w:left="3722" w:hanging="420"/>
      </w:pPr>
    </w:lvl>
    <w:lvl w:ilvl="8" w:tentative="0">
      <w:start w:val="1"/>
      <w:numFmt w:val="lowerRoman"/>
      <w:lvlText w:val="%9."/>
      <w:lvlJc w:val="right"/>
      <w:pPr>
        <w:ind w:left="4142" w:hanging="420"/>
      </w:pPr>
    </w:lvl>
  </w:abstractNum>
  <w:abstractNum w:abstractNumId="98">
    <w:nsid w:val="6D2E4A63"/>
    <w:multiLevelType w:val="multilevel"/>
    <w:tmpl w:val="6D2E4A63"/>
    <w:lvl w:ilvl="0" w:tentative="0">
      <w:start w:val="1"/>
      <w:numFmt w:val="decimal"/>
      <w:suff w:val="nothing"/>
      <w:lvlText w:val="%1．"/>
      <w:lvlJc w:val="left"/>
      <w:pPr>
        <w:ind w:left="0" w:firstLine="709"/>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99">
    <w:nsid w:val="6EF339FD"/>
    <w:multiLevelType w:val="multilevel"/>
    <w:tmpl w:val="6EF339FD"/>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00">
    <w:nsid w:val="6FF3094C"/>
    <w:multiLevelType w:val="multilevel"/>
    <w:tmpl w:val="6FF3094C"/>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01">
    <w:nsid w:val="70443A2E"/>
    <w:multiLevelType w:val="multilevel"/>
    <w:tmpl w:val="70443A2E"/>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2">
    <w:nsid w:val="70E84888"/>
    <w:multiLevelType w:val="multilevel"/>
    <w:tmpl w:val="70E84888"/>
    <w:lvl w:ilvl="0" w:tentative="0">
      <w:start w:val="1"/>
      <w:numFmt w:val="chineseCountingThousand"/>
      <w:suff w:val="space"/>
      <w:lvlText w:val="（%1）"/>
      <w:lvlJc w:val="left"/>
      <w:pPr>
        <w:ind w:left="1022"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3">
    <w:nsid w:val="72417F7A"/>
    <w:multiLevelType w:val="multilevel"/>
    <w:tmpl w:val="72417F7A"/>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4">
    <w:nsid w:val="733039CA"/>
    <w:multiLevelType w:val="multilevel"/>
    <w:tmpl w:val="733039CA"/>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5">
    <w:nsid w:val="73443751"/>
    <w:multiLevelType w:val="multilevel"/>
    <w:tmpl w:val="73443751"/>
    <w:lvl w:ilvl="0" w:tentative="0">
      <w:start w:val="1"/>
      <w:numFmt w:val="chineseCountingThousand"/>
      <w:suff w:val="space"/>
      <w:lvlText w:val="%1、"/>
      <w:lvlJc w:val="left"/>
      <w:pPr>
        <w:ind w:left="1060" w:hanging="420"/>
      </w:pPr>
      <w:rPr>
        <w:rFonts w:hint="eastAsia"/>
        <w:b/>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6">
    <w:nsid w:val="763F18E3"/>
    <w:multiLevelType w:val="multilevel"/>
    <w:tmpl w:val="763F18E3"/>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07">
    <w:nsid w:val="76E05443"/>
    <w:multiLevelType w:val="multilevel"/>
    <w:tmpl w:val="76E05443"/>
    <w:lvl w:ilvl="0" w:tentative="0">
      <w:start w:val="1"/>
      <w:numFmt w:val="decimal"/>
      <w:suff w:val="space"/>
      <w:lvlText w:val="（%1）"/>
      <w:lvlJc w:val="left"/>
      <w:pPr>
        <w:ind w:left="924" w:hanging="420"/>
      </w:pPr>
      <w:rPr>
        <w:rFonts w:hint="default"/>
        <w:lang w:val="en-US"/>
      </w:rPr>
    </w:lvl>
    <w:lvl w:ilvl="1" w:tentative="0">
      <w:start w:val="1"/>
      <w:numFmt w:val="lowerLetter"/>
      <w:lvlText w:val="%2)"/>
      <w:lvlJc w:val="left"/>
      <w:pPr>
        <w:ind w:left="1344" w:hanging="420"/>
      </w:pPr>
    </w:lvl>
    <w:lvl w:ilvl="2" w:tentative="0">
      <w:start w:val="1"/>
      <w:numFmt w:val="lowerRoman"/>
      <w:lvlText w:val="%3."/>
      <w:lvlJc w:val="right"/>
      <w:pPr>
        <w:ind w:left="1764" w:hanging="420"/>
      </w:pPr>
    </w:lvl>
    <w:lvl w:ilvl="3" w:tentative="0">
      <w:start w:val="1"/>
      <w:numFmt w:val="decimal"/>
      <w:lvlText w:val="%4."/>
      <w:lvlJc w:val="left"/>
      <w:pPr>
        <w:ind w:left="2184" w:hanging="420"/>
      </w:pPr>
    </w:lvl>
    <w:lvl w:ilvl="4" w:tentative="0">
      <w:start w:val="1"/>
      <w:numFmt w:val="lowerLetter"/>
      <w:lvlText w:val="%5)"/>
      <w:lvlJc w:val="left"/>
      <w:pPr>
        <w:ind w:left="2604" w:hanging="420"/>
      </w:pPr>
    </w:lvl>
    <w:lvl w:ilvl="5" w:tentative="0">
      <w:start w:val="1"/>
      <w:numFmt w:val="lowerRoman"/>
      <w:lvlText w:val="%6."/>
      <w:lvlJc w:val="right"/>
      <w:pPr>
        <w:ind w:left="3024" w:hanging="420"/>
      </w:pPr>
    </w:lvl>
    <w:lvl w:ilvl="6" w:tentative="0">
      <w:start w:val="1"/>
      <w:numFmt w:val="decimal"/>
      <w:lvlText w:val="%7."/>
      <w:lvlJc w:val="left"/>
      <w:pPr>
        <w:ind w:left="3444" w:hanging="420"/>
      </w:pPr>
    </w:lvl>
    <w:lvl w:ilvl="7" w:tentative="0">
      <w:start w:val="1"/>
      <w:numFmt w:val="lowerLetter"/>
      <w:lvlText w:val="%8)"/>
      <w:lvlJc w:val="left"/>
      <w:pPr>
        <w:ind w:left="3864" w:hanging="420"/>
      </w:pPr>
    </w:lvl>
    <w:lvl w:ilvl="8" w:tentative="0">
      <w:start w:val="1"/>
      <w:numFmt w:val="lowerRoman"/>
      <w:lvlText w:val="%9."/>
      <w:lvlJc w:val="right"/>
      <w:pPr>
        <w:ind w:left="4284" w:hanging="420"/>
      </w:pPr>
    </w:lvl>
  </w:abstractNum>
  <w:abstractNum w:abstractNumId="108">
    <w:nsid w:val="7A166C13"/>
    <w:multiLevelType w:val="multilevel"/>
    <w:tmpl w:val="7A166C13"/>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09">
    <w:nsid w:val="7D2134C0"/>
    <w:multiLevelType w:val="multilevel"/>
    <w:tmpl w:val="7D2134C0"/>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10">
    <w:nsid w:val="7E1A7582"/>
    <w:multiLevelType w:val="multilevel"/>
    <w:tmpl w:val="7E1A7582"/>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11">
    <w:nsid w:val="7ED45367"/>
    <w:multiLevelType w:val="multilevel"/>
    <w:tmpl w:val="7ED45367"/>
    <w:lvl w:ilvl="0" w:tentative="0">
      <w:start w:val="1"/>
      <w:numFmt w:val="chineseCountingThousand"/>
      <w:suff w:val="space"/>
      <w:lvlText w:val="（%1）"/>
      <w:lvlJc w:val="left"/>
      <w:pPr>
        <w:ind w:left="1129" w:hanging="420"/>
      </w:pPr>
      <w:rPr>
        <w:rFonts w:hint="eastAsia"/>
      </w:rPr>
    </w:lvl>
    <w:lvl w:ilvl="1" w:tentative="0">
      <w:start w:val="1"/>
      <w:numFmt w:val="lowerLetter"/>
      <w:lvlText w:val="%2)"/>
      <w:lvlJc w:val="left"/>
      <w:pPr>
        <w:ind w:left="909" w:hanging="420"/>
      </w:pPr>
    </w:lvl>
    <w:lvl w:ilvl="2" w:tentative="0">
      <w:start w:val="1"/>
      <w:numFmt w:val="lowerRoman"/>
      <w:lvlText w:val="%3."/>
      <w:lvlJc w:val="right"/>
      <w:pPr>
        <w:ind w:left="1329" w:hanging="420"/>
      </w:pPr>
    </w:lvl>
    <w:lvl w:ilvl="3" w:tentative="0">
      <w:start w:val="1"/>
      <w:numFmt w:val="decimal"/>
      <w:lvlText w:val="%4."/>
      <w:lvlJc w:val="left"/>
      <w:pPr>
        <w:ind w:left="1749" w:hanging="420"/>
      </w:pPr>
    </w:lvl>
    <w:lvl w:ilvl="4" w:tentative="0">
      <w:start w:val="1"/>
      <w:numFmt w:val="lowerLetter"/>
      <w:lvlText w:val="%5)"/>
      <w:lvlJc w:val="left"/>
      <w:pPr>
        <w:ind w:left="2169" w:hanging="420"/>
      </w:pPr>
    </w:lvl>
    <w:lvl w:ilvl="5" w:tentative="0">
      <w:start w:val="1"/>
      <w:numFmt w:val="lowerRoman"/>
      <w:lvlText w:val="%6."/>
      <w:lvlJc w:val="right"/>
      <w:pPr>
        <w:ind w:left="2589" w:hanging="420"/>
      </w:pPr>
    </w:lvl>
    <w:lvl w:ilvl="6" w:tentative="0">
      <w:start w:val="1"/>
      <w:numFmt w:val="decimal"/>
      <w:lvlText w:val="%7."/>
      <w:lvlJc w:val="left"/>
      <w:pPr>
        <w:ind w:left="3009" w:hanging="420"/>
      </w:pPr>
    </w:lvl>
    <w:lvl w:ilvl="7" w:tentative="0">
      <w:start w:val="1"/>
      <w:numFmt w:val="lowerLetter"/>
      <w:lvlText w:val="%8)"/>
      <w:lvlJc w:val="left"/>
      <w:pPr>
        <w:ind w:left="3429" w:hanging="420"/>
      </w:pPr>
    </w:lvl>
    <w:lvl w:ilvl="8" w:tentative="0">
      <w:start w:val="1"/>
      <w:numFmt w:val="lowerRoman"/>
      <w:lvlText w:val="%9."/>
      <w:lvlJc w:val="right"/>
      <w:pPr>
        <w:ind w:left="3849" w:hanging="420"/>
      </w:pPr>
    </w:lvl>
  </w:abstractNum>
  <w:abstractNum w:abstractNumId="112">
    <w:nsid w:val="7FBF03DB"/>
    <w:multiLevelType w:val="multilevel"/>
    <w:tmpl w:val="7FBF03DB"/>
    <w:lvl w:ilvl="0" w:tentative="0">
      <w:start w:val="1"/>
      <w:numFmt w:val="decimal"/>
      <w:lvlText w:val="%1."/>
      <w:lvlJc w:val="left"/>
      <w:pPr>
        <w:ind w:left="1129" w:hanging="420"/>
      </w:pPr>
      <w:rPr>
        <w:rFonts w:hint="eastAsia"/>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28"/>
  </w:num>
  <w:num w:numId="2">
    <w:abstractNumId w:val="51"/>
  </w:num>
  <w:num w:numId="3">
    <w:abstractNumId w:val="79"/>
  </w:num>
  <w:num w:numId="4">
    <w:abstractNumId w:val="10"/>
  </w:num>
  <w:num w:numId="5">
    <w:abstractNumId w:val="7"/>
  </w:num>
  <w:num w:numId="6">
    <w:abstractNumId w:val="62"/>
  </w:num>
  <w:num w:numId="7">
    <w:abstractNumId w:val="46"/>
  </w:num>
  <w:num w:numId="8">
    <w:abstractNumId w:val="17"/>
  </w:num>
  <w:num w:numId="9">
    <w:abstractNumId w:val="42"/>
  </w:num>
  <w:num w:numId="10">
    <w:abstractNumId w:val="3"/>
  </w:num>
  <w:num w:numId="11">
    <w:abstractNumId w:val="59"/>
  </w:num>
  <w:num w:numId="12">
    <w:abstractNumId w:val="55"/>
  </w:num>
  <w:num w:numId="13">
    <w:abstractNumId w:val="68"/>
  </w:num>
  <w:num w:numId="14">
    <w:abstractNumId w:val="98"/>
  </w:num>
  <w:num w:numId="15">
    <w:abstractNumId w:val="29"/>
  </w:num>
  <w:num w:numId="16">
    <w:abstractNumId w:val="102"/>
  </w:num>
  <w:num w:numId="17">
    <w:abstractNumId w:val="69"/>
  </w:num>
  <w:num w:numId="18">
    <w:abstractNumId w:val="5"/>
  </w:num>
  <w:num w:numId="19">
    <w:abstractNumId w:val="21"/>
  </w:num>
  <w:num w:numId="20">
    <w:abstractNumId w:val="67"/>
  </w:num>
  <w:num w:numId="21">
    <w:abstractNumId w:val="6"/>
  </w:num>
  <w:num w:numId="22">
    <w:abstractNumId w:val="70"/>
  </w:num>
  <w:num w:numId="23">
    <w:abstractNumId w:val="54"/>
  </w:num>
  <w:num w:numId="24">
    <w:abstractNumId w:val="78"/>
  </w:num>
  <w:num w:numId="25">
    <w:abstractNumId w:val="23"/>
  </w:num>
  <w:num w:numId="26">
    <w:abstractNumId w:val="87"/>
  </w:num>
  <w:num w:numId="27">
    <w:abstractNumId w:val="38"/>
  </w:num>
  <w:num w:numId="28">
    <w:abstractNumId w:val="65"/>
  </w:num>
  <w:num w:numId="29">
    <w:abstractNumId w:val="31"/>
  </w:num>
  <w:num w:numId="30">
    <w:abstractNumId w:val="66"/>
  </w:num>
  <w:num w:numId="31">
    <w:abstractNumId w:val="94"/>
  </w:num>
  <w:num w:numId="32">
    <w:abstractNumId w:val="111"/>
  </w:num>
  <w:num w:numId="33">
    <w:abstractNumId w:val="86"/>
  </w:num>
  <w:num w:numId="34">
    <w:abstractNumId w:val="97"/>
  </w:num>
  <w:num w:numId="35">
    <w:abstractNumId w:val="41"/>
  </w:num>
  <w:num w:numId="36">
    <w:abstractNumId w:val="75"/>
  </w:num>
  <w:num w:numId="37">
    <w:abstractNumId w:val="100"/>
  </w:num>
  <w:num w:numId="38">
    <w:abstractNumId w:val="82"/>
  </w:num>
  <w:num w:numId="39">
    <w:abstractNumId w:val="112"/>
  </w:num>
  <w:num w:numId="40">
    <w:abstractNumId w:val="90"/>
  </w:num>
  <w:num w:numId="41">
    <w:abstractNumId w:val="44"/>
  </w:num>
  <w:num w:numId="42">
    <w:abstractNumId w:val="96"/>
  </w:num>
  <w:num w:numId="43">
    <w:abstractNumId w:val="92"/>
  </w:num>
  <w:num w:numId="44">
    <w:abstractNumId w:val="63"/>
  </w:num>
  <w:num w:numId="45">
    <w:abstractNumId w:val="50"/>
  </w:num>
  <w:num w:numId="46">
    <w:abstractNumId w:val="95"/>
  </w:num>
  <w:num w:numId="47">
    <w:abstractNumId w:val="57"/>
  </w:num>
  <w:num w:numId="48">
    <w:abstractNumId w:val="109"/>
  </w:num>
  <w:num w:numId="49">
    <w:abstractNumId w:val="34"/>
  </w:num>
  <w:num w:numId="50">
    <w:abstractNumId w:val="24"/>
  </w:num>
  <w:num w:numId="51">
    <w:abstractNumId w:val="8"/>
  </w:num>
  <w:num w:numId="52">
    <w:abstractNumId w:val="20"/>
  </w:num>
  <w:num w:numId="53">
    <w:abstractNumId w:val="76"/>
  </w:num>
  <w:num w:numId="54">
    <w:abstractNumId w:val="12"/>
  </w:num>
  <w:num w:numId="55">
    <w:abstractNumId w:val="64"/>
  </w:num>
  <w:num w:numId="56">
    <w:abstractNumId w:val="33"/>
  </w:num>
  <w:num w:numId="57">
    <w:abstractNumId w:val="106"/>
  </w:num>
  <w:num w:numId="58">
    <w:abstractNumId w:val="89"/>
  </w:num>
  <w:num w:numId="59">
    <w:abstractNumId w:val="9"/>
  </w:num>
  <w:num w:numId="60">
    <w:abstractNumId w:val="84"/>
  </w:num>
  <w:num w:numId="61">
    <w:abstractNumId w:val="45"/>
  </w:num>
  <w:num w:numId="62">
    <w:abstractNumId w:val="19"/>
  </w:num>
  <w:num w:numId="63">
    <w:abstractNumId w:val="81"/>
  </w:num>
  <w:num w:numId="64">
    <w:abstractNumId w:val="85"/>
  </w:num>
  <w:num w:numId="65">
    <w:abstractNumId w:val="48"/>
  </w:num>
  <w:num w:numId="66">
    <w:abstractNumId w:val="0"/>
  </w:num>
  <w:num w:numId="67">
    <w:abstractNumId w:val="11"/>
  </w:num>
  <w:num w:numId="68">
    <w:abstractNumId w:val="53"/>
  </w:num>
  <w:num w:numId="69">
    <w:abstractNumId w:val="60"/>
  </w:num>
  <w:num w:numId="70">
    <w:abstractNumId w:val="40"/>
  </w:num>
  <w:num w:numId="71">
    <w:abstractNumId w:val="22"/>
  </w:num>
  <w:num w:numId="72">
    <w:abstractNumId w:val="52"/>
  </w:num>
  <w:num w:numId="73">
    <w:abstractNumId w:val="58"/>
  </w:num>
  <w:num w:numId="74">
    <w:abstractNumId w:val="49"/>
  </w:num>
  <w:num w:numId="75">
    <w:abstractNumId w:val="43"/>
  </w:num>
  <w:num w:numId="76">
    <w:abstractNumId w:val="110"/>
  </w:num>
  <w:num w:numId="77">
    <w:abstractNumId w:val="73"/>
  </w:num>
  <w:num w:numId="78">
    <w:abstractNumId w:val="13"/>
  </w:num>
  <w:num w:numId="79">
    <w:abstractNumId w:val="47"/>
  </w:num>
  <w:num w:numId="80">
    <w:abstractNumId w:val="2"/>
  </w:num>
  <w:num w:numId="81">
    <w:abstractNumId w:val="35"/>
  </w:num>
  <w:num w:numId="82">
    <w:abstractNumId w:val="74"/>
  </w:num>
  <w:num w:numId="83">
    <w:abstractNumId w:val="25"/>
  </w:num>
  <w:num w:numId="84">
    <w:abstractNumId w:val="108"/>
  </w:num>
  <w:num w:numId="85">
    <w:abstractNumId w:val="18"/>
  </w:num>
  <w:num w:numId="86">
    <w:abstractNumId w:val="16"/>
  </w:num>
  <w:num w:numId="87">
    <w:abstractNumId w:val="14"/>
  </w:num>
  <w:num w:numId="88">
    <w:abstractNumId w:val="15"/>
  </w:num>
  <w:num w:numId="89">
    <w:abstractNumId w:val="103"/>
  </w:num>
  <w:num w:numId="90">
    <w:abstractNumId w:val="1"/>
  </w:num>
  <w:num w:numId="91">
    <w:abstractNumId w:val="56"/>
  </w:num>
  <w:num w:numId="92">
    <w:abstractNumId w:val="36"/>
  </w:num>
  <w:num w:numId="93">
    <w:abstractNumId w:val="72"/>
  </w:num>
  <w:num w:numId="94">
    <w:abstractNumId w:val="91"/>
  </w:num>
  <w:num w:numId="95">
    <w:abstractNumId w:val="99"/>
  </w:num>
  <w:num w:numId="96">
    <w:abstractNumId w:val="71"/>
  </w:num>
  <w:num w:numId="97">
    <w:abstractNumId w:val="83"/>
  </w:num>
  <w:num w:numId="98">
    <w:abstractNumId w:val="101"/>
  </w:num>
  <w:num w:numId="99">
    <w:abstractNumId w:val="107"/>
  </w:num>
  <w:num w:numId="100">
    <w:abstractNumId w:val="37"/>
  </w:num>
  <w:num w:numId="101">
    <w:abstractNumId w:val="93"/>
  </w:num>
  <w:num w:numId="102">
    <w:abstractNumId w:val="80"/>
  </w:num>
  <w:num w:numId="103">
    <w:abstractNumId w:val="4"/>
  </w:num>
  <w:num w:numId="104">
    <w:abstractNumId w:val="104"/>
  </w:num>
  <w:num w:numId="105">
    <w:abstractNumId w:val="39"/>
  </w:num>
  <w:num w:numId="106">
    <w:abstractNumId w:val="105"/>
  </w:num>
  <w:num w:numId="107">
    <w:abstractNumId w:val="88"/>
  </w:num>
  <w:num w:numId="108">
    <w:abstractNumId w:val="61"/>
  </w:num>
  <w:num w:numId="109">
    <w:abstractNumId w:val="30"/>
  </w:num>
  <w:num w:numId="110">
    <w:abstractNumId w:val="27"/>
  </w:num>
  <w:num w:numId="111">
    <w:abstractNumId w:val="77"/>
  </w:num>
  <w:num w:numId="112">
    <w:abstractNumId w:val="32"/>
  </w:num>
  <w:num w:numId="1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mirrorMargin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425"/>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137E"/>
    <w:rsid w:val="00000668"/>
    <w:rsid w:val="00002537"/>
    <w:rsid w:val="00003DB9"/>
    <w:rsid w:val="00004290"/>
    <w:rsid w:val="00004678"/>
    <w:rsid w:val="00005FD2"/>
    <w:rsid w:val="00007520"/>
    <w:rsid w:val="00010810"/>
    <w:rsid w:val="00010EBB"/>
    <w:rsid w:val="000117E5"/>
    <w:rsid w:val="00012C95"/>
    <w:rsid w:val="000131D3"/>
    <w:rsid w:val="00013ED1"/>
    <w:rsid w:val="00014692"/>
    <w:rsid w:val="00015163"/>
    <w:rsid w:val="00015BCD"/>
    <w:rsid w:val="000164C7"/>
    <w:rsid w:val="00017954"/>
    <w:rsid w:val="00020C9E"/>
    <w:rsid w:val="0002131C"/>
    <w:rsid w:val="00021EDA"/>
    <w:rsid w:val="00022D31"/>
    <w:rsid w:val="00024BE4"/>
    <w:rsid w:val="00024EBE"/>
    <w:rsid w:val="000254D6"/>
    <w:rsid w:val="00025BF4"/>
    <w:rsid w:val="000264FC"/>
    <w:rsid w:val="000269A6"/>
    <w:rsid w:val="000276D1"/>
    <w:rsid w:val="00027DFD"/>
    <w:rsid w:val="00030E9A"/>
    <w:rsid w:val="00030F34"/>
    <w:rsid w:val="00030F6A"/>
    <w:rsid w:val="000318BC"/>
    <w:rsid w:val="00031D3A"/>
    <w:rsid w:val="0003493B"/>
    <w:rsid w:val="00036347"/>
    <w:rsid w:val="00036874"/>
    <w:rsid w:val="0003759C"/>
    <w:rsid w:val="000404E9"/>
    <w:rsid w:val="00041341"/>
    <w:rsid w:val="00042297"/>
    <w:rsid w:val="00042358"/>
    <w:rsid w:val="00042B88"/>
    <w:rsid w:val="000440B5"/>
    <w:rsid w:val="00044142"/>
    <w:rsid w:val="00046FBF"/>
    <w:rsid w:val="0005042C"/>
    <w:rsid w:val="00050438"/>
    <w:rsid w:val="00051C9F"/>
    <w:rsid w:val="00054EA2"/>
    <w:rsid w:val="00056520"/>
    <w:rsid w:val="000569B6"/>
    <w:rsid w:val="00056ABC"/>
    <w:rsid w:val="0006130E"/>
    <w:rsid w:val="000643CF"/>
    <w:rsid w:val="000650EE"/>
    <w:rsid w:val="00066380"/>
    <w:rsid w:val="00067CFE"/>
    <w:rsid w:val="000704EE"/>
    <w:rsid w:val="000726C4"/>
    <w:rsid w:val="00072946"/>
    <w:rsid w:val="000731B1"/>
    <w:rsid w:val="00073495"/>
    <w:rsid w:val="00073A73"/>
    <w:rsid w:val="00073D4C"/>
    <w:rsid w:val="000750CA"/>
    <w:rsid w:val="00075715"/>
    <w:rsid w:val="000757C4"/>
    <w:rsid w:val="00075858"/>
    <w:rsid w:val="00076206"/>
    <w:rsid w:val="00076637"/>
    <w:rsid w:val="000769DB"/>
    <w:rsid w:val="000770EA"/>
    <w:rsid w:val="00077546"/>
    <w:rsid w:val="00077F03"/>
    <w:rsid w:val="00081193"/>
    <w:rsid w:val="00082169"/>
    <w:rsid w:val="00083D0B"/>
    <w:rsid w:val="00083F1F"/>
    <w:rsid w:val="00084DB4"/>
    <w:rsid w:val="00084F0E"/>
    <w:rsid w:val="0008536C"/>
    <w:rsid w:val="00086370"/>
    <w:rsid w:val="00090FE9"/>
    <w:rsid w:val="000927CB"/>
    <w:rsid w:val="000930E7"/>
    <w:rsid w:val="00093DDE"/>
    <w:rsid w:val="0009421A"/>
    <w:rsid w:val="000945A9"/>
    <w:rsid w:val="000946E2"/>
    <w:rsid w:val="0009473F"/>
    <w:rsid w:val="0009575D"/>
    <w:rsid w:val="000962A0"/>
    <w:rsid w:val="00097029"/>
    <w:rsid w:val="000974BA"/>
    <w:rsid w:val="00097E6E"/>
    <w:rsid w:val="00097E8F"/>
    <w:rsid w:val="000A1902"/>
    <w:rsid w:val="000A2F02"/>
    <w:rsid w:val="000A33BC"/>
    <w:rsid w:val="000A3534"/>
    <w:rsid w:val="000A41C3"/>
    <w:rsid w:val="000A4411"/>
    <w:rsid w:val="000A5491"/>
    <w:rsid w:val="000A5754"/>
    <w:rsid w:val="000A60C7"/>
    <w:rsid w:val="000A730F"/>
    <w:rsid w:val="000A753A"/>
    <w:rsid w:val="000B10FE"/>
    <w:rsid w:val="000B12A8"/>
    <w:rsid w:val="000B12FD"/>
    <w:rsid w:val="000B2018"/>
    <w:rsid w:val="000B2494"/>
    <w:rsid w:val="000B5F64"/>
    <w:rsid w:val="000B62D3"/>
    <w:rsid w:val="000B6F01"/>
    <w:rsid w:val="000C0AD9"/>
    <w:rsid w:val="000C318F"/>
    <w:rsid w:val="000C3570"/>
    <w:rsid w:val="000C35BA"/>
    <w:rsid w:val="000C3FC9"/>
    <w:rsid w:val="000C42D8"/>
    <w:rsid w:val="000C51E1"/>
    <w:rsid w:val="000C5C9F"/>
    <w:rsid w:val="000C6055"/>
    <w:rsid w:val="000C628E"/>
    <w:rsid w:val="000C64C9"/>
    <w:rsid w:val="000C65D1"/>
    <w:rsid w:val="000C66C2"/>
    <w:rsid w:val="000C7428"/>
    <w:rsid w:val="000D13F2"/>
    <w:rsid w:val="000D1FC3"/>
    <w:rsid w:val="000D2A50"/>
    <w:rsid w:val="000D2EC5"/>
    <w:rsid w:val="000D3768"/>
    <w:rsid w:val="000D395A"/>
    <w:rsid w:val="000D503C"/>
    <w:rsid w:val="000E0C4F"/>
    <w:rsid w:val="000E0E94"/>
    <w:rsid w:val="000E3856"/>
    <w:rsid w:val="000E4E80"/>
    <w:rsid w:val="000E5456"/>
    <w:rsid w:val="000E6827"/>
    <w:rsid w:val="000E7DC7"/>
    <w:rsid w:val="000E7DF0"/>
    <w:rsid w:val="000F032C"/>
    <w:rsid w:val="000F1514"/>
    <w:rsid w:val="000F1DD8"/>
    <w:rsid w:val="000F2123"/>
    <w:rsid w:val="000F2C41"/>
    <w:rsid w:val="000F3E7A"/>
    <w:rsid w:val="000F46AA"/>
    <w:rsid w:val="000F65CF"/>
    <w:rsid w:val="000F6E93"/>
    <w:rsid w:val="000F738F"/>
    <w:rsid w:val="000F7563"/>
    <w:rsid w:val="000F7D89"/>
    <w:rsid w:val="001029B4"/>
    <w:rsid w:val="00102E13"/>
    <w:rsid w:val="00104A02"/>
    <w:rsid w:val="00105AD7"/>
    <w:rsid w:val="001077D0"/>
    <w:rsid w:val="001118B6"/>
    <w:rsid w:val="00111B77"/>
    <w:rsid w:val="00112C36"/>
    <w:rsid w:val="00114621"/>
    <w:rsid w:val="001166FF"/>
    <w:rsid w:val="0011755A"/>
    <w:rsid w:val="00122F0A"/>
    <w:rsid w:val="001231E3"/>
    <w:rsid w:val="00124083"/>
    <w:rsid w:val="00124841"/>
    <w:rsid w:val="00125363"/>
    <w:rsid w:val="00125705"/>
    <w:rsid w:val="00125833"/>
    <w:rsid w:val="001261D6"/>
    <w:rsid w:val="0013056F"/>
    <w:rsid w:val="00130898"/>
    <w:rsid w:val="0013528E"/>
    <w:rsid w:val="001357DD"/>
    <w:rsid w:val="001367BE"/>
    <w:rsid w:val="001379E5"/>
    <w:rsid w:val="00140130"/>
    <w:rsid w:val="001422F2"/>
    <w:rsid w:val="001424CB"/>
    <w:rsid w:val="00142C62"/>
    <w:rsid w:val="00142E1E"/>
    <w:rsid w:val="00143F9C"/>
    <w:rsid w:val="001442C0"/>
    <w:rsid w:val="0014535E"/>
    <w:rsid w:val="00145D40"/>
    <w:rsid w:val="00146C76"/>
    <w:rsid w:val="001471A0"/>
    <w:rsid w:val="0015077A"/>
    <w:rsid w:val="00150902"/>
    <w:rsid w:val="00150D07"/>
    <w:rsid w:val="0015159F"/>
    <w:rsid w:val="00153132"/>
    <w:rsid w:val="00153458"/>
    <w:rsid w:val="001553D7"/>
    <w:rsid w:val="00155676"/>
    <w:rsid w:val="001558C1"/>
    <w:rsid w:val="00155DCE"/>
    <w:rsid w:val="001571A5"/>
    <w:rsid w:val="00157643"/>
    <w:rsid w:val="00157A6D"/>
    <w:rsid w:val="001611E0"/>
    <w:rsid w:val="00161696"/>
    <w:rsid w:val="001617E2"/>
    <w:rsid w:val="0016225D"/>
    <w:rsid w:val="0016339C"/>
    <w:rsid w:val="00164025"/>
    <w:rsid w:val="001644DB"/>
    <w:rsid w:val="00164FB9"/>
    <w:rsid w:val="001650CB"/>
    <w:rsid w:val="00166001"/>
    <w:rsid w:val="001661BA"/>
    <w:rsid w:val="00171FBD"/>
    <w:rsid w:val="00174E38"/>
    <w:rsid w:val="00175153"/>
    <w:rsid w:val="0017555F"/>
    <w:rsid w:val="0017645D"/>
    <w:rsid w:val="00176553"/>
    <w:rsid w:val="001766C4"/>
    <w:rsid w:val="00177B2E"/>
    <w:rsid w:val="001805B2"/>
    <w:rsid w:val="001808BE"/>
    <w:rsid w:val="0018102F"/>
    <w:rsid w:val="001817C3"/>
    <w:rsid w:val="00182B52"/>
    <w:rsid w:val="00184187"/>
    <w:rsid w:val="00187F03"/>
    <w:rsid w:val="0019003F"/>
    <w:rsid w:val="00190798"/>
    <w:rsid w:val="001913CA"/>
    <w:rsid w:val="001923A4"/>
    <w:rsid w:val="00192B0E"/>
    <w:rsid w:val="0019317C"/>
    <w:rsid w:val="0019425E"/>
    <w:rsid w:val="0019448E"/>
    <w:rsid w:val="001949B2"/>
    <w:rsid w:val="00195054"/>
    <w:rsid w:val="001A009B"/>
    <w:rsid w:val="001A19C8"/>
    <w:rsid w:val="001A2E63"/>
    <w:rsid w:val="001A43C0"/>
    <w:rsid w:val="001A5478"/>
    <w:rsid w:val="001A61EA"/>
    <w:rsid w:val="001A6458"/>
    <w:rsid w:val="001B030B"/>
    <w:rsid w:val="001B1B8F"/>
    <w:rsid w:val="001B2AB0"/>
    <w:rsid w:val="001B3163"/>
    <w:rsid w:val="001B396D"/>
    <w:rsid w:val="001B51BC"/>
    <w:rsid w:val="001B5411"/>
    <w:rsid w:val="001B6784"/>
    <w:rsid w:val="001B6B70"/>
    <w:rsid w:val="001B6BC1"/>
    <w:rsid w:val="001B6D65"/>
    <w:rsid w:val="001C10EB"/>
    <w:rsid w:val="001C115C"/>
    <w:rsid w:val="001C20B7"/>
    <w:rsid w:val="001C27F7"/>
    <w:rsid w:val="001C2F2F"/>
    <w:rsid w:val="001C4DCD"/>
    <w:rsid w:val="001C4F21"/>
    <w:rsid w:val="001C56E1"/>
    <w:rsid w:val="001C5791"/>
    <w:rsid w:val="001C750E"/>
    <w:rsid w:val="001C7BC3"/>
    <w:rsid w:val="001C7CB7"/>
    <w:rsid w:val="001D24FE"/>
    <w:rsid w:val="001D2F9A"/>
    <w:rsid w:val="001D41BF"/>
    <w:rsid w:val="001D4B8B"/>
    <w:rsid w:val="001D534B"/>
    <w:rsid w:val="001D592D"/>
    <w:rsid w:val="001D67B3"/>
    <w:rsid w:val="001D7612"/>
    <w:rsid w:val="001E0545"/>
    <w:rsid w:val="001E1127"/>
    <w:rsid w:val="001E1D0B"/>
    <w:rsid w:val="001E21F0"/>
    <w:rsid w:val="001E248B"/>
    <w:rsid w:val="001E2EAE"/>
    <w:rsid w:val="001E3490"/>
    <w:rsid w:val="001E6299"/>
    <w:rsid w:val="001E6773"/>
    <w:rsid w:val="001E6DF6"/>
    <w:rsid w:val="001E704E"/>
    <w:rsid w:val="001E72E7"/>
    <w:rsid w:val="001E7619"/>
    <w:rsid w:val="001F0180"/>
    <w:rsid w:val="001F2856"/>
    <w:rsid w:val="001F3D11"/>
    <w:rsid w:val="001F5301"/>
    <w:rsid w:val="001F75F0"/>
    <w:rsid w:val="001F791D"/>
    <w:rsid w:val="002002A2"/>
    <w:rsid w:val="0020121C"/>
    <w:rsid w:val="002013FE"/>
    <w:rsid w:val="0020384B"/>
    <w:rsid w:val="00204796"/>
    <w:rsid w:val="00205E69"/>
    <w:rsid w:val="00206797"/>
    <w:rsid w:val="0020763B"/>
    <w:rsid w:val="00210728"/>
    <w:rsid w:val="00211230"/>
    <w:rsid w:val="00212CCC"/>
    <w:rsid w:val="0021319E"/>
    <w:rsid w:val="00214076"/>
    <w:rsid w:val="002157DB"/>
    <w:rsid w:val="00216F52"/>
    <w:rsid w:val="00217086"/>
    <w:rsid w:val="0021725C"/>
    <w:rsid w:val="002205CE"/>
    <w:rsid w:val="00221F18"/>
    <w:rsid w:val="0022416B"/>
    <w:rsid w:val="00225FBB"/>
    <w:rsid w:val="00226A5F"/>
    <w:rsid w:val="00226BF7"/>
    <w:rsid w:val="002271C0"/>
    <w:rsid w:val="00230389"/>
    <w:rsid w:val="002305BF"/>
    <w:rsid w:val="00230E86"/>
    <w:rsid w:val="00231507"/>
    <w:rsid w:val="00231694"/>
    <w:rsid w:val="002316DD"/>
    <w:rsid w:val="00231DE1"/>
    <w:rsid w:val="002342A4"/>
    <w:rsid w:val="002379B6"/>
    <w:rsid w:val="00237CDD"/>
    <w:rsid w:val="00237E08"/>
    <w:rsid w:val="0024093F"/>
    <w:rsid w:val="00241303"/>
    <w:rsid w:val="00241637"/>
    <w:rsid w:val="00242474"/>
    <w:rsid w:val="002434D7"/>
    <w:rsid w:val="00243B3D"/>
    <w:rsid w:val="00243BB9"/>
    <w:rsid w:val="0024438C"/>
    <w:rsid w:val="00244540"/>
    <w:rsid w:val="00245527"/>
    <w:rsid w:val="00245636"/>
    <w:rsid w:val="002456FB"/>
    <w:rsid w:val="00245A2A"/>
    <w:rsid w:val="0024677E"/>
    <w:rsid w:val="00250E85"/>
    <w:rsid w:val="00250F3A"/>
    <w:rsid w:val="002517F3"/>
    <w:rsid w:val="00252789"/>
    <w:rsid w:val="002527B1"/>
    <w:rsid w:val="00252DF9"/>
    <w:rsid w:val="0025375C"/>
    <w:rsid w:val="00253DF3"/>
    <w:rsid w:val="002542CD"/>
    <w:rsid w:val="00254A47"/>
    <w:rsid w:val="00254C80"/>
    <w:rsid w:val="00254FA6"/>
    <w:rsid w:val="002550EE"/>
    <w:rsid w:val="00255C0F"/>
    <w:rsid w:val="00256BF9"/>
    <w:rsid w:val="00257178"/>
    <w:rsid w:val="002571C8"/>
    <w:rsid w:val="0025771A"/>
    <w:rsid w:val="0026010F"/>
    <w:rsid w:val="0026042A"/>
    <w:rsid w:val="0026075B"/>
    <w:rsid w:val="00260B6E"/>
    <w:rsid w:val="00260B86"/>
    <w:rsid w:val="0026111C"/>
    <w:rsid w:val="002642FC"/>
    <w:rsid w:val="00264D1C"/>
    <w:rsid w:val="00266350"/>
    <w:rsid w:val="00271249"/>
    <w:rsid w:val="002717A2"/>
    <w:rsid w:val="00271A32"/>
    <w:rsid w:val="0027249B"/>
    <w:rsid w:val="0027293A"/>
    <w:rsid w:val="00273734"/>
    <w:rsid w:val="0027457D"/>
    <w:rsid w:val="0027586E"/>
    <w:rsid w:val="00277E28"/>
    <w:rsid w:val="002802D4"/>
    <w:rsid w:val="00280390"/>
    <w:rsid w:val="0028144E"/>
    <w:rsid w:val="00281663"/>
    <w:rsid w:val="00282174"/>
    <w:rsid w:val="0028217A"/>
    <w:rsid w:val="00282342"/>
    <w:rsid w:val="00282BF9"/>
    <w:rsid w:val="002837BD"/>
    <w:rsid w:val="00283EC4"/>
    <w:rsid w:val="00284FAA"/>
    <w:rsid w:val="00287848"/>
    <w:rsid w:val="002878EE"/>
    <w:rsid w:val="00290AA6"/>
    <w:rsid w:val="00291059"/>
    <w:rsid w:val="002922C1"/>
    <w:rsid w:val="00292D46"/>
    <w:rsid w:val="0029316E"/>
    <w:rsid w:val="00293BDE"/>
    <w:rsid w:val="00294980"/>
    <w:rsid w:val="00296FA2"/>
    <w:rsid w:val="002A07D6"/>
    <w:rsid w:val="002A09F7"/>
    <w:rsid w:val="002A14AD"/>
    <w:rsid w:val="002A1B07"/>
    <w:rsid w:val="002A26D0"/>
    <w:rsid w:val="002A2AA0"/>
    <w:rsid w:val="002A5A23"/>
    <w:rsid w:val="002A5E3C"/>
    <w:rsid w:val="002A68E5"/>
    <w:rsid w:val="002A7E86"/>
    <w:rsid w:val="002B1AFC"/>
    <w:rsid w:val="002B25B5"/>
    <w:rsid w:val="002B2AD0"/>
    <w:rsid w:val="002B2B8C"/>
    <w:rsid w:val="002B2EC4"/>
    <w:rsid w:val="002B3B5B"/>
    <w:rsid w:val="002B45CD"/>
    <w:rsid w:val="002B5331"/>
    <w:rsid w:val="002B5C86"/>
    <w:rsid w:val="002B5DDA"/>
    <w:rsid w:val="002B5F51"/>
    <w:rsid w:val="002B6303"/>
    <w:rsid w:val="002B63A5"/>
    <w:rsid w:val="002B6C29"/>
    <w:rsid w:val="002B6C3E"/>
    <w:rsid w:val="002C1111"/>
    <w:rsid w:val="002C11D0"/>
    <w:rsid w:val="002C13CA"/>
    <w:rsid w:val="002C152E"/>
    <w:rsid w:val="002C1B25"/>
    <w:rsid w:val="002C251B"/>
    <w:rsid w:val="002C35A9"/>
    <w:rsid w:val="002C3A9A"/>
    <w:rsid w:val="002C44BC"/>
    <w:rsid w:val="002C49A7"/>
    <w:rsid w:val="002C6A21"/>
    <w:rsid w:val="002C6FD5"/>
    <w:rsid w:val="002C7201"/>
    <w:rsid w:val="002C75E8"/>
    <w:rsid w:val="002D0AB3"/>
    <w:rsid w:val="002D1710"/>
    <w:rsid w:val="002D1F0E"/>
    <w:rsid w:val="002D2782"/>
    <w:rsid w:val="002D3C95"/>
    <w:rsid w:val="002D3DD6"/>
    <w:rsid w:val="002D4476"/>
    <w:rsid w:val="002D5326"/>
    <w:rsid w:val="002D5DB2"/>
    <w:rsid w:val="002D6D42"/>
    <w:rsid w:val="002D75EE"/>
    <w:rsid w:val="002D7719"/>
    <w:rsid w:val="002D7E0E"/>
    <w:rsid w:val="002E1411"/>
    <w:rsid w:val="002E1E60"/>
    <w:rsid w:val="002E3FAD"/>
    <w:rsid w:val="002E4639"/>
    <w:rsid w:val="002E6372"/>
    <w:rsid w:val="002E755B"/>
    <w:rsid w:val="002F0D1A"/>
    <w:rsid w:val="002F1B3F"/>
    <w:rsid w:val="002F3F9C"/>
    <w:rsid w:val="002F5A27"/>
    <w:rsid w:val="002F6875"/>
    <w:rsid w:val="002F6A07"/>
    <w:rsid w:val="002F6A2C"/>
    <w:rsid w:val="002F6D0E"/>
    <w:rsid w:val="003023EC"/>
    <w:rsid w:val="00303D78"/>
    <w:rsid w:val="00303F62"/>
    <w:rsid w:val="00304F38"/>
    <w:rsid w:val="0030618C"/>
    <w:rsid w:val="00307B4C"/>
    <w:rsid w:val="00307C50"/>
    <w:rsid w:val="00310491"/>
    <w:rsid w:val="00312636"/>
    <w:rsid w:val="00312F9A"/>
    <w:rsid w:val="00313A22"/>
    <w:rsid w:val="003142C2"/>
    <w:rsid w:val="00314851"/>
    <w:rsid w:val="00314E23"/>
    <w:rsid w:val="003150B3"/>
    <w:rsid w:val="003153BB"/>
    <w:rsid w:val="00317B29"/>
    <w:rsid w:val="00321286"/>
    <w:rsid w:val="003222CF"/>
    <w:rsid w:val="00322541"/>
    <w:rsid w:val="003227E5"/>
    <w:rsid w:val="003231B6"/>
    <w:rsid w:val="0032339E"/>
    <w:rsid w:val="00323ACB"/>
    <w:rsid w:val="00324122"/>
    <w:rsid w:val="003254C7"/>
    <w:rsid w:val="00326725"/>
    <w:rsid w:val="0032728F"/>
    <w:rsid w:val="00333EA4"/>
    <w:rsid w:val="003346BC"/>
    <w:rsid w:val="00334748"/>
    <w:rsid w:val="00334BA1"/>
    <w:rsid w:val="003360D8"/>
    <w:rsid w:val="003366A3"/>
    <w:rsid w:val="00337A83"/>
    <w:rsid w:val="003401DC"/>
    <w:rsid w:val="003414CF"/>
    <w:rsid w:val="00341780"/>
    <w:rsid w:val="00341B12"/>
    <w:rsid w:val="00342086"/>
    <w:rsid w:val="003435DF"/>
    <w:rsid w:val="0034576C"/>
    <w:rsid w:val="00345856"/>
    <w:rsid w:val="003459FE"/>
    <w:rsid w:val="003467B1"/>
    <w:rsid w:val="00346A03"/>
    <w:rsid w:val="00346C3A"/>
    <w:rsid w:val="00347517"/>
    <w:rsid w:val="0034788E"/>
    <w:rsid w:val="00350174"/>
    <w:rsid w:val="003506E7"/>
    <w:rsid w:val="00351326"/>
    <w:rsid w:val="003513A2"/>
    <w:rsid w:val="003514A7"/>
    <w:rsid w:val="00351562"/>
    <w:rsid w:val="00353348"/>
    <w:rsid w:val="003552D8"/>
    <w:rsid w:val="00356B3B"/>
    <w:rsid w:val="00356FBF"/>
    <w:rsid w:val="00357F03"/>
    <w:rsid w:val="0036110D"/>
    <w:rsid w:val="00361163"/>
    <w:rsid w:val="0036228D"/>
    <w:rsid w:val="00362575"/>
    <w:rsid w:val="00362951"/>
    <w:rsid w:val="00362E6B"/>
    <w:rsid w:val="00363253"/>
    <w:rsid w:val="00363DDD"/>
    <w:rsid w:val="00364D76"/>
    <w:rsid w:val="003651FA"/>
    <w:rsid w:val="00365264"/>
    <w:rsid w:val="00365317"/>
    <w:rsid w:val="00365B4D"/>
    <w:rsid w:val="003668EE"/>
    <w:rsid w:val="00367717"/>
    <w:rsid w:val="0037088E"/>
    <w:rsid w:val="0037171C"/>
    <w:rsid w:val="00371768"/>
    <w:rsid w:val="003731D7"/>
    <w:rsid w:val="003732DA"/>
    <w:rsid w:val="003733AE"/>
    <w:rsid w:val="00373729"/>
    <w:rsid w:val="00374292"/>
    <w:rsid w:val="00374B8F"/>
    <w:rsid w:val="00375A11"/>
    <w:rsid w:val="00375B5C"/>
    <w:rsid w:val="003761F2"/>
    <w:rsid w:val="003775DE"/>
    <w:rsid w:val="003776C1"/>
    <w:rsid w:val="003777F4"/>
    <w:rsid w:val="003807F4"/>
    <w:rsid w:val="00381FDD"/>
    <w:rsid w:val="00382367"/>
    <w:rsid w:val="00383946"/>
    <w:rsid w:val="00383F9D"/>
    <w:rsid w:val="00384BB6"/>
    <w:rsid w:val="00385364"/>
    <w:rsid w:val="00385B0A"/>
    <w:rsid w:val="00385C4A"/>
    <w:rsid w:val="003862BA"/>
    <w:rsid w:val="00387B45"/>
    <w:rsid w:val="003914AF"/>
    <w:rsid w:val="00391760"/>
    <w:rsid w:val="0039182B"/>
    <w:rsid w:val="00391BFE"/>
    <w:rsid w:val="0039208E"/>
    <w:rsid w:val="003923FF"/>
    <w:rsid w:val="003927BC"/>
    <w:rsid w:val="0039296B"/>
    <w:rsid w:val="00392E3C"/>
    <w:rsid w:val="00393477"/>
    <w:rsid w:val="0039359F"/>
    <w:rsid w:val="00393CA1"/>
    <w:rsid w:val="00394D04"/>
    <w:rsid w:val="00396E36"/>
    <w:rsid w:val="003977B4"/>
    <w:rsid w:val="00397DBC"/>
    <w:rsid w:val="003A0C24"/>
    <w:rsid w:val="003A0FA0"/>
    <w:rsid w:val="003A107F"/>
    <w:rsid w:val="003A2543"/>
    <w:rsid w:val="003A34D4"/>
    <w:rsid w:val="003A66A9"/>
    <w:rsid w:val="003A66F0"/>
    <w:rsid w:val="003A71CB"/>
    <w:rsid w:val="003A76E2"/>
    <w:rsid w:val="003A77C5"/>
    <w:rsid w:val="003A7F11"/>
    <w:rsid w:val="003B1369"/>
    <w:rsid w:val="003B1EE8"/>
    <w:rsid w:val="003B52B2"/>
    <w:rsid w:val="003B5811"/>
    <w:rsid w:val="003B58CB"/>
    <w:rsid w:val="003B5D26"/>
    <w:rsid w:val="003B72B4"/>
    <w:rsid w:val="003B7611"/>
    <w:rsid w:val="003C0143"/>
    <w:rsid w:val="003C0EBF"/>
    <w:rsid w:val="003C14B8"/>
    <w:rsid w:val="003C211C"/>
    <w:rsid w:val="003C3DF2"/>
    <w:rsid w:val="003C42A9"/>
    <w:rsid w:val="003C724F"/>
    <w:rsid w:val="003D04EB"/>
    <w:rsid w:val="003D0CE0"/>
    <w:rsid w:val="003D148D"/>
    <w:rsid w:val="003D2668"/>
    <w:rsid w:val="003D3604"/>
    <w:rsid w:val="003D511E"/>
    <w:rsid w:val="003D5728"/>
    <w:rsid w:val="003D6BE2"/>
    <w:rsid w:val="003D7EE6"/>
    <w:rsid w:val="003E0BB4"/>
    <w:rsid w:val="003E1532"/>
    <w:rsid w:val="003E2E65"/>
    <w:rsid w:val="003E375B"/>
    <w:rsid w:val="003E5084"/>
    <w:rsid w:val="003E5979"/>
    <w:rsid w:val="003E5A18"/>
    <w:rsid w:val="003E7178"/>
    <w:rsid w:val="003E7A5A"/>
    <w:rsid w:val="003F0071"/>
    <w:rsid w:val="003F1FC7"/>
    <w:rsid w:val="003F21BB"/>
    <w:rsid w:val="003F2BF5"/>
    <w:rsid w:val="003F3542"/>
    <w:rsid w:val="003F4DEA"/>
    <w:rsid w:val="003F5258"/>
    <w:rsid w:val="003F5BCC"/>
    <w:rsid w:val="003F6F15"/>
    <w:rsid w:val="003F784D"/>
    <w:rsid w:val="003F7C85"/>
    <w:rsid w:val="00401190"/>
    <w:rsid w:val="00401347"/>
    <w:rsid w:val="00401554"/>
    <w:rsid w:val="004019FA"/>
    <w:rsid w:val="00402154"/>
    <w:rsid w:val="0040398B"/>
    <w:rsid w:val="0040531F"/>
    <w:rsid w:val="004055F1"/>
    <w:rsid w:val="004113BF"/>
    <w:rsid w:val="00411AFC"/>
    <w:rsid w:val="00411B9C"/>
    <w:rsid w:val="00411F72"/>
    <w:rsid w:val="00413EC3"/>
    <w:rsid w:val="00414361"/>
    <w:rsid w:val="004145A3"/>
    <w:rsid w:val="00415BAA"/>
    <w:rsid w:val="00415DF5"/>
    <w:rsid w:val="004165F0"/>
    <w:rsid w:val="0041735C"/>
    <w:rsid w:val="00417519"/>
    <w:rsid w:val="00417B5E"/>
    <w:rsid w:val="00417C5A"/>
    <w:rsid w:val="00420D42"/>
    <w:rsid w:val="00420FDE"/>
    <w:rsid w:val="00421433"/>
    <w:rsid w:val="00421B8C"/>
    <w:rsid w:val="00421E63"/>
    <w:rsid w:val="0042279F"/>
    <w:rsid w:val="00422CE9"/>
    <w:rsid w:val="00425822"/>
    <w:rsid w:val="00425DBD"/>
    <w:rsid w:val="0042636C"/>
    <w:rsid w:val="00426A91"/>
    <w:rsid w:val="00431DDA"/>
    <w:rsid w:val="00431EC8"/>
    <w:rsid w:val="00432D52"/>
    <w:rsid w:val="00433326"/>
    <w:rsid w:val="004333A2"/>
    <w:rsid w:val="004343AA"/>
    <w:rsid w:val="00434E5B"/>
    <w:rsid w:val="00435843"/>
    <w:rsid w:val="00436D84"/>
    <w:rsid w:val="00436ED2"/>
    <w:rsid w:val="00437C64"/>
    <w:rsid w:val="00437D57"/>
    <w:rsid w:val="00440B64"/>
    <w:rsid w:val="00440CF8"/>
    <w:rsid w:val="00441A4B"/>
    <w:rsid w:val="00441F8C"/>
    <w:rsid w:val="0044297F"/>
    <w:rsid w:val="0044379E"/>
    <w:rsid w:val="00443921"/>
    <w:rsid w:val="00444E2A"/>
    <w:rsid w:val="00444E80"/>
    <w:rsid w:val="00444F16"/>
    <w:rsid w:val="004452EF"/>
    <w:rsid w:val="004454E5"/>
    <w:rsid w:val="00447B4A"/>
    <w:rsid w:val="00447B58"/>
    <w:rsid w:val="00447B9A"/>
    <w:rsid w:val="0045003C"/>
    <w:rsid w:val="00450406"/>
    <w:rsid w:val="00451A87"/>
    <w:rsid w:val="00452EF8"/>
    <w:rsid w:val="0045303A"/>
    <w:rsid w:val="004543E1"/>
    <w:rsid w:val="0045588A"/>
    <w:rsid w:val="00455B79"/>
    <w:rsid w:val="00455D72"/>
    <w:rsid w:val="00455FEF"/>
    <w:rsid w:val="004573A0"/>
    <w:rsid w:val="004608C7"/>
    <w:rsid w:val="00461871"/>
    <w:rsid w:val="004624C8"/>
    <w:rsid w:val="00462AB4"/>
    <w:rsid w:val="004635F6"/>
    <w:rsid w:val="0046389E"/>
    <w:rsid w:val="00463E48"/>
    <w:rsid w:val="00464F0B"/>
    <w:rsid w:val="004653F5"/>
    <w:rsid w:val="0046608F"/>
    <w:rsid w:val="00466DCD"/>
    <w:rsid w:val="004679EC"/>
    <w:rsid w:val="00467BA1"/>
    <w:rsid w:val="00467FC6"/>
    <w:rsid w:val="004714FB"/>
    <w:rsid w:val="004725DD"/>
    <w:rsid w:val="00473321"/>
    <w:rsid w:val="004736A7"/>
    <w:rsid w:val="004740D6"/>
    <w:rsid w:val="0047417A"/>
    <w:rsid w:val="00476009"/>
    <w:rsid w:val="004766A7"/>
    <w:rsid w:val="00477277"/>
    <w:rsid w:val="00477E99"/>
    <w:rsid w:val="00480AAF"/>
    <w:rsid w:val="00480E4E"/>
    <w:rsid w:val="00481E2E"/>
    <w:rsid w:val="00482271"/>
    <w:rsid w:val="00482C2E"/>
    <w:rsid w:val="00482E84"/>
    <w:rsid w:val="00483046"/>
    <w:rsid w:val="00483179"/>
    <w:rsid w:val="0048337A"/>
    <w:rsid w:val="0048351D"/>
    <w:rsid w:val="00483B5F"/>
    <w:rsid w:val="00483FBD"/>
    <w:rsid w:val="004848E1"/>
    <w:rsid w:val="00484ED3"/>
    <w:rsid w:val="0048525D"/>
    <w:rsid w:val="004853F0"/>
    <w:rsid w:val="00486718"/>
    <w:rsid w:val="004907CD"/>
    <w:rsid w:val="004911A5"/>
    <w:rsid w:val="004917ED"/>
    <w:rsid w:val="0049362E"/>
    <w:rsid w:val="00493843"/>
    <w:rsid w:val="00493E84"/>
    <w:rsid w:val="00494432"/>
    <w:rsid w:val="00494506"/>
    <w:rsid w:val="00494BA9"/>
    <w:rsid w:val="00494ED9"/>
    <w:rsid w:val="00495A52"/>
    <w:rsid w:val="00496A14"/>
    <w:rsid w:val="00496FC5"/>
    <w:rsid w:val="004A093E"/>
    <w:rsid w:val="004A0C1B"/>
    <w:rsid w:val="004A1111"/>
    <w:rsid w:val="004A12F1"/>
    <w:rsid w:val="004A16A6"/>
    <w:rsid w:val="004A19DE"/>
    <w:rsid w:val="004A2C09"/>
    <w:rsid w:val="004A2ED8"/>
    <w:rsid w:val="004A3457"/>
    <w:rsid w:val="004A37A0"/>
    <w:rsid w:val="004A3811"/>
    <w:rsid w:val="004A4348"/>
    <w:rsid w:val="004A4C16"/>
    <w:rsid w:val="004A5400"/>
    <w:rsid w:val="004A64BC"/>
    <w:rsid w:val="004A6DAD"/>
    <w:rsid w:val="004A7402"/>
    <w:rsid w:val="004A77FC"/>
    <w:rsid w:val="004A7FFE"/>
    <w:rsid w:val="004B03AA"/>
    <w:rsid w:val="004B03D2"/>
    <w:rsid w:val="004B0753"/>
    <w:rsid w:val="004B0B8D"/>
    <w:rsid w:val="004B196E"/>
    <w:rsid w:val="004B1AD5"/>
    <w:rsid w:val="004B293E"/>
    <w:rsid w:val="004B329D"/>
    <w:rsid w:val="004B3818"/>
    <w:rsid w:val="004B40A7"/>
    <w:rsid w:val="004B5B35"/>
    <w:rsid w:val="004B642F"/>
    <w:rsid w:val="004B6783"/>
    <w:rsid w:val="004C2025"/>
    <w:rsid w:val="004C2AD5"/>
    <w:rsid w:val="004C30A2"/>
    <w:rsid w:val="004C4BEA"/>
    <w:rsid w:val="004C4C3F"/>
    <w:rsid w:val="004C50AD"/>
    <w:rsid w:val="004C57FF"/>
    <w:rsid w:val="004C5AF5"/>
    <w:rsid w:val="004C6226"/>
    <w:rsid w:val="004D0E92"/>
    <w:rsid w:val="004D0EF5"/>
    <w:rsid w:val="004D212B"/>
    <w:rsid w:val="004D36D8"/>
    <w:rsid w:val="004D4AFD"/>
    <w:rsid w:val="004D4B32"/>
    <w:rsid w:val="004D56FC"/>
    <w:rsid w:val="004D650B"/>
    <w:rsid w:val="004D75A9"/>
    <w:rsid w:val="004E0757"/>
    <w:rsid w:val="004E1871"/>
    <w:rsid w:val="004E300D"/>
    <w:rsid w:val="004E3EEB"/>
    <w:rsid w:val="004E4FCE"/>
    <w:rsid w:val="004E5E48"/>
    <w:rsid w:val="004E6333"/>
    <w:rsid w:val="004E74C7"/>
    <w:rsid w:val="004E777F"/>
    <w:rsid w:val="004E7CE3"/>
    <w:rsid w:val="004E7F3A"/>
    <w:rsid w:val="004F03F3"/>
    <w:rsid w:val="004F0A74"/>
    <w:rsid w:val="004F173E"/>
    <w:rsid w:val="004F1F64"/>
    <w:rsid w:val="004F2B31"/>
    <w:rsid w:val="004F2D68"/>
    <w:rsid w:val="004F37AE"/>
    <w:rsid w:val="004F565E"/>
    <w:rsid w:val="004F6438"/>
    <w:rsid w:val="004F656A"/>
    <w:rsid w:val="004F7727"/>
    <w:rsid w:val="005002AA"/>
    <w:rsid w:val="00500BFD"/>
    <w:rsid w:val="00500D12"/>
    <w:rsid w:val="00501B3C"/>
    <w:rsid w:val="00502131"/>
    <w:rsid w:val="0050327D"/>
    <w:rsid w:val="00504278"/>
    <w:rsid w:val="00505018"/>
    <w:rsid w:val="00510292"/>
    <w:rsid w:val="00510568"/>
    <w:rsid w:val="005117DE"/>
    <w:rsid w:val="005120A9"/>
    <w:rsid w:val="005136F9"/>
    <w:rsid w:val="005141FF"/>
    <w:rsid w:val="005142F6"/>
    <w:rsid w:val="00514502"/>
    <w:rsid w:val="00516441"/>
    <w:rsid w:val="0051772D"/>
    <w:rsid w:val="00520170"/>
    <w:rsid w:val="005201AD"/>
    <w:rsid w:val="005205FC"/>
    <w:rsid w:val="005209C1"/>
    <w:rsid w:val="00520D27"/>
    <w:rsid w:val="005243B8"/>
    <w:rsid w:val="0052548E"/>
    <w:rsid w:val="0052746F"/>
    <w:rsid w:val="005300C1"/>
    <w:rsid w:val="00530459"/>
    <w:rsid w:val="00530525"/>
    <w:rsid w:val="00530C6F"/>
    <w:rsid w:val="005318E4"/>
    <w:rsid w:val="005320F9"/>
    <w:rsid w:val="005323BF"/>
    <w:rsid w:val="005332E8"/>
    <w:rsid w:val="00534FC8"/>
    <w:rsid w:val="0053632B"/>
    <w:rsid w:val="005376D9"/>
    <w:rsid w:val="005404A9"/>
    <w:rsid w:val="00540BB2"/>
    <w:rsid w:val="0054245C"/>
    <w:rsid w:val="00543CD0"/>
    <w:rsid w:val="005460DA"/>
    <w:rsid w:val="0054644D"/>
    <w:rsid w:val="00547E10"/>
    <w:rsid w:val="00547EE8"/>
    <w:rsid w:val="00550330"/>
    <w:rsid w:val="005504E2"/>
    <w:rsid w:val="00550D1A"/>
    <w:rsid w:val="00550E9A"/>
    <w:rsid w:val="00550F7F"/>
    <w:rsid w:val="00553959"/>
    <w:rsid w:val="00553B7C"/>
    <w:rsid w:val="0055424E"/>
    <w:rsid w:val="0055491D"/>
    <w:rsid w:val="005549F3"/>
    <w:rsid w:val="005554E5"/>
    <w:rsid w:val="005573D4"/>
    <w:rsid w:val="00557D62"/>
    <w:rsid w:val="0056025E"/>
    <w:rsid w:val="005607A8"/>
    <w:rsid w:val="00562057"/>
    <w:rsid w:val="00562175"/>
    <w:rsid w:val="00562B13"/>
    <w:rsid w:val="00564700"/>
    <w:rsid w:val="00564FB9"/>
    <w:rsid w:val="00565D2E"/>
    <w:rsid w:val="005663FA"/>
    <w:rsid w:val="005712C0"/>
    <w:rsid w:val="00571E47"/>
    <w:rsid w:val="00572482"/>
    <w:rsid w:val="00572600"/>
    <w:rsid w:val="00573AE1"/>
    <w:rsid w:val="00573D47"/>
    <w:rsid w:val="00574719"/>
    <w:rsid w:val="00574C22"/>
    <w:rsid w:val="00574E0E"/>
    <w:rsid w:val="00575F82"/>
    <w:rsid w:val="00576613"/>
    <w:rsid w:val="00577BA8"/>
    <w:rsid w:val="005802B7"/>
    <w:rsid w:val="00582329"/>
    <w:rsid w:val="0058258C"/>
    <w:rsid w:val="005825EC"/>
    <w:rsid w:val="005836A9"/>
    <w:rsid w:val="005837D3"/>
    <w:rsid w:val="0058435F"/>
    <w:rsid w:val="005849E0"/>
    <w:rsid w:val="00584CC6"/>
    <w:rsid w:val="0058673D"/>
    <w:rsid w:val="00586C8B"/>
    <w:rsid w:val="00587B73"/>
    <w:rsid w:val="00590A64"/>
    <w:rsid w:val="00591F0B"/>
    <w:rsid w:val="005920F7"/>
    <w:rsid w:val="00593780"/>
    <w:rsid w:val="005939B7"/>
    <w:rsid w:val="00593FE8"/>
    <w:rsid w:val="005940FB"/>
    <w:rsid w:val="00594146"/>
    <w:rsid w:val="00594A76"/>
    <w:rsid w:val="00595421"/>
    <w:rsid w:val="00596794"/>
    <w:rsid w:val="00597DD4"/>
    <w:rsid w:val="005A14AB"/>
    <w:rsid w:val="005A1774"/>
    <w:rsid w:val="005A27BC"/>
    <w:rsid w:val="005A2CED"/>
    <w:rsid w:val="005A2E9E"/>
    <w:rsid w:val="005A4931"/>
    <w:rsid w:val="005A538C"/>
    <w:rsid w:val="005A5D6F"/>
    <w:rsid w:val="005A60E3"/>
    <w:rsid w:val="005A66D1"/>
    <w:rsid w:val="005A7399"/>
    <w:rsid w:val="005A795F"/>
    <w:rsid w:val="005A7993"/>
    <w:rsid w:val="005B0505"/>
    <w:rsid w:val="005B251A"/>
    <w:rsid w:val="005B268C"/>
    <w:rsid w:val="005B2715"/>
    <w:rsid w:val="005B3041"/>
    <w:rsid w:val="005B3A4C"/>
    <w:rsid w:val="005B44EA"/>
    <w:rsid w:val="005B5550"/>
    <w:rsid w:val="005B587A"/>
    <w:rsid w:val="005B693E"/>
    <w:rsid w:val="005B6AFC"/>
    <w:rsid w:val="005B6EC4"/>
    <w:rsid w:val="005B6F1B"/>
    <w:rsid w:val="005B7519"/>
    <w:rsid w:val="005C02C8"/>
    <w:rsid w:val="005C12FB"/>
    <w:rsid w:val="005C154D"/>
    <w:rsid w:val="005C1757"/>
    <w:rsid w:val="005C1F3D"/>
    <w:rsid w:val="005C2069"/>
    <w:rsid w:val="005C27D9"/>
    <w:rsid w:val="005C4F38"/>
    <w:rsid w:val="005C5293"/>
    <w:rsid w:val="005C5366"/>
    <w:rsid w:val="005C5C8C"/>
    <w:rsid w:val="005C6557"/>
    <w:rsid w:val="005C65C8"/>
    <w:rsid w:val="005C6C16"/>
    <w:rsid w:val="005D2921"/>
    <w:rsid w:val="005D2EF8"/>
    <w:rsid w:val="005D376E"/>
    <w:rsid w:val="005D3FD9"/>
    <w:rsid w:val="005D4099"/>
    <w:rsid w:val="005D565D"/>
    <w:rsid w:val="005D71DF"/>
    <w:rsid w:val="005D76EC"/>
    <w:rsid w:val="005D772D"/>
    <w:rsid w:val="005E2731"/>
    <w:rsid w:val="005E2F1B"/>
    <w:rsid w:val="005E2F2E"/>
    <w:rsid w:val="005E3076"/>
    <w:rsid w:val="005E3E12"/>
    <w:rsid w:val="005E4505"/>
    <w:rsid w:val="005E4EA3"/>
    <w:rsid w:val="005E5734"/>
    <w:rsid w:val="005E5993"/>
    <w:rsid w:val="005E66BC"/>
    <w:rsid w:val="005E6716"/>
    <w:rsid w:val="005E7E9C"/>
    <w:rsid w:val="005F1053"/>
    <w:rsid w:val="005F1315"/>
    <w:rsid w:val="005F1AA7"/>
    <w:rsid w:val="005F1AD6"/>
    <w:rsid w:val="005F1B6F"/>
    <w:rsid w:val="005F1C4D"/>
    <w:rsid w:val="005F1C66"/>
    <w:rsid w:val="005F232E"/>
    <w:rsid w:val="005F3048"/>
    <w:rsid w:val="005F4509"/>
    <w:rsid w:val="005F4806"/>
    <w:rsid w:val="005F49F4"/>
    <w:rsid w:val="005F721F"/>
    <w:rsid w:val="005F7890"/>
    <w:rsid w:val="005F7FE8"/>
    <w:rsid w:val="0060115E"/>
    <w:rsid w:val="00602626"/>
    <w:rsid w:val="00603179"/>
    <w:rsid w:val="00603321"/>
    <w:rsid w:val="006042EE"/>
    <w:rsid w:val="006042F8"/>
    <w:rsid w:val="00606726"/>
    <w:rsid w:val="00606990"/>
    <w:rsid w:val="00606994"/>
    <w:rsid w:val="00607031"/>
    <w:rsid w:val="00607186"/>
    <w:rsid w:val="006078AD"/>
    <w:rsid w:val="00610319"/>
    <w:rsid w:val="0061065D"/>
    <w:rsid w:val="00610A75"/>
    <w:rsid w:val="0061173C"/>
    <w:rsid w:val="006117B7"/>
    <w:rsid w:val="00611AE1"/>
    <w:rsid w:val="0061224D"/>
    <w:rsid w:val="00612697"/>
    <w:rsid w:val="006137F9"/>
    <w:rsid w:val="006149D4"/>
    <w:rsid w:val="00614AFB"/>
    <w:rsid w:val="00615761"/>
    <w:rsid w:val="00615BC4"/>
    <w:rsid w:val="00616E9E"/>
    <w:rsid w:val="006212E5"/>
    <w:rsid w:val="00621376"/>
    <w:rsid w:val="0062185E"/>
    <w:rsid w:val="00621F3E"/>
    <w:rsid w:val="006249FA"/>
    <w:rsid w:val="00624E20"/>
    <w:rsid w:val="00625AAF"/>
    <w:rsid w:val="00625ED3"/>
    <w:rsid w:val="006263AD"/>
    <w:rsid w:val="006265C2"/>
    <w:rsid w:val="006276C0"/>
    <w:rsid w:val="0063096B"/>
    <w:rsid w:val="006317AA"/>
    <w:rsid w:val="00632CB0"/>
    <w:rsid w:val="00633C49"/>
    <w:rsid w:val="00634AB3"/>
    <w:rsid w:val="00635364"/>
    <w:rsid w:val="006361C9"/>
    <w:rsid w:val="00637DD3"/>
    <w:rsid w:val="006411D8"/>
    <w:rsid w:val="00641585"/>
    <w:rsid w:val="00641A4D"/>
    <w:rsid w:val="00641B1C"/>
    <w:rsid w:val="00642512"/>
    <w:rsid w:val="00643091"/>
    <w:rsid w:val="006438E7"/>
    <w:rsid w:val="00643E57"/>
    <w:rsid w:val="00644082"/>
    <w:rsid w:val="006455ED"/>
    <w:rsid w:val="006476A3"/>
    <w:rsid w:val="0064776A"/>
    <w:rsid w:val="0065022C"/>
    <w:rsid w:val="006502DD"/>
    <w:rsid w:val="006505A2"/>
    <w:rsid w:val="006506D6"/>
    <w:rsid w:val="0065152C"/>
    <w:rsid w:val="00651D0B"/>
    <w:rsid w:val="00652A29"/>
    <w:rsid w:val="006538F9"/>
    <w:rsid w:val="00654CAF"/>
    <w:rsid w:val="00654CB8"/>
    <w:rsid w:val="00654FA5"/>
    <w:rsid w:val="00655B49"/>
    <w:rsid w:val="00656514"/>
    <w:rsid w:val="00656C0D"/>
    <w:rsid w:val="0065730D"/>
    <w:rsid w:val="00657B3A"/>
    <w:rsid w:val="00657D38"/>
    <w:rsid w:val="00660A1E"/>
    <w:rsid w:val="00661211"/>
    <w:rsid w:val="00661CF8"/>
    <w:rsid w:val="00661F7D"/>
    <w:rsid w:val="006624C6"/>
    <w:rsid w:val="006629D3"/>
    <w:rsid w:val="00662A2A"/>
    <w:rsid w:val="00664557"/>
    <w:rsid w:val="0066719A"/>
    <w:rsid w:val="00667895"/>
    <w:rsid w:val="00667D7F"/>
    <w:rsid w:val="00670FFE"/>
    <w:rsid w:val="0067139A"/>
    <w:rsid w:val="00671B40"/>
    <w:rsid w:val="00673038"/>
    <w:rsid w:val="006731F6"/>
    <w:rsid w:val="00677E1E"/>
    <w:rsid w:val="00680931"/>
    <w:rsid w:val="00681A68"/>
    <w:rsid w:val="00682BA2"/>
    <w:rsid w:val="00682CFA"/>
    <w:rsid w:val="006831F3"/>
    <w:rsid w:val="006832B8"/>
    <w:rsid w:val="00683B35"/>
    <w:rsid w:val="00684666"/>
    <w:rsid w:val="006851C1"/>
    <w:rsid w:val="0068544D"/>
    <w:rsid w:val="00685968"/>
    <w:rsid w:val="00685BCB"/>
    <w:rsid w:val="006866D2"/>
    <w:rsid w:val="00686819"/>
    <w:rsid w:val="0068710E"/>
    <w:rsid w:val="0068732A"/>
    <w:rsid w:val="0068739F"/>
    <w:rsid w:val="006916A0"/>
    <w:rsid w:val="00693F20"/>
    <w:rsid w:val="00695201"/>
    <w:rsid w:val="00696187"/>
    <w:rsid w:val="00696A38"/>
    <w:rsid w:val="00696F3E"/>
    <w:rsid w:val="0069713B"/>
    <w:rsid w:val="006973CA"/>
    <w:rsid w:val="006973D0"/>
    <w:rsid w:val="006A0E2A"/>
    <w:rsid w:val="006A26D0"/>
    <w:rsid w:val="006A299B"/>
    <w:rsid w:val="006A2F59"/>
    <w:rsid w:val="006A49B5"/>
    <w:rsid w:val="006A5990"/>
    <w:rsid w:val="006A5BE5"/>
    <w:rsid w:val="006A698C"/>
    <w:rsid w:val="006A7204"/>
    <w:rsid w:val="006A7550"/>
    <w:rsid w:val="006A78C8"/>
    <w:rsid w:val="006B0F68"/>
    <w:rsid w:val="006B1095"/>
    <w:rsid w:val="006B19A2"/>
    <w:rsid w:val="006B3107"/>
    <w:rsid w:val="006B3223"/>
    <w:rsid w:val="006B44D2"/>
    <w:rsid w:val="006B4D52"/>
    <w:rsid w:val="006B4E4F"/>
    <w:rsid w:val="006B4E9C"/>
    <w:rsid w:val="006B526B"/>
    <w:rsid w:val="006B588F"/>
    <w:rsid w:val="006B5D79"/>
    <w:rsid w:val="006B7968"/>
    <w:rsid w:val="006C0DD3"/>
    <w:rsid w:val="006C21CA"/>
    <w:rsid w:val="006C334C"/>
    <w:rsid w:val="006C4FDA"/>
    <w:rsid w:val="006C54FA"/>
    <w:rsid w:val="006C6A7D"/>
    <w:rsid w:val="006C6B10"/>
    <w:rsid w:val="006C6BB7"/>
    <w:rsid w:val="006C6D0D"/>
    <w:rsid w:val="006C6E61"/>
    <w:rsid w:val="006C7DCC"/>
    <w:rsid w:val="006D0FDB"/>
    <w:rsid w:val="006D159B"/>
    <w:rsid w:val="006D1B12"/>
    <w:rsid w:val="006D1CDA"/>
    <w:rsid w:val="006D282B"/>
    <w:rsid w:val="006D2B27"/>
    <w:rsid w:val="006D37B6"/>
    <w:rsid w:val="006D4040"/>
    <w:rsid w:val="006D461C"/>
    <w:rsid w:val="006D4934"/>
    <w:rsid w:val="006D54B7"/>
    <w:rsid w:val="006D6B93"/>
    <w:rsid w:val="006E01B2"/>
    <w:rsid w:val="006E033D"/>
    <w:rsid w:val="006E0618"/>
    <w:rsid w:val="006E0676"/>
    <w:rsid w:val="006E0BBD"/>
    <w:rsid w:val="006E0C75"/>
    <w:rsid w:val="006E142B"/>
    <w:rsid w:val="006E3244"/>
    <w:rsid w:val="006E3797"/>
    <w:rsid w:val="006E4F73"/>
    <w:rsid w:val="006E4FCA"/>
    <w:rsid w:val="006E500A"/>
    <w:rsid w:val="006E50B9"/>
    <w:rsid w:val="006E50E3"/>
    <w:rsid w:val="006E512E"/>
    <w:rsid w:val="006E6181"/>
    <w:rsid w:val="006E67BB"/>
    <w:rsid w:val="006E7DA8"/>
    <w:rsid w:val="006F0091"/>
    <w:rsid w:val="006F14C0"/>
    <w:rsid w:val="006F1D2F"/>
    <w:rsid w:val="006F2510"/>
    <w:rsid w:val="006F339A"/>
    <w:rsid w:val="006F44EC"/>
    <w:rsid w:val="006F491F"/>
    <w:rsid w:val="006F5CB8"/>
    <w:rsid w:val="006F60E4"/>
    <w:rsid w:val="006F6B1E"/>
    <w:rsid w:val="006F723E"/>
    <w:rsid w:val="006F7C65"/>
    <w:rsid w:val="007019BF"/>
    <w:rsid w:val="007022AE"/>
    <w:rsid w:val="007034D5"/>
    <w:rsid w:val="00703778"/>
    <w:rsid w:val="007038F5"/>
    <w:rsid w:val="007078B9"/>
    <w:rsid w:val="00710555"/>
    <w:rsid w:val="0071153B"/>
    <w:rsid w:val="007119AC"/>
    <w:rsid w:val="00712BBE"/>
    <w:rsid w:val="00713C80"/>
    <w:rsid w:val="0071401C"/>
    <w:rsid w:val="007148C4"/>
    <w:rsid w:val="0071551F"/>
    <w:rsid w:val="00715E5D"/>
    <w:rsid w:val="00716CEA"/>
    <w:rsid w:val="007202B1"/>
    <w:rsid w:val="00720BC1"/>
    <w:rsid w:val="00721820"/>
    <w:rsid w:val="00723284"/>
    <w:rsid w:val="00723367"/>
    <w:rsid w:val="00723B70"/>
    <w:rsid w:val="00724925"/>
    <w:rsid w:val="00724EF5"/>
    <w:rsid w:val="0072593E"/>
    <w:rsid w:val="00725B04"/>
    <w:rsid w:val="00725E8D"/>
    <w:rsid w:val="00726A61"/>
    <w:rsid w:val="0072775C"/>
    <w:rsid w:val="00727924"/>
    <w:rsid w:val="00727FC5"/>
    <w:rsid w:val="0073040D"/>
    <w:rsid w:val="0073061F"/>
    <w:rsid w:val="007306D0"/>
    <w:rsid w:val="007309D8"/>
    <w:rsid w:val="00730C79"/>
    <w:rsid w:val="00731E94"/>
    <w:rsid w:val="00732430"/>
    <w:rsid w:val="007329FD"/>
    <w:rsid w:val="00732FAA"/>
    <w:rsid w:val="00733A4C"/>
    <w:rsid w:val="00733AB1"/>
    <w:rsid w:val="007341D1"/>
    <w:rsid w:val="00734311"/>
    <w:rsid w:val="007348F7"/>
    <w:rsid w:val="0073504F"/>
    <w:rsid w:val="00735ACA"/>
    <w:rsid w:val="0073720B"/>
    <w:rsid w:val="00737822"/>
    <w:rsid w:val="00737D3B"/>
    <w:rsid w:val="007407A5"/>
    <w:rsid w:val="0074086C"/>
    <w:rsid w:val="00740A7A"/>
    <w:rsid w:val="00740F7C"/>
    <w:rsid w:val="00741B39"/>
    <w:rsid w:val="00741FF5"/>
    <w:rsid w:val="007421F0"/>
    <w:rsid w:val="007432EA"/>
    <w:rsid w:val="0074553B"/>
    <w:rsid w:val="0074616B"/>
    <w:rsid w:val="00750B45"/>
    <w:rsid w:val="00753037"/>
    <w:rsid w:val="0075435F"/>
    <w:rsid w:val="00754743"/>
    <w:rsid w:val="007556B2"/>
    <w:rsid w:val="00756407"/>
    <w:rsid w:val="00757E81"/>
    <w:rsid w:val="0076042F"/>
    <w:rsid w:val="00760DFA"/>
    <w:rsid w:val="00761454"/>
    <w:rsid w:val="00762518"/>
    <w:rsid w:val="00762C4F"/>
    <w:rsid w:val="00764908"/>
    <w:rsid w:val="00764EDD"/>
    <w:rsid w:val="007656E4"/>
    <w:rsid w:val="00766097"/>
    <w:rsid w:val="007666D3"/>
    <w:rsid w:val="007732BA"/>
    <w:rsid w:val="007775D3"/>
    <w:rsid w:val="00777FA3"/>
    <w:rsid w:val="007803DC"/>
    <w:rsid w:val="00781055"/>
    <w:rsid w:val="00781E00"/>
    <w:rsid w:val="00784208"/>
    <w:rsid w:val="007844E6"/>
    <w:rsid w:val="007845E3"/>
    <w:rsid w:val="00784ACA"/>
    <w:rsid w:val="00790D9A"/>
    <w:rsid w:val="00791952"/>
    <w:rsid w:val="00791F55"/>
    <w:rsid w:val="007926A3"/>
    <w:rsid w:val="007931AF"/>
    <w:rsid w:val="00793A17"/>
    <w:rsid w:val="00794FB3"/>
    <w:rsid w:val="00795307"/>
    <w:rsid w:val="00795F4E"/>
    <w:rsid w:val="0079697F"/>
    <w:rsid w:val="0079727C"/>
    <w:rsid w:val="00797DC4"/>
    <w:rsid w:val="007A04BD"/>
    <w:rsid w:val="007A1B0D"/>
    <w:rsid w:val="007A347C"/>
    <w:rsid w:val="007A4788"/>
    <w:rsid w:val="007A4A7A"/>
    <w:rsid w:val="007A4F64"/>
    <w:rsid w:val="007A593D"/>
    <w:rsid w:val="007A5E05"/>
    <w:rsid w:val="007A66C8"/>
    <w:rsid w:val="007A66F3"/>
    <w:rsid w:val="007B0068"/>
    <w:rsid w:val="007B057C"/>
    <w:rsid w:val="007B09FF"/>
    <w:rsid w:val="007B0C26"/>
    <w:rsid w:val="007B1212"/>
    <w:rsid w:val="007B1464"/>
    <w:rsid w:val="007B1EC5"/>
    <w:rsid w:val="007B28DC"/>
    <w:rsid w:val="007B2A85"/>
    <w:rsid w:val="007B30B4"/>
    <w:rsid w:val="007B4F80"/>
    <w:rsid w:val="007B59DB"/>
    <w:rsid w:val="007B6944"/>
    <w:rsid w:val="007B6957"/>
    <w:rsid w:val="007B72D8"/>
    <w:rsid w:val="007C09DB"/>
    <w:rsid w:val="007C09DE"/>
    <w:rsid w:val="007C11D9"/>
    <w:rsid w:val="007C1516"/>
    <w:rsid w:val="007C1614"/>
    <w:rsid w:val="007C1739"/>
    <w:rsid w:val="007C235F"/>
    <w:rsid w:val="007C2FB9"/>
    <w:rsid w:val="007C4509"/>
    <w:rsid w:val="007C46CE"/>
    <w:rsid w:val="007C4DB7"/>
    <w:rsid w:val="007C594E"/>
    <w:rsid w:val="007C5D45"/>
    <w:rsid w:val="007C6CBD"/>
    <w:rsid w:val="007C7BFC"/>
    <w:rsid w:val="007D064A"/>
    <w:rsid w:val="007D0EFE"/>
    <w:rsid w:val="007D2372"/>
    <w:rsid w:val="007D27A5"/>
    <w:rsid w:val="007D2CAF"/>
    <w:rsid w:val="007D34C9"/>
    <w:rsid w:val="007D3DD2"/>
    <w:rsid w:val="007D5098"/>
    <w:rsid w:val="007D562A"/>
    <w:rsid w:val="007E21D8"/>
    <w:rsid w:val="007E22A7"/>
    <w:rsid w:val="007E24D8"/>
    <w:rsid w:val="007E2A54"/>
    <w:rsid w:val="007E3890"/>
    <w:rsid w:val="007E44DF"/>
    <w:rsid w:val="007E50D1"/>
    <w:rsid w:val="007E61C7"/>
    <w:rsid w:val="007E6221"/>
    <w:rsid w:val="007E6671"/>
    <w:rsid w:val="007E7ED3"/>
    <w:rsid w:val="007F0741"/>
    <w:rsid w:val="007F29B5"/>
    <w:rsid w:val="007F355E"/>
    <w:rsid w:val="007F464C"/>
    <w:rsid w:val="007F5261"/>
    <w:rsid w:val="007F5353"/>
    <w:rsid w:val="007F6CB3"/>
    <w:rsid w:val="007F7614"/>
    <w:rsid w:val="00801AA0"/>
    <w:rsid w:val="00802F29"/>
    <w:rsid w:val="008031B8"/>
    <w:rsid w:val="00803CA8"/>
    <w:rsid w:val="00804B40"/>
    <w:rsid w:val="00804FAA"/>
    <w:rsid w:val="0080660D"/>
    <w:rsid w:val="008069B3"/>
    <w:rsid w:val="008106AC"/>
    <w:rsid w:val="008113B6"/>
    <w:rsid w:val="0081229E"/>
    <w:rsid w:val="0081236F"/>
    <w:rsid w:val="0081288E"/>
    <w:rsid w:val="0081390F"/>
    <w:rsid w:val="008145C3"/>
    <w:rsid w:val="00814C49"/>
    <w:rsid w:val="008162EF"/>
    <w:rsid w:val="00817E57"/>
    <w:rsid w:val="008210ED"/>
    <w:rsid w:val="008215DA"/>
    <w:rsid w:val="00821631"/>
    <w:rsid w:val="0082233F"/>
    <w:rsid w:val="00822EA1"/>
    <w:rsid w:val="008231ED"/>
    <w:rsid w:val="00823834"/>
    <w:rsid w:val="008251DA"/>
    <w:rsid w:val="00826562"/>
    <w:rsid w:val="00831856"/>
    <w:rsid w:val="00831A7B"/>
    <w:rsid w:val="00832D04"/>
    <w:rsid w:val="00833C67"/>
    <w:rsid w:val="00835711"/>
    <w:rsid w:val="008362C3"/>
    <w:rsid w:val="00836565"/>
    <w:rsid w:val="00836916"/>
    <w:rsid w:val="00837A1C"/>
    <w:rsid w:val="00837F2A"/>
    <w:rsid w:val="008404CF"/>
    <w:rsid w:val="0084053B"/>
    <w:rsid w:val="00840ACA"/>
    <w:rsid w:val="00841145"/>
    <w:rsid w:val="0084130C"/>
    <w:rsid w:val="00841B95"/>
    <w:rsid w:val="008430F1"/>
    <w:rsid w:val="00846CEA"/>
    <w:rsid w:val="00847765"/>
    <w:rsid w:val="008505BC"/>
    <w:rsid w:val="008512F2"/>
    <w:rsid w:val="008514B8"/>
    <w:rsid w:val="008518A9"/>
    <w:rsid w:val="00851F0D"/>
    <w:rsid w:val="008524C5"/>
    <w:rsid w:val="0085374A"/>
    <w:rsid w:val="00853FB8"/>
    <w:rsid w:val="00854AB5"/>
    <w:rsid w:val="00856515"/>
    <w:rsid w:val="00857AAC"/>
    <w:rsid w:val="00860C22"/>
    <w:rsid w:val="00862121"/>
    <w:rsid w:val="00862599"/>
    <w:rsid w:val="00862A0A"/>
    <w:rsid w:val="00863501"/>
    <w:rsid w:val="0086553C"/>
    <w:rsid w:val="00865AF0"/>
    <w:rsid w:val="00865C93"/>
    <w:rsid w:val="00865F27"/>
    <w:rsid w:val="00870183"/>
    <w:rsid w:val="008703FC"/>
    <w:rsid w:val="00870C32"/>
    <w:rsid w:val="00870CDA"/>
    <w:rsid w:val="008716C6"/>
    <w:rsid w:val="00872FC1"/>
    <w:rsid w:val="00873D34"/>
    <w:rsid w:val="008748DB"/>
    <w:rsid w:val="00874B84"/>
    <w:rsid w:val="00875347"/>
    <w:rsid w:val="008761CB"/>
    <w:rsid w:val="00876A8A"/>
    <w:rsid w:val="00877684"/>
    <w:rsid w:val="008778FB"/>
    <w:rsid w:val="00880029"/>
    <w:rsid w:val="00880FEF"/>
    <w:rsid w:val="0088156B"/>
    <w:rsid w:val="00885427"/>
    <w:rsid w:val="008878B6"/>
    <w:rsid w:val="00890E8D"/>
    <w:rsid w:val="008914CF"/>
    <w:rsid w:val="008918F7"/>
    <w:rsid w:val="008920BE"/>
    <w:rsid w:val="008925A4"/>
    <w:rsid w:val="008931C8"/>
    <w:rsid w:val="00893299"/>
    <w:rsid w:val="00893BD6"/>
    <w:rsid w:val="00893ED5"/>
    <w:rsid w:val="00893FA4"/>
    <w:rsid w:val="00893FB4"/>
    <w:rsid w:val="00894083"/>
    <w:rsid w:val="00894452"/>
    <w:rsid w:val="00896145"/>
    <w:rsid w:val="00896614"/>
    <w:rsid w:val="00896A1C"/>
    <w:rsid w:val="00897115"/>
    <w:rsid w:val="00897D97"/>
    <w:rsid w:val="00897F19"/>
    <w:rsid w:val="00897F3C"/>
    <w:rsid w:val="008A05C1"/>
    <w:rsid w:val="008A2C8C"/>
    <w:rsid w:val="008A330E"/>
    <w:rsid w:val="008A4DD2"/>
    <w:rsid w:val="008A664B"/>
    <w:rsid w:val="008A6DC3"/>
    <w:rsid w:val="008A7430"/>
    <w:rsid w:val="008B0164"/>
    <w:rsid w:val="008B0F8C"/>
    <w:rsid w:val="008B2D8C"/>
    <w:rsid w:val="008B3929"/>
    <w:rsid w:val="008B44DF"/>
    <w:rsid w:val="008B4DDE"/>
    <w:rsid w:val="008B5161"/>
    <w:rsid w:val="008B7C33"/>
    <w:rsid w:val="008C0E8C"/>
    <w:rsid w:val="008C0FBB"/>
    <w:rsid w:val="008C11A6"/>
    <w:rsid w:val="008C2AC8"/>
    <w:rsid w:val="008C2EB0"/>
    <w:rsid w:val="008C3204"/>
    <w:rsid w:val="008C3731"/>
    <w:rsid w:val="008C3D15"/>
    <w:rsid w:val="008C51AA"/>
    <w:rsid w:val="008C674B"/>
    <w:rsid w:val="008C6E51"/>
    <w:rsid w:val="008C704C"/>
    <w:rsid w:val="008C72DD"/>
    <w:rsid w:val="008C7D6B"/>
    <w:rsid w:val="008D0A9A"/>
    <w:rsid w:val="008D0B09"/>
    <w:rsid w:val="008D2617"/>
    <w:rsid w:val="008D3B47"/>
    <w:rsid w:val="008D4387"/>
    <w:rsid w:val="008D46BF"/>
    <w:rsid w:val="008D5125"/>
    <w:rsid w:val="008D5170"/>
    <w:rsid w:val="008D51ED"/>
    <w:rsid w:val="008D534B"/>
    <w:rsid w:val="008D5B7D"/>
    <w:rsid w:val="008D5D0A"/>
    <w:rsid w:val="008D6D63"/>
    <w:rsid w:val="008D6F51"/>
    <w:rsid w:val="008E090D"/>
    <w:rsid w:val="008E0E4D"/>
    <w:rsid w:val="008E10AF"/>
    <w:rsid w:val="008E120A"/>
    <w:rsid w:val="008E1FA8"/>
    <w:rsid w:val="008E1FED"/>
    <w:rsid w:val="008E3943"/>
    <w:rsid w:val="008E5654"/>
    <w:rsid w:val="008E6ABE"/>
    <w:rsid w:val="008E7051"/>
    <w:rsid w:val="008E7A08"/>
    <w:rsid w:val="008E7A60"/>
    <w:rsid w:val="008E7A75"/>
    <w:rsid w:val="008F07DD"/>
    <w:rsid w:val="008F1A8B"/>
    <w:rsid w:val="008F2456"/>
    <w:rsid w:val="008F282A"/>
    <w:rsid w:val="008F4A09"/>
    <w:rsid w:val="008F4C2B"/>
    <w:rsid w:val="008F596C"/>
    <w:rsid w:val="008F5BFC"/>
    <w:rsid w:val="008F67A1"/>
    <w:rsid w:val="008F69C2"/>
    <w:rsid w:val="008F76F1"/>
    <w:rsid w:val="00900F58"/>
    <w:rsid w:val="00901CD3"/>
    <w:rsid w:val="00903959"/>
    <w:rsid w:val="00904A91"/>
    <w:rsid w:val="00905066"/>
    <w:rsid w:val="00906306"/>
    <w:rsid w:val="00906E79"/>
    <w:rsid w:val="009070BA"/>
    <w:rsid w:val="009073CB"/>
    <w:rsid w:val="0090764C"/>
    <w:rsid w:val="00911A92"/>
    <w:rsid w:val="0091214C"/>
    <w:rsid w:val="009147D6"/>
    <w:rsid w:val="009148A8"/>
    <w:rsid w:val="00914E0D"/>
    <w:rsid w:val="009151CD"/>
    <w:rsid w:val="009160ED"/>
    <w:rsid w:val="00916296"/>
    <w:rsid w:val="0091666B"/>
    <w:rsid w:val="00916850"/>
    <w:rsid w:val="0091718E"/>
    <w:rsid w:val="00917296"/>
    <w:rsid w:val="00917AC1"/>
    <w:rsid w:val="00920722"/>
    <w:rsid w:val="0092122E"/>
    <w:rsid w:val="00922BE9"/>
    <w:rsid w:val="009232AD"/>
    <w:rsid w:val="009234DA"/>
    <w:rsid w:val="00923B4F"/>
    <w:rsid w:val="00925927"/>
    <w:rsid w:val="0092652D"/>
    <w:rsid w:val="00926C90"/>
    <w:rsid w:val="00926EE8"/>
    <w:rsid w:val="00926F49"/>
    <w:rsid w:val="009275C2"/>
    <w:rsid w:val="0093029D"/>
    <w:rsid w:val="00930B01"/>
    <w:rsid w:val="00931886"/>
    <w:rsid w:val="009326C4"/>
    <w:rsid w:val="00932924"/>
    <w:rsid w:val="00932956"/>
    <w:rsid w:val="00933267"/>
    <w:rsid w:val="009339BB"/>
    <w:rsid w:val="00933CE7"/>
    <w:rsid w:val="00934922"/>
    <w:rsid w:val="00934CEC"/>
    <w:rsid w:val="00934D5F"/>
    <w:rsid w:val="0093670F"/>
    <w:rsid w:val="009371F0"/>
    <w:rsid w:val="009372A8"/>
    <w:rsid w:val="009376B9"/>
    <w:rsid w:val="00937D2F"/>
    <w:rsid w:val="00937D7C"/>
    <w:rsid w:val="0094024A"/>
    <w:rsid w:val="009403A4"/>
    <w:rsid w:val="009411A4"/>
    <w:rsid w:val="00941278"/>
    <w:rsid w:val="00941303"/>
    <w:rsid w:val="009420A7"/>
    <w:rsid w:val="009429B9"/>
    <w:rsid w:val="00945AD2"/>
    <w:rsid w:val="00947321"/>
    <w:rsid w:val="00950943"/>
    <w:rsid w:val="00950B2D"/>
    <w:rsid w:val="00950BA0"/>
    <w:rsid w:val="00951B4E"/>
    <w:rsid w:val="0095217E"/>
    <w:rsid w:val="009528C7"/>
    <w:rsid w:val="00955B31"/>
    <w:rsid w:val="00956E22"/>
    <w:rsid w:val="00956E36"/>
    <w:rsid w:val="009572DA"/>
    <w:rsid w:val="00960323"/>
    <w:rsid w:val="0096037A"/>
    <w:rsid w:val="00961B77"/>
    <w:rsid w:val="0096204C"/>
    <w:rsid w:val="0096660C"/>
    <w:rsid w:val="00970952"/>
    <w:rsid w:val="00971249"/>
    <w:rsid w:val="00972135"/>
    <w:rsid w:val="0097221F"/>
    <w:rsid w:val="00972452"/>
    <w:rsid w:val="00972E09"/>
    <w:rsid w:val="00972E62"/>
    <w:rsid w:val="009733DD"/>
    <w:rsid w:val="00973DAF"/>
    <w:rsid w:val="0097427A"/>
    <w:rsid w:val="00974735"/>
    <w:rsid w:val="00976640"/>
    <w:rsid w:val="009801AE"/>
    <w:rsid w:val="00980F31"/>
    <w:rsid w:val="00981894"/>
    <w:rsid w:val="00983AF0"/>
    <w:rsid w:val="0098577C"/>
    <w:rsid w:val="0098602F"/>
    <w:rsid w:val="00986ADC"/>
    <w:rsid w:val="00990B58"/>
    <w:rsid w:val="0099232F"/>
    <w:rsid w:val="0099266B"/>
    <w:rsid w:val="00993272"/>
    <w:rsid w:val="00994B98"/>
    <w:rsid w:val="00995209"/>
    <w:rsid w:val="00995396"/>
    <w:rsid w:val="009965D9"/>
    <w:rsid w:val="00996D3B"/>
    <w:rsid w:val="00997F8A"/>
    <w:rsid w:val="009A0CED"/>
    <w:rsid w:val="009A1372"/>
    <w:rsid w:val="009A2375"/>
    <w:rsid w:val="009A2D24"/>
    <w:rsid w:val="009A2E6E"/>
    <w:rsid w:val="009A2E86"/>
    <w:rsid w:val="009A3240"/>
    <w:rsid w:val="009A4005"/>
    <w:rsid w:val="009A43C8"/>
    <w:rsid w:val="009A75C0"/>
    <w:rsid w:val="009B112B"/>
    <w:rsid w:val="009B11BF"/>
    <w:rsid w:val="009B15FB"/>
    <w:rsid w:val="009B23B1"/>
    <w:rsid w:val="009B2E4C"/>
    <w:rsid w:val="009B361D"/>
    <w:rsid w:val="009B366F"/>
    <w:rsid w:val="009B3826"/>
    <w:rsid w:val="009B44D2"/>
    <w:rsid w:val="009B4669"/>
    <w:rsid w:val="009B4A98"/>
    <w:rsid w:val="009B59C8"/>
    <w:rsid w:val="009B60BB"/>
    <w:rsid w:val="009B6D6C"/>
    <w:rsid w:val="009B703E"/>
    <w:rsid w:val="009B7F71"/>
    <w:rsid w:val="009C0524"/>
    <w:rsid w:val="009C131C"/>
    <w:rsid w:val="009C219E"/>
    <w:rsid w:val="009C234E"/>
    <w:rsid w:val="009C3D25"/>
    <w:rsid w:val="009C41D3"/>
    <w:rsid w:val="009C7DE9"/>
    <w:rsid w:val="009D07EF"/>
    <w:rsid w:val="009D29EE"/>
    <w:rsid w:val="009D3015"/>
    <w:rsid w:val="009D504A"/>
    <w:rsid w:val="009D5776"/>
    <w:rsid w:val="009D6CF8"/>
    <w:rsid w:val="009D714A"/>
    <w:rsid w:val="009E068B"/>
    <w:rsid w:val="009E0A5E"/>
    <w:rsid w:val="009E0D26"/>
    <w:rsid w:val="009E1970"/>
    <w:rsid w:val="009E1D11"/>
    <w:rsid w:val="009E3747"/>
    <w:rsid w:val="009E5C73"/>
    <w:rsid w:val="009E6C09"/>
    <w:rsid w:val="009E6D63"/>
    <w:rsid w:val="009E7B7D"/>
    <w:rsid w:val="009E7D96"/>
    <w:rsid w:val="009F0884"/>
    <w:rsid w:val="009F0F63"/>
    <w:rsid w:val="009F1929"/>
    <w:rsid w:val="009F1B67"/>
    <w:rsid w:val="009F1BDA"/>
    <w:rsid w:val="009F21CE"/>
    <w:rsid w:val="009F2BF7"/>
    <w:rsid w:val="009F2C44"/>
    <w:rsid w:val="009F318B"/>
    <w:rsid w:val="009F3B9E"/>
    <w:rsid w:val="009F46C8"/>
    <w:rsid w:val="009F56C1"/>
    <w:rsid w:val="009F5B0A"/>
    <w:rsid w:val="009F6474"/>
    <w:rsid w:val="009F75A5"/>
    <w:rsid w:val="009F7D1A"/>
    <w:rsid w:val="00A0126F"/>
    <w:rsid w:val="00A0178E"/>
    <w:rsid w:val="00A01CF8"/>
    <w:rsid w:val="00A01F95"/>
    <w:rsid w:val="00A02638"/>
    <w:rsid w:val="00A0306F"/>
    <w:rsid w:val="00A0526A"/>
    <w:rsid w:val="00A05707"/>
    <w:rsid w:val="00A06326"/>
    <w:rsid w:val="00A06C76"/>
    <w:rsid w:val="00A0726A"/>
    <w:rsid w:val="00A10467"/>
    <w:rsid w:val="00A10849"/>
    <w:rsid w:val="00A116AB"/>
    <w:rsid w:val="00A11F08"/>
    <w:rsid w:val="00A14DA6"/>
    <w:rsid w:val="00A14FD1"/>
    <w:rsid w:val="00A1555D"/>
    <w:rsid w:val="00A15652"/>
    <w:rsid w:val="00A1631B"/>
    <w:rsid w:val="00A20AF0"/>
    <w:rsid w:val="00A21470"/>
    <w:rsid w:val="00A228F6"/>
    <w:rsid w:val="00A233C2"/>
    <w:rsid w:val="00A2629E"/>
    <w:rsid w:val="00A265DA"/>
    <w:rsid w:val="00A27A36"/>
    <w:rsid w:val="00A27AC0"/>
    <w:rsid w:val="00A30FEA"/>
    <w:rsid w:val="00A3166D"/>
    <w:rsid w:val="00A31B0F"/>
    <w:rsid w:val="00A3296B"/>
    <w:rsid w:val="00A32D98"/>
    <w:rsid w:val="00A34649"/>
    <w:rsid w:val="00A357F9"/>
    <w:rsid w:val="00A35B71"/>
    <w:rsid w:val="00A35D54"/>
    <w:rsid w:val="00A372AA"/>
    <w:rsid w:val="00A417DE"/>
    <w:rsid w:val="00A41AA5"/>
    <w:rsid w:val="00A42491"/>
    <w:rsid w:val="00A425D8"/>
    <w:rsid w:val="00A43475"/>
    <w:rsid w:val="00A44742"/>
    <w:rsid w:val="00A459DA"/>
    <w:rsid w:val="00A460B4"/>
    <w:rsid w:val="00A47149"/>
    <w:rsid w:val="00A503B4"/>
    <w:rsid w:val="00A539DF"/>
    <w:rsid w:val="00A53CA1"/>
    <w:rsid w:val="00A540EC"/>
    <w:rsid w:val="00A550F5"/>
    <w:rsid w:val="00A55699"/>
    <w:rsid w:val="00A56012"/>
    <w:rsid w:val="00A57610"/>
    <w:rsid w:val="00A6022F"/>
    <w:rsid w:val="00A604DE"/>
    <w:rsid w:val="00A60A1B"/>
    <w:rsid w:val="00A61056"/>
    <w:rsid w:val="00A610FA"/>
    <w:rsid w:val="00A6125A"/>
    <w:rsid w:val="00A624E1"/>
    <w:rsid w:val="00A63092"/>
    <w:rsid w:val="00A63DE4"/>
    <w:rsid w:val="00A63DF2"/>
    <w:rsid w:val="00A6536D"/>
    <w:rsid w:val="00A66144"/>
    <w:rsid w:val="00A67053"/>
    <w:rsid w:val="00A70A41"/>
    <w:rsid w:val="00A719FE"/>
    <w:rsid w:val="00A72286"/>
    <w:rsid w:val="00A73316"/>
    <w:rsid w:val="00A73CE3"/>
    <w:rsid w:val="00A74EE1"/>
    <w:rsid w:val="00A758B0"/>
    <w:rsid w:val="00A75D42"/>
    <w:rsid w:val="00A7745F"/>
    <w:rsid w:val="00A77ED7"/>
    <w:rsid w:val="00A77FEF"/>
    <w:rsid w:val="00A809A7"/>
    <w:rsid w:val="00A80B82"/>
    <w:rsid w:val="00A81BE9"/>
    <w:rsid w:val="00A82081"/>
    <w:rsid w:val="00A82D52"/>
    <w:rsid w:val="00A846A8"/>
    <w:rsid w:val="00A8483A"/>
    <w:rsid w:val="00A84CC9"/>
    <w:rsid w:val="00A84DAB"/>
    <w:rsid w:val="00A86007"/>
    <w:rsid w:val="00A860FB"/>
    <w:rsid w:val="00A86A55"/>
    <w:rsid w:val="00A90377"/>
    <w:rsid w:val="00A9072A"/>
    <w:rsid w:val="00A918F3"/>
    <w:rsid w:val="00A919F2"/>
    <w:rsid w:val="00A91AEF"/>
    <w:rsid w:val="00A91E24"/>
    <w:rsid w:val="00A93805"/>
    <w:rsid w:val="00A94E55"/>
    <w:rsid w:val="00A95E01"/>
    <w:rsid w:val="00A9678E"/>
    <w:rsid w:val="00AA0504"/>
    <w:rsid w:val="00AA0F05"/>
    <w:rsid w:val="00AA2CCF"/>
    <w:rsid w:val="00AA3033"/>
    <w:rsid w:val="00AA3A64"/>
    <w:rsid w:val="00AA3F67"/>
    <w:rsid w:val="00AA5367"/>
    <w:rsid w:val="00AA5A24"/>
    <w:rsid w:val="00AA5C37"/>
    <w:rsid w:val="00AA5FDD"/>
    <w:rsid w:val="00AA6790"/>
    <w:rsid w:val="00AA7A7D"/>
    <w:rsid w:val="00AB04C6"/>
    <w:rsid w:val="00AB1463"/>
    <w:rsid w:val="00AB1536"/>
    <w:rsid w:val="00AB1B20"/>
    <w:rsid w:val="00AB1DE7"/>
    <w:rsid w:val="00AB2E0F"/>
    <w:rsid w:val="00AB3283"/>
    <w:rsid w:val="00AB3BFD"/>
    <w:rsid w:val="00AB46A2"/>
    <w:rsid w:val="00AB553E"/>
    <w:rsid w:val="00AB5C43"/>
    <w:rsid w:val="00AB6396"/>
    <w:rsid w:val="00AB680C"/>
    <w:rsid w:val="00AB6A77"/>
    <w:rsid w:val="00AB79E6"/>
    <w:rsid w:val="00AC002C"/>
    <w:rsid w:val="00AC1799"/>
    <w:rsid w:val="00AC25DF"/>
    <w:rsid w:val="00AC3232"/>
    <w:rsid w:val="00AC488E"/>
    <w:rsid w:val="00AC4A51"/>
    <w:rsid w:val="00AC4BE0"/>
    <w:rsid w:val="00AC62FD"/>
    <w:rsid w:val="00AC642E"/>
    <w:rsid w:val="00AC7111"/>
    <w:rsid w:val="00AD04AF"/>
    <w:rsid w:val="00AD08CE"/>
    <w:rsid w:val="00AD1A6F"/>
    <w:rsid w:val="00AD27EE"/>
    <w:rsid w:val="00AD2CD7"/>
    <w:rsid w:val="00AD2DE0"/>
    <w:rsid w:val="00AD3585"/>
    <w:rsid w:val="00AD575E"/>
    <w:rsid w:val="00AD62EF"/>
    <w:rsid w:val="00AD6C95"/>
    <w:rsid w:val="00AD75DC"/>
    <w:rsid w:val="00AD7754"/>
    <w:rsid w:val="00AE003B"/>
    <w:rsid w:val="00AE1731"/>
    <w:rsid w:val="00AE1F84"/>
    <w:rsid w:val="00AE2E87"/>
    <w:rsid w:val="00AE30A7"/>
    <w:rsid w:val="00AE3D5C"/>
    <w:rsid w:val="00AE5559"/>
    <w:rsid w:val="00AE67FD"/>
    <w:rsid w:val="00AE74ED"/>
    <w:rsid w:val="00AE7ECB"/>
    <w:rsid w:val="00AE7ED3"/>
    <w:rsid w:val="00AF0143"/>
    <w:rsid w:val="00AF0996"/>
    <w:rsid w:val="00AF0D63"/>
    <w:rsid w:val="00AF16C0"/>
    <w:rsid w:val="00AF1A0E"/>
    <w:rsid w:val="00AF1AA2"/>
    <w:rsid w:val="00AF24EC"/>
    <w:rsid w:val="00AF2AD1"/>
    <w:rsid w:val="00AF3CD1"/>
    <w:rsid w:val="00AF4902"/>
    <w:rsid w:val="00AF4A67"/>
    <w:rsid w:val="00AF5049"/>
    <w:rsid w:val="00AF51A3"/>
    <w:rsid w:val="00AF5A5C"/>
    <w:rsid w:val="00AF63C2"/>
    <w:rsid w:val="00B01946"/>
    <w:rsid w:val="00B02136"/>
    <w:rsid w:val="00B02168"/>
    <w:rsid w:val="00B02178"/>
    <w:rsid w:val="00B0256D"/>
    <w:rsid w:val="00B02E21"/>
    <w:rsid w:val="00B0334A"/>
    <w:rsid w:val="00B04490"/>
    <w:rsid w:val="00B055C8"/>
    <w:rsid w:val="00B06673"/>
    <w:rsid w:val="00B07613"/>
    <w:rsid w:val="00B07758"/>
    <w:rsid w:val="00B077A2"/>
    <w:rsid w:val="00B07899"/>
    <w:rsid w:val="00B07C46"/>
    <w:rsid w:val="00B10EFA"/>
    <w:rsid w:val="00B113BB"/>
    <w:rsid w:val="00B1152D"/>
    <w:rsid w:val="00B11E5F"/>
    <w:rsid w:val="00B126F8"/>
    <w:rsid w:val="00B1375E"/>
    <w:rsid w:val="00B145B3"/>
    <w:rsid w:val="00B14CFC"/>
    <w:rsid w:val="00B153BC"/>
    <w:rsid w:val="00B16E7B"/>
    <w:rsid w:val="00B17554"/>
    <w:rsid w:val="00B179A9"/>
    <w:rsid w:val="00B208B3"/>
    <w:rsid w:val="00B20A08"/>
    <w:rsid w:val="00B20E37"/>
    <w:rsid w:val="00B21C38"/>
    <w:rsid w:val="00B22843"/>
    <w:rsid w:val="00B2369C"/>
    <w:rsid w:val="00B23C83"/>
    <w:rsid w:val="00B246B0"/>
    <w:rsid w:val="00B24BF1"/>
    <w:rsid w:val="00B253CA"/>
    <w:rsid w:val="00B261AE"/>
    <w:rsid w:val="00B26F64"/>
    <w:rsid w:val="00B278EA"/>
    <w:rsid w:val="00B30A5C"/>
    <w:rsid w:val="00B30E80"/>
    <w:rsid w:val="00B312EC"/>
    <w:rsid w:val="00B31FB8"/>
    <w:rsid w:val="00B33E53"/>
    <w:rsid w:val="00B35282"/>
    <w:rsid w:val="00B364E3"/>
    <w:rsid w:val="00B36F1D"/>
    <w:rsid w:val="00B40B5F"/>
    <w:rsid w:val="00B413A5"/>
    <w:rsid w:val="00B4187C"/>
    <w:rsid w:val="00B41C25"/>
    <w:rsid w:val="00B41DA1"/>
    <w:rsid w:val="00B42AA9"/>
    <w:rsid w:val="00B437A7"/>
    <w:rsid w:val="00B44015"/>
    <w:rsid w:val="00B46DD8"/>
    <w:rsid w:val="00B4751F"/>
    <w:rsid w:val="00B501B6"/>
    <w:rsid w:val="00B505B7"/>
    <w:rsid w:val="00B51907"/>
    <w:rsid w:val="00B542CE"/>
    <w:rsid w:val="00B54548"/>
    <w:rsid w:val="00B56746"/>
    <w:rsid w:val="00B56BB1"/>
    <w:rsid w:val="00B60C2D"/>
    <w:rsid w:val="00B63E64"/>
    <w:rsid w:val="00B64570"/>
    <w:rsid w:val="00B64712"/>
    <w:rsid w:val="00B6513A"/>
    <w:rsid w:val="00B6713C"/>
    <w:rsid w:val="00B6769E"/>
    <w:rsid w:val="00B67F06"/>
    <w:rsid w:val="00B70161"/>
    <w:rsid w:val="00B70173"/>
    <w:rsid w:val="00B701CE"/>
    <w:rsid w:val="00B70C6D"/>
    <w:rsid w:val="00B71EEA"/>
    <w:rsid w:val="00B7229D"/>
    <w:rsid w:val="00B72365"/>
    <w:rsid w:val="00B72A12"/>
    <w:rsid w:val="00B734E4"/>
    <w:rsid w:val="00B73883"/>
    <w:rsid w:val="00B73C23"/>
    <w:rsid w:val="00B74DCD"/>
    <w:rsid w:val="00B771D5"/>
    <w:rsid w:val="00B77427"/>
    <w:rsid w:val="00B77947"/>
    <w:rsid w:val="00B80BD4"/>
    <w:rsid w:val="00B83A78"/>
    <w:rsid w:val="00B84B6A"/>
    <w:rsid w:val="00B84FE9"/>
    <w:rsid w:val="00B8566D"/>
    <w:rsid w:val="00B86F4D"/>
    <w:rsid w:val="00B872CE"/>
    <w:rsid w:val="00B8770C"/>
    <w:rsid w:val="00B87AA5"/>
    <w:rsid w:val="00B91060"/>
    <w:rsid w:val="00B92CD7"/>
    <w:rsid w:val="00B92E0E"/>
    <w:rsid w:val="00B939B3"/>
    <w:rsid w:val="00B93A54"/>
    <w:rsid w:val="00B9566C"/>
    <w:rsid w:val="00B95E6C"/>
    <w:rsid w:val="00B963CF"/>
    <w:rsid w:val="00B96837"/>
    <w:rsid w:val="00B96CE6"/>
    <w:rsid w:val="00B96EF1"/>
    <w:rsid w:val="00B9769E"/>
    <w:rsid w:val="00B97904"/>
    <w:rsid w:val="00BA0979"/>
    <w:rsid w:val="00BA1805"/>
    <w:rsid w:val="00BA2660"/>
    <w:rsid w:val="00BA268A"/>
    <w:rsid w:val="00BA2CFF"/>
    <w:rsid w:val="00BA3D5D"/>
    <w:rsid w:val="00BA3F0C"/>
    <w:rsid w:val="00BA4012"/>
    <w:rsid w:val="00BA5319"/>
    <w:rsid w:val="00BA5B9C"/>
    <w:rsid w:val="00BA732A"/>
    <w:rsid w:val="00BA7788"/>
    <w:rsid w:val="00BA79E2"/>
    <w:rsid w:val="00BA7BCF"/>
    <w:rsid w:val="00BB0A36"/>
    <w:rsid w:val="00BB0CEF"/>
    <w:rsid w:val="00BB156F"/>
    <w:rsid w:val="00BB35B5"/>
    <w:rsid w:val="00BB53E4"/>
    <w:rsid w:val="00BB5E38"/>
    <w:rsid w:val="00BB7982"/>
    <w:rsid w:val="00BB7A15"/>
    <w:rsid w:val="00BC1409"/>
    <w:rsid w:val="00BC2143"/>
    <w:rsid w:val="00BC270C"/>
    <w:rsid w:val="00BC2797"/>
    <w:rsid w:val="00BC3098"/>
    <w:rsid w:val="00BC426F"/>
    <w:rsid w:val="00BC44AE"/>
    <w:rsid w:val="00BC45C8"/>
    <w:rsid w:val="00BC5A4F"/>
    <w:rsid w:val="00BD075C"/>
    <w:rsid w:val="00BD076D"/>
    <w:rsid w:val="00BD1E68"/>
    <w:rsid w:val="00BD2ACB"/>
    <w:rsid w:val="00BD4087"/>
    <w:rsid w:val="00BD49AF"/>
    <w:rsid w:val="00BD4AA9"/>
    <w:rsid w:val="00BD5EA6"/>
    <w:rsid w:val="00BD6330"/>
    <w:rsid w:val="00BE089B"/>
    <w:rsid w:val="00BE3FA2"/>
    <w:rsid w:val="00BE5104"/>
    <w:rsid w:val="00BE6270"/>
    <w:rsid w:val="00BE7643"/>
    <w:rsid w:val="00BE7DF7"/>
    <w:rsid w:val="00BF094A"/>
    <w:rsid w:val="00BF1AA9"/>
    <w:rsid w:val="00BF35E7"/>
    <w:rsid w:val="00BF3D11"/>
    <w:rsid w:val="00BF3D43"/>
    <w:rsid w:val="00BF4A39"/>
    <w:rsid w:val="00BF5EFE"/>
    <w:rsid w:val="00C00165"/>
    <w:rsid w:val="00C014FD"/>
    <w:rsid w:val="00C016E8"/>
    <w:rsid w:val="00C02EA9"/>
    <w:rsid w:val="00C03931"/>
    <w:rsid w:val="00C05231"/>
    <w:rsid w:val="00C05F31"/>
    <w:rsid w:val="00C06FA4"/>
    <w:rsid w:val="00C07084"/>
    <w:rsid w:val="00C07E0C"/>
    <w:rsid w:val="00C10033"/>
    <w:rsid w:val="00C10DE5"/>
    <w:rsid w:val="00C10F0B"/>
    <w:rsid w:val="00C119D8"/>
    <w:rsid w:val="00C11C34"/>
    <w:rsid w:val="00C12691"/>
    <w:rsid w:val="00C13EDA"/>
    <w:rsid w:val="00C14B1A"/>
    <w:rsid w:val="00C14F79"/>
    <w:rsid w:val="00C16616"/>
    <w:rsid w:val="00C16641"/>
    <w:rsid w:val="00C167D6"/>
    <w:rsid w:val="00C201B7"/>
    <w:rsid w:val="00C22B0B"/>
    <w:rsid w:val="00C2433A"/>
    <w:rsid w:val="00C24C6F"/>
    <w:rsid w:val="00C24FE1"/>
    <w:rsid w:val="00C25C3B"/>
    <w:rsid w:val="00C27CB1"/>
    <w:rsid w:val="00C30AC2"/>
    <w:rsid w:val="00C31F67"/>
    <w:rsid w:val="00C3264A"/>
    <w:rsid w:val="00C32F41"/>
    <w:rsid w:val="00C33654"/>
    <w:rsid w:val="00C33FC9"/>
    <w:rsid w:val="00C346B3"/>
    <w:rsid w:val="00C37599"/>
    <w:rsid w:val="00C4067B"/>
    <w:rsid w:val="00C41568"/>
    <w:rsid w:val="00C415A4"/>
    <w:rsid w:val="00C41989"/>
    <w:rsid w:val="00C433DE"/>
    <w:rsid w:val="00C438B7"/>
    <w:rsid w:val="00C43B36"/>
    <w:rsid w:val="00C43EC7"/>
    <w:rsid w:val="00C443EF"/>
    <w:rsid w:val="00C449C0"/>
    <w:rsid w:val="00C45404"/>
    <w:rsid w:val="00C4583D"/>
    <w:rsid w:val="00C46255"/>
    <w:rsid w:val="00C463C0"/>
    <w:rsid w:val="00C46D06"/>
    <w:rsid w:val="00C4795C"/>
    <w:rsid w:val="00C50299"/>
    <w:rsid w:val="00C51006"/>
    <w:rsid w:val="00C51024"/>
    <w:rsid w:val="00C5119A"/>
    <w:rsid w:val="00C52C53"/>
    <w:rsid w:val="00C52DBA"/>
    <w:rsid w:val="00C5360E"/>
    <w:rsid w:val="00C53A97"/>
    <w:rsid w:val="00C53E3E"/>
    <w:rsid w:val="00C54117"/>
    <w:rsid w:val="00C54597"/>
    <w:rsid w:val="00C5496E"/>
    <w:rsid w:val="00C575CC"/>
    <w:rsid w:val="00C57784"/>
    <w:rsid w:val="00C57E52"/>
    <w:rsid w:val="00C62391"/>
    <w:rsid w:val="00C627F7"/>
    <w:rsid w:val="00C64458"/>
    <w:rsid w:val="00C64855"/>
    <w:rsid w:val="00C64D4F"/>
    <w:rsid w:val="00C65CDB"/>
    <w:rsid w:val="00C70AE1"/>
    <w:rsid w:val="00C70F6F"/>
    <w:rsid w:val="00C72BB6"/>
    <w:rsid w:val="00C74143"/>
    <w:rsid w:val="00C759BE"/>
    <w:rsid w:val="00C76521"/>
    <w:rsid w:val="00C76BAE"/>
    <w:rsid w:val="00C776E5"/>
    <w:rsid w:val="00C807AC"/>
    <w:rsid w:val="00C8104C"/>
    <w:rsid w:val="00C811E7"/>
    <w:rsid w:val="00C83FD9"/>
    <w:rsid w:val="00C85DE7"/>
    <w:rsid w:val="00C86E19"/>
    <w:rsid w:val="00C87378"/>
    <w:rsid w:val="00C87BDF"/>
    <w:rsid w:val="00C87DEC"/>
    <w:rsid w:val="00C909E1"/>
    <w:rsid w:val="00C911EC"/>
    <w:rsid w:val="00C9131E"/>
    <w:rsid w:val="00C92C53"/>
    <w:rsid w:val="00C93282"/>
    <w:rsid w:val="00C944A9"/>
    <w:rsid w:val="00C9521E"/>
    <w:rsid w:val="00C953BE"/>
    <w:rsid w:val="00C9796A"/>
    <w:rsid w:val="00CA090E"/>
    <w:rsid w:val="00CA0A60"/>
    <w:rsid w:val="00CA1042"/>
    <w:rsid w:val="00CA105A"/>
    <w:rsid w:val="00CA1D21"/>
    <w:rsid w:val="00CA25F2"/>
    <w:rsid w:val="00CA285B"/>
    <w:rsid w:val="00CA3200"/>
    <w:rsid w:val="00CA41BB"/>
    <w:rsid w:val="00CA4A8D"/>
    <w:rsid w:val="00CA60BD"/>
    <w:rsid w:val="00CA654F"/>
    <w:rsid w:val="00CA76A3"/>
    <w:rsid w:val="00CA7C86"/>
    <w:rsid w:val="00CB025B"/>
    <w:rsid w:val="00CB09C5"/>
    <w:rsid w:val="00CB0F46"/>
    <w:rsid w:val="00CB34D9"/>
    <w:rsid w:val="00CB4672"/>
    <w:rsid w:val="00CB5307"/>
    <w:rsid w:val="00CB5364"/>
    <w:rsid w:val="00CB70D2"/>
    <w:rsid w:val="00CB7853"/>
    <w:rsid w:val="00CB7CF0"/>
    <w:rsid w:val="00CC04B8"/>
    <w:rsid w:val="00CC15B2"/>
    <w:rsid w:val="00CC3604"/>
    <w:rsid w:val="00CC4240"/>
    <w:rsid w:val="00CC4B92"/>
    <w:rsid w:val="00CC6C17"/>
    <w:rsid w:val="00CC7627"/>
    <w:rsid w:val="00CD042A"/>
    <w:rsid w:val="00CD14CE"/>
    <w:rsid w:val="00CD1D1F"/>
    <w:rsid w:val="00CD377C"/>
    <w:rsid w:val="00CD45D2"/>
    <w:rsid w:val="00CD4CE2"/>
    <w:rsid w:val="00CD5ED9"/>
    <w:rsid w:val="00CD6414"/>
    <w:rsid w:val="00CD6777"/>
    <w:rsid w:val="00CD6FCD"/>
    <w:rsid w:val="00CD7B09"/>
    <w:rsid w:val="00CE087C"/>
    <w:rsid w:val="00CE0FFC"/>
    <w:rsid w:val="00CE15B8"/>
    <w:rsid w:val="00CE17A8"/>
    <w:rsid w:val="00CE1B41"/>
    <w:rsid w:val="00CE1BF6"/>
    <w:rsid w:val="00CE28A2"/>
    <w:rsid w:val="00CE3760"/>
    <w:rsid w:val="00CE5239"/>
    <w:rsid w:val="00CE59F6"/>
    <w:rsid w:val="00CE66D1"/>
    <w:rsid w:val="00CE6D47"/>
    <w:rsid w:val="00CE6DC4"/>
    <w:rsid w:val="00CF1048"/>
    <w:rsid w:val="00CF155A"/>
    <w:rsid w:val="00CF19EB"/>
    <w:rsid w:val="00CF28DE"/>
    <w:rsid w:val="00CF3E7C"/>
    <w:rsid w:val="00CF5B35"/>
    <w:rsid w:val="00CF5C16"/>
    <w:rsid w:val="00CF668C"/>
    <w:rsid w:val="00D000A1"/>
    <w:rsid w:val="00D00B58"/>
    <w:rsid w:val="00D00D17"/>
    <w:rsid w:val="00D02B71"/>
    <w:rsid w:val="00D039C6"/>
    <w:rsid w:val="00D03BBE"/>
    <w:rsid w:val="00D03ED5"/>
    <w:rsid w:val="00D045B7"/>
    <w:rsid w:val="00D04E36"/>
    <w:rsid w:val="00D05BD6"/>
    <w:rsid w:val="00D067AA"/>
    <w:rsid w:val="00D07906"/>
    <w:rsid w:val="00D142CE"/>
    <w:rsid w:val="00D158D7"/>
    <w:rsid w:val="00D16377"/>
    <w:rsid w:val="00D177B1"/>
    <w:rsid w:val="00D179B1"/>
    <w:rsid w:val="00D20DE4"/>
    <w:rsid w:val="00D22119"/>
    <w:rsid w:val="00D22963"/>
    <w:rsid w:val="00D23256"/>
    <w:rsid w:val="00D24278"/>
    <w:rsid w:val="00D24BA9"/>
    <w:rsid w:val="00D25428"/>
    <w:rsid w:val="00D258D1"/>
    <w:rsid w:val="00D25E05"/>
    <w:rsid w:val="00D25E98"/>
    <w:rsid w:val="00D25EBB"/>
    <w:rsid w:val="00D26067"/>
    <w:rsid w:val="00D268BD"/>
    <w:rsid w:val="00D32B94"/>
    <w:rsid w:val="00D33B70"/>
    <w:rsid w:val="00D346BC"/>
    <w:rsid w:val="00D34967"/>
    <w:rsid w:val="00D34C63"/>
    <w:rsid w:val="00D35210"/>
    <w:rsid w:val="00D3641F"/>
    <w:rsid w:val="00D374A4"/>
    <w:rsid w:val="00D37DDE"/>
    <w:rsid w:val="00D401CA"/>
    <w:rsid w:val="00D40E26"/>
    <w:rsid w:val="00D42146"/>
    <w:rsid w:val="00D42B53"/>
    <w:rsid w:val="00D43513"/>
    <w:rsid w:val="00D43C93"/>
    <w:rsid w:val="00D452D1"/>
    <w:rsid w:val="00D46D8A"/>
    <w:rsid w:val="00D5002D"/>
    <w:rsid w:val="00D50067"/>
    <w:rsid w:val="00D5083B"/>
    <w:rsid w:val="00D517E2"/>
    <w:rsid w:val="00D51C87"/>
    <w:rsid w:val="00D52A47"/>
    <w:rsid w:val="00D52BC2"/>
    <w:rsid w:val="00D53764"/>
    <w:rsid w:val="00D53BBB"/>
    <w:rsid w:val="00D54438"/>
    <w:rsid w:val="00D545BE"/>
    <w:rsid w:val="00D557DA"/>
    <w:rsid w:val="00D55DD8"/>
    <w:rsid w:val="00D57812"/>
    <w:rsid w:val="00D57AFB"/>
    <w:rsid w:val="00D603E5"/>
    <w:rsid w:val="00D60F6F"/>
    <w:rsid w:val="00D617D4"/>
    <w:rsid w:val="00D6280B"/>
    <w:rsid w:val="00D62CD3"/>
    <w:rsid w:val="00D62D90"/>
    <w:rsid w:val="00D63205"/>
    <w:rsid w:val="00D64CA9"/>
    <w:rsid w:val="00D64ED5"/>
    <w:rsid w:val="00D65EC5"/>
    <w:rsid w:val="00D6666B"/>
    <w:rsid w:val="00D67CB9"/>
    <w:rsid w:val="00D704AA"/>
    <w:rsid w:val="00D70C62"/>
    <w:rsid w:val="00D73773"/>
    <w:rsid w:val="00D7467B"/>
    <w:rsid w:val="00D7681F"/>
    <w:rsid w:val="00D76BF5"/>
    <w:rsid w:val="00D777B7"/>
    <w:rsid w:val="00D811FA"/>
    <w:rsid w:val="00D818F6"/>
    <w:rsid w:val="00D826C7"/>
    <w:rsid w:val="00D82946"/>
    <w:rsid w:val="00D845B0"/>
    <w:rsid w:val="00D856E9"/>
    <w:rsid w:val="00D85701"/>
    <w:rsid w:val="00D8642C"/>
    <w:rsid w:val="00D90F50"/>
    <w:rsid w:val="00D920A0"/>
    <w:rsid w:val="00D92EB6"/>
    <w:rsid w:val="00D9360B"/>
    <w:rsid w:val="00D94A06"/>
    <w:rsid w:val="00D965F8"/>
    <w:rsid w:val="00D9682C"/>
    <w:rsid w:val="00D974FC"/>
    <w:rsid w:val="00D97FFA"/>
    <w:rsid w:val="00DA05F1"/>
    <w:rsid w:val="00DA150F"/>
    <w:rsid w:val="00DA1947"/>
    <w:rsid w:val="00DA2739"/>
    <w:rsid w:val="00DA2AA8"/>
    <w:rsid w:val="00DA39AB"/>
    <w:rsid w:val="00DA53F4"/>
    <w:rsid w:val="00DA5525"/>
    <w:rsid w:val="00DA5D61"/>
    <w:rsid w:val="00DA7562"/>
    <w:rsid w:val="00DA76CA"/>
    <w:rsid w:val="00DA7D60"/>
    <w:rsid w:val="00DB2E8F"/>
    <w:rsid w:val="00DB41E6"/>
    <w:rsid w:val="00DB4AD6"/>
    <w:rsid w:val="00DB4E22"/>
    <w:rsid w:val="00DB58FD"/>
    <w:rsid w:val="00DC0827"/>
    <w:rsid w:val="00DC1D35"/>
    <w:rsid w:val="00DC4A1C"/>
    <w:rsid w:val="00DC4ABF"/>
    <w:rsid w:val="00DC4CA4"/>
    <w:rsid w:val="00DC52F3"/>
    <w:rsid w:val="00DC58E0"/>
    <w:rsid w:val="00DC6D42"/>
    <w:rsid w:val="00DC7923"/>
    <w:rsid w:val="00DD159A"/>
    <w:rsid w:val="00DD3052"/>
    <w:rsid w:val="00DD3099"/>
    <w:rsid w:val="00DD327B"/>
    <w:rsid w:val="00DD39B5"/>
    <w:rsid w:val="00DD3C84"/>
    <w:rsid w:val="00DD4A35"/>
    <w:rsid w:val="00DD4F5B"/>
    <w:rsid w:val="00DD51CD"/>
    <w:rsid w:val="00DD7654"/>
    <w:rsid w:val="00DD7777"/>
    <w:rsid w:val="00DE0063"/>
    <w:rsid w:val="00DE010E"/>
    <w:rsid w:val="00DE082D"/>
    <w:rsid w:val="00DE275D"/>
    <w:rsid w:val="00DE27A7"/>
    <w:rsid w:val="00DE2CFB"/>
    <w:rsid w:val="00DE3442"/>
    <w:rsid w:val="00DE4070"/>
    <w:rsid w:val="00DE4F88"/>
    <w:rsid w:val="00DE574F"/>
    <w:rsid w:val="00DE57FF"/>
    <w:rsid w:val="00DE5822"/>
    <w:rsid w:val="00DE5EC5"/>
    <w:rsid w:val="00DE643F"/>
    <w:rsid w:val="00DE6A50"/>
    <w:rsid w:val="00DE6B47"/>
    <w:rsid w:val="00DE6C06"/>
    <w:rsid w:val="00DE731B"/>
    <w:rsid w:val="00DF0076"/>
    <w:rsid w:val="00DF2988"/>
    <w:rsid w:val="00DF3047"/>
    <w:rsid w:val="00DF3AAC"/>
    <w:rsid w:val="00DF418D"/>
    <w:rsid w:val="00DF58B5"/>
    <w:rsid w:val="00DF5C19"/>
    <w:rsid w:val="00DF76DC"/>
    <w:rsid w:val="00DF7BA7"/>
    <w:rsid w:val="00E002DE"/>
    <w:rsid w:val="00E015B2"/>
    <w:rsid w:val="00E01995"/>
    <w:rsid w:val="00E0250E"/>
    <w:rsid w:val="00E04FCF"/>
    <w:rsid w:val="00E051D6"/>
    <w:rsid w:val="00E0525F"/>
    <w:rsid w:val="00E05EF0"/>
    <w:rsid w:val="00E0650E"/>
    <w:rsid w:val="00E06787"/>
    <w:rsid w:val="00E0726A"/>
    <w:rsid w:val="00E0726C"/>
    <w:rsid w:val="00E07E20"/>
    <w:rsid w:val="00E117C0"/>
    <w:rsid w:val="00E1333B"/>
    <w:rsid w:val="00E138A6"/>
    <w:rsid w:val="00E13C22"/>
    <w:rsid w:val="00E13DEC"/>
    <w:rsid w:val="00E150E5"/>
    <w:rsid w:val="00E23E31"/>
    <w:rsid w:val="00E23F57"/>
    <w:rsid w:val="00E240A1"/>
    <w:rsid w:val="00E25311"/>
    <w:rsid w:val="00E25876"/>
    <w:rsid w:val="00E25D11"/>
    <w:rsid w:val="00E270F0"/>
    <w:rsid w:val="00E27433"/>
    <w:rsid w:val="00E27999"/>
    <w:rsid w:val="00E279DF"/>
    <w:rsid w:val="00E317FA"/>
    <w:rsid w:val="00E31AFE"/>
    <w:rsid w:val="00E3212C"/>
    <w:rsid w:val="00E32460"/>
    <w:rsid w:val="00E327E0"/>
    <w:rsid w:val="00E3284D"/>
    <w:rsid w:val="00E34268"/>
    <w:rsid w:val="00E34405"/>
    <w:rsid w:val="00E35383"/>
    <w:rsid w:val="00E36B58"/>
    <w:rsid w:val="00E3729B"/>
    <w:rsid w:val="00E40C85"/>
    <w:rsid w:val="00E41088"/>
    <w:rsid w:val="00E41358"/>
    <w:rsid w:val="00E41A70"/>
    <w:rsid w:val="00E42326"/>
    <w:rsid w:val="00E43CBB"/>
    <w:rsid w:val="00E44025"/>
    <w:rsid w:val="00E44641"/>
    <w:rsid w:val="00E44DA5"/>
    <w:rsid w:val="00E44E7F"/>
    <w:rsid w:val="00E45706"/>
    <w:rsid w:val="00E4582D"/>
    <w:rsid w:val="00E45B8F"/>
    <w:rsid w:val="00E4660B"/>
    <w:rsid w:val="00E478BC"/>
    <w:rsid w:val="00E50B9D"/>
    <w:rsid w:val="00E53F54"/>
    <w:rsid w:val="00E546D5"/>
    <w:rsid w:val="00E55D6C"/>
    <w:rsid w:val="00E564FA"/>
    <w:rsid w:val="00E5652E"/>
    <w:rsid w:val="00E5683D"/>
    <w:rsid w:val="00E57457"/>
    <w:rsid w:val="00E574C7"/>
    <w:rsid w:val="00E57BD9"/>
    <w:rsid w:val="00E57D64"/>
    <w:rsid w:val="00E60BBE"/>
    <w:rsid w:val="00E618F6"/>
    <w:rsid w:val="00E62052"/>
    <w:rsid w:val="00E63D5A"/>
    <w:rsid w:val="00E640D7"/>
    <w:rsid w:val="00E6530E"/>
    <w:rsid w:val="00E654A0"/>
    <w:rsid w:val="00E657ED"/>
    <w:rsid w:val="00E658C4"/>
    <w:rsid w:val="00E65D2E"/>
    <w:rsid w:val="00E65E2A"/>
    <w:rsid w:val="00E66CA6"/>
    <w:rsid w:val="00E66E8F"/>
    <w:rsid w:val="00E67163"/>
    <w:rsid w:val="00E7331E"/>
    <w:rsid w:val="00E738C0"/>
    <w:rsid w:val="00E73EF3"/>
    <w:rsid w:val="00E73F0E"/>
    <w:rsid w:val="00E74BCD"/>
    <w:rsid w:val="00E74C49"/>
    <w:rsid w:val="00E76C35"/>
    <w:rsid w:val="00E76F56"/>
    <w:rsid w:val="00E810B4"/>
    <w:rsid w:val="00E816F7"/>
    <w:rsid w:val="00E81D13"/>
    <w:rsid w:val="00E81E66"/>
    <w:rsid w:val="00E83FDF"/>
    <w:rsid w:val="00E84B88"/>
    <w:rsid w:val="00E86180"/>
    <w:rsid w:val="00E86195"/>
    <w:rsid w:val="00E87FFC"/>
    <w:rsid w:val="00E90553"/>
    <w:rsid w:val="00E909CE"/>
    <w:rsid w:val="00E91610"/>
    <w:rsid w:val="00E91FDC"/>
    <w:rsid w:val="00E9259F"/>
    <w:rsid w:val="00E93692"/>
    <w:rsid w:val="00E94E36"/>
    <w:rsid w:val="00E9658A"/>
    <w:rsid w:val="00E965AF"/>
    <w:rsid w:val="00E96C76"/>
    <w:rsid w:val="00E97031"/>
    <w:rsid w:val="00E97476"/>
    <w:rsid w:val="00E97550"/>
    <w:rsid w:val="00EA065C"/>
    <w:rsid w:val="00EA1171"/>
    <w:rsid w:val="00EA1893"/>
    <w:rsid w:val="00EA493C"/>
    <w:rsid w:val="00EA6237"/>
    <w:rsid w:val="00EA70DC"/>
    <w:rsid w:val="00EA74C0"/>
    <w:rsid w:val="00EA7A1D"/>
    <w:rsid w:val="00EB06BD"/>
    <w:rsid w:val="00EB17AA"/>
    <w:rsid w:val="00EB17E6"/>
    <w:rsid w:val="00EB1F5C"/>
    <w:rsid w:val="00EB2253"/>
    <w:rsid w:val="00EB2467"/>
    <w:rsid w:val="00EB28E5"/>
    <w:rsid w:val="00EB2EEE"/>
    <w:rsid w:val="00EB47DA"/>
    <w:rsid w:val="00EB53B3"/>
    <w:rsid w:val="00EB5734"/>
    <w:rsid w:val="00EB5F6A"/>
    <w:rsid w:val="00EB7A4D"/>
    <w:rsid w:val="00EC04C2"/>
    <w:rsid w:val="00EC1D0F"/>
    <w:rsid w:val="00EC2764"/>
    <w:rsid w:val="00EC27A6"/>
    <w:rsid w:val="00EC30B8"/>
    <w:rsid w:val="00EC41C7"/>
    <w:rsid w:val="00EC46EF"/>
    <w:rsid w:val="00EC4763"/>
    <w:rsid w:val="00EC4DCA"/>
    <w:rsid w:val="00EC645A"/>
    <w:rsid w:val="00EC69C1"/>
    <w:rsid w:val="00EC6F9D"/>
    <w:rsid w:val="00EC743F"/>
    <w:rsid w:val="00EC76EE"/>
    <w:rsid w:val="00EC7E4F"/>
    <w:rsid w:val="00ED035C"/>
    <w:rsid w:val="00ED13FD"/>
    <w:rsid w:val="00ED15E0"/>
    <w:rsid w:val="00ED26FC"/>
    <w:rsid w:val="00ED37B0"/>
    <w:rsid w:val="00ED4869"/>
    <w:rsid w:val="00ED4881"/>
    <w:rsid w:val="00ED541C"/>
    <w:rsid w:val="00ED5E5D"/>
    <w:rsid w:val="00ED6DA2"/>
    <w:rsid w:val="00ED79F0"/>
    <w:rsid w:val="00ED7B5F"/>
    <w:rsid w:val="00EE1A12"/>
    <w:rsid w:val="00EE21EA"/>
    <w:rsid w:val="00EE291B"/>
    <w:rsid w:val="00EE3FD8"/>
    <w:rsid w:val="00EE5491"/>
    <w:rsid w:val="00EE5F17"/>
    <w:rsid w:val="00EF010D"/>
    <w:rsid w:val="00EF06A1"/>
    <w:rsid w:val="00EF181C"/>
    <w:rsid w:val="00EF1B70"/>
    <w:rsid w:val="00EF23E8"/>
    <w:rsid w:val="00EF397B"/>
    <w:rsid w:val="00EF4FF3"/>
    <w:rsid w:val="00EF5327"/>
    <w:rsid w:val="00EF7799"/>
    <w:rsid w:val="00F02F39"/>
    <w:rsid w:val="00F05866"/>
    <w:rsid w:val="00F06249"/>
    <w:rsid w:val="00F06B02"/>
    <w:rsid w:val="00F0777D"/>
    <w:rsid w:val="00F10A3B"/>
    <w:rsid w:val="00F10F06"/>
    <w:rsid w:val="00F1137E"/>
    <w:rsid w:val="00F1148B"/>
    <w:rsid w:val="00F118C4"/>
    <w:rsid w:val="00F124C6"/>
    <w:rsid w:val="00F129CA"/>
    <w:rsid w:val="00F13D61"/>
    <w:rsid w:val="00F15F23"/>
    <w:rsid w:val="00F17D27"/>
    <w:rsid w:val="00F206B7"/>
    <w:rsid w:val="00F20CEE"/>
    <w:rsid w:val="00F2156F"/>
    <w:rsid w:val="00F21892"/>
    <w:rsid w:val="00F22AAD"/>
    <w:rsid w:val="00F231F5"/>
    <w:rsid w:val="00F2380A"/>
    <w:rsid w:val="00F23DFC"/>
    <w:rsid w:val="00F24DC7"/>
    <w:rsid w:val="00F24F7D"/>
    <w:rsid w:val="00F2646C"/>
    <w:rsid w:val="00F26A42"/>
    <w:rsid w:val="00F27769"/>
    <w:rsid w:val="00F300D0"/>
    <w:rsid w:val="00F31D1D"/>
    <w:rsid w:val="00F320D6"/>
    <w:rsid w:val="00F33796"/>
    <w:rsid w:val="00F34202"/>
    <w:rsid w:val="00F3521A"/>
    <w:rsid w:val="00F3573F"/>
    <w:rsid w:val="00F3679C"/>
    <w:rsid w:val="00F36AD7"/>
    <w:rsid w:val="00F36B20"/>
    <w:rsid w:val="00F40595"/>
    <w:rsid w:val="00F40927"/>
    <w:rsid w:val="00F410CB"/>
    <w:rsid w:val="00F41522"/>
    <w:rsid w:val="00F41820"/>
    <w:rsid w:val="00F422E5"/>
    <w:rsid w:val="00F427CF"/>
    <w:rsid w:val="00F429DB"/>
    <w:rsid w:val="00F42CC3"/>
    <w:rsid w:val="00F432E1"/>
    <w:rsid w:val="00F45015"/>
    <w:rsid w:val="00F450B3"/>
    <w:rsid w:val="00F460ED"/>
    <w:rsid w:val="00F461C9"/>
    <w:rsid w:val="00F46E9B"/>
    <w:rsid w:val="00F46FA3"/>
    <w:rsid w:val="00F4744E"/>
    <w:rsid w:val="00F47F31"/>
    <w:rsid w:val="00F5060E"/>
    <w:rsid w:val="00F51327"/>
    <w:rsid w:val="00F51926"/>
    <w:rsid w:val="00F52CED"/>
    <w:rsid w:val="00F53A3B"/>
    <w:rsid w:val="00F542E1"/>
    <w:rsid w:val="00F54471"/>
    <w:rsid w:val="00F54562"/>
    <w:rsid w:val="00F54E78"/>
    <w:rsid w:val="00F566DC"/>
    <w:rsid w:val="00F56DF8"/>
    <w:rsid w:val="00F57DF5"/>
    <w:rsid w:val="00F6175D"/>
    <w:rsid w:val="00F61C22"/>
    <w:rsid w:val="00F62884"/>
    <w:rsid w:val="00F639A1"/>
    <w:rsid w:val="00F63A85"/>
    <w:rsid w:val="00F63B4F"/>
    <w:rsid w:val="00F63D84"/>
    <w:rsid w:val="00F6462E"/>
    <w:rsid w:val="00F65188"/>
    <w:rsid w:val="00F65347"/>
    <w:rsid w:val="00F6581B"/>
    <w:rsid w:val="00F6593D"/>
    <w:rsid w:val="00F6735A"/>
    <w:rsid w:val="00F67480"/>
    <w:rsid w:val="00F706B7"/>
    <w:rsid w:val="00F72637"/>
    <w:rsid w:val="00F72DA2"/>
    <w:rsid w:val="00F7367E"/>
    <w:rsid w:val="00F73B29"/>
    <w:rsid w:val="00F73DB2"/>
    <w:rsid w:val="00F74629"/>
    <w:rsid w:val="00F75C1C"/>
    <w:rsid w:val="00F760A1"/>
    <w:rsid w:val="00F76AFE"/>
    <w:rsid w:val="00F80FFA"/>
    <w:rsid w:val="00F812B5"/>
    <w:rsid w:val="00F81AC7"/>
    <w:rsid w:val="00F82270"/>
    <w:rsid w:val="00F838EA"/>
    <w:rsid w:val="00F847A4"/>
    <w:rsid w:val="00F85ADB"/>
    <w:rsid w:val="00F85E82"/>
    <w:rsid w:val="00F85F01"/>
    <w:rsid w:val="00F87445"/>
    <w:rsid w:val="00F90F8A"/>
    <w:rsid w:val="00F91354"/>
    <w:rsid w:val="00F918F0"/>
    <w:rsid w:val="00F91D7E"/>
    <w:rsid w:val="00F91E28"/>
    <w:rsid w:val="00F93340"/>
    <w:rsid w:val="00F93930"/>
    <w:rsid w:val="00F94938"/>
    <w:rsid w:val="00F9589B"/>
    <w:rsid w:val="00FA0B27"/>
    <w:rsid w:val="00FA0E06"/>
    <w:rsid w:val="00FA1A6A"/>
    <w:rsid w:val="00FA1AE7"/>
    <w:rsid w:val="00FA2EC0"/>
    <w:rsid w:val="00FA3F96"/>
    <w:rsid w:val="00FA4020"/>
    <w:rsid w:val="00FA5B95"/>
    <w:rsid w:val="00FA7515"/>
    <w:rsid w:val="00FA7739"/>
    <w:rsid w:val="00FB0337"/>
    <w:rsid w:val="00FB1C56"/>
    <w:rsid w:val="00FB24FB"/>
    <w:rsid w:val="00FB25FE"/>
    <w:rsid w:val="00FB4016"/>
    <w:rsid w:val="00FB456F"/>
    <w:rsid w:val="00FB4DFD"/>
    <w:rsid w:val="00FB593B"/>
    <w:rsid w:val="00FC0551"/>
    <w:rsid w:val="00FC0903"/>
    <w:rsid w:val="00FC144B"/>
    <w:rsid w:val="00FC188E"/>
    <w:rsid w:val="00FC1A09"/>
    <w:rsid w:val="00FC1ECB"/>
    <w:rsid w:val="00FC21B3"/>
    <w:rsid w:val="00FC24DC"/>
    <w:rsid w:val="00FC2543"/>
    <w:rsid w:val="00FC4EBC"/>
    <w:rsid w:val="00FC59E2"/>
    <w:rsid w:val="00FC6CF5"/>
    <w:rsid w:val="00FC7608"/>
    <w:rsid w:val="00FD0353"/>
    <w:rsid w:val="00FD055E"/>
    <w:rsid w:val="00FD0B3D"/>
    <w:rsid w:val="00FD1557"/>
    <w:rsid w:val="00FD298A"/>
    <w:rsid w:val="00FD2B24"/>
    <w:rsid w:val="00FD37A6"/>
    <w:rsid w:val="00FD3C3E"/>
    <w:rsid w:val="00FD56C4"/>
    <w:rsid w:val="00FD5977"/>
    <w:rsid w:val="00FD6953"/>
    <w:rsid w:val="00FE04A1"/>
    <w:rsid w:val="00FE0B83"/>
    <w:rsid w:val="00FE0E43"/>
    <w:rsid w:val="00FE2BBF"/>
    <w:rsid w:val="00FE36B6"/>
    <w:rsid w:val="00FE3C2C"/>
    <w:rsid w:val="00FE59BA"/>
    <w:rsid w:val="00FE641A"/>
    <w:rsid w:val="00FE6F1D"/>
    <w:rsid w:val="00FF07D5"/>
    <w:rsid w:val="00FF1060"/>
    <w:rsid w:val="00FF2C6E"/>
    <w:rsid w:val="00FF35E7"/>
    <w:rsid w:val="00FF3921"/>
    <w:rsid w:val="00FF4D83"/>
    <w:rsid w:val="00FF5CF9"/>
    <w:rsid w:val="00FF63D6"/>
    <w:rsid w:val="00FF7CB3"/>
    <w:rsid w:val="10620184"/>
    <w:rsid w:val="177A71E1"/>
    <w:rsid w:val="206804D3"/>
    <w:rsid w:val="2BCF42EC"/>
    <w:rsid w:val="335AC23D"/>
    <w:rsid w:val="33F7A160"/>
    <w:rsid w:val="3CF04064"/>
    <w:rsid w:val="3EB187DE"/>
    <w:rsid w:val="3FEF0013"/>
    <w:rsid w:val="3FF4C3E3"/>
    <w:rsid w:val="427BA5D0"/>
    <w:rsid w:val="47346FEF"/>
    <w:rsid w:val="4E945621"/>
    <w:rsid w:val="4F7BAF86"/>
    <w:rsid w:val="4FDA7D50"/>
    <w:rsid w:val="50170071"/>
    <w:rsid w:val="54AB2576"/>
    <w:rsid w:val="566B3595"/>
    <w:rsid w:val="5BFF6666"/>
    <w:rsid w:val="5EF534F9"/>
    <w:rsid w:val="5FD431FA"/>
    <w:rsid w:val="69832B18"/>
    <w:rsid w:val="6E5FBE02"/>
    <w:rsid w:val="6FDB1B4E"/>
    <w:rsid w:val="6FFA8390"/>
    <w:rsid w:val="6FFD406B"/>
    <w:rsid w:val="71FE1B40"/>
    <w:rsid w:val="753D70B8"/>
    <w:rsid w:val="7677C794"/>
    <w:rsid w:val="77F250B7"/>
    <w:rsid w:val="77F39610"/>
    <w:rsid w:val="79B623AE"/>
    <w:rsid w:val="7C4BF091"/>
    <w:rsid w:val="7CCBA616"/>
    <w:rsid w:val="7D7FBDE8"/>
    <w:rsid w:val="7D9F2413"/>
    <w:rsid w:val="7DFF204D"/>
    <w:rsid w:val="7EF742EF"/>
    <w:rsid w:val="7F9EF522"/>
    <w:rsid w:val="7FBF09AF"/>
    <w:rsid w:val="7FF33451"/>
    <w:rsid w:val="7FFF51C6"/>
    <w:rsid w:val="B7CEEC22"/>
    <w:rsid w:val="C8F7C257"/>
    <w:rsid w:val="CA3BBBD1"/>
    <w:rsid w:val="DB9E87BE"/>
    <w:rsid w:val="DF7D449B"/>
    <w:rsid w:val="DF9F17FB"/>
    <w:rsid w:val="DFAE1FFE"/>
    <w:rsid w:val="DFBF7852"/>
    <w:rsid w:val="DFD359D3"/>
    <w:rsid w:val="EBFFDE84"/>
    <w:rsid w:val="EF5DDE16"/>
    <w:rsid w:val="F5FF7131"/>
    <w:rsid w:val="F77C35DD"/>
    <w:rsid w:val="FBFF486C"/>
    <w:rsid w:val="FD6AC2B8"/>
    <w:rsid w:val="FFBF52A3"/>
    <w:rsid w:val="FFCB6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42"/>
    <w:qFormat/>
    <w:uiPriority w:val="9"/>
    <w:pPr>
      <w:keepNext/>
      <w:keepLines/>
      <w:spacing w:before="340" w:after="330" w:line="578" w:lineRule="auto"/>
      <w:outlineLvl w:val="0"/>
    </w:pPr>
    <w:rPr>
      <w:rFonts w:ascii="Calibri" w:hAnsi="Calibri"/>
      <w:b/>
      <w:bCs/>
      <w:kern w:val="44"/>
      <w:sz w:val="44"/>
      <w:szCs w:val="44"/>
      <w:lang w:val="zh-CN" w:eastAsia="zh-CN"/>
    </w:rPr>
  </w:style>
  <w:style w:type="paragraph" w:styleId="5">
    <w:name w:val="heading 2"/>
    <w:basedOn w:val="1"/>
    <w:next w:val="6"/>
    <w:link w:val="43"/>
    <w:qFormat/>
    <w:uiPriority w:val="9"/>
    <w:pPr>
      <w:keepNext/>
      <w:keepLines/>
      <w:spacing w:before="260" w:after="260" w:line="416" w:lineRule="auto"/>
      <w:outlineLvl w:val="1"/>
    </w:pPr>
    <w:rPr>
      <w:rFonts w:ascii="Arial" w:hAnsi="Arial" w:eastAsia="黑体"/>
      <w:b/>
      <w:sz w:val="32"/>
    </w:rPr>
  </w:style>
  <w:style w:type="paragraph" w:styleId="7">
    <w:name w:val="heading 3"/>
    <w:basedOn w:val="1"/>
    <w:next w:val="1"/>
    <w:link w:val="44"/>
    <w:qFormat/>
    <w:uiPriority w:val="9"/>
    <w:pPr>
      <w:keepNext/>
      <w:keepLines/>
      <w:spacing w:before="260" w:after="260" w:line="416" w:lineRule="auto"/>
      <w:outlineLvl w:val="2"/>
    </w:pPr>
    <w:rPr>
      <w:b/>
      <w:bCs/>
      <w:sz w:val="32"/>
      <w:szCs w:val="32"/>
    </w:rPr>
  </w:style>
  <w:style w:type="paragraph" w:styleId="8">
    <w:name w:val="heading 4"/>
    <w:basedOn w:val="1"/>
    <w:next w:val="1"/>
    <w:link w:val="45"/>
    <w:unhideWhenUsed/>
    <w:qFormat/>
    <w:uiPriority w:val="9"/>
    <w:pPr>
      <w:keepNext/>
      <w:keepLines/>
      <w:spacing w:before="280" w:after="290" w:line="376" w:lineRule="auto"/>
      <w:outlineLvl w:val="3"/>
    </w:pPr>
    <w:rPr>
      <w:rFonts w:ascii="Calibri Light" w:hAnsi="Calibri Light"/>
      <w:b/>
      <w:bCs/>
      <w:sz w:val="28"/>
      <w:szCs w:val="28"/>
    </w:rPr>
  </w:style>
  <w:style w:type="paragraph" w:styleId="9">
    <w:name w:val="heading 5"/>
    <w:basedOn w:val="1"/>
    <w:next w:val="1"/>
    <w:link w:val="46"/>
    <w:unhideWhenUsed/>
    <w:qFormat/>
    <w:uiPriority w:val="9"/>
    <w:pPr>
      <w:keepNext/>
      <w:keepLines/>
      <w:spacing w:before="280" w:after="290" w:line="376" w:lineRule="auto"/>
      <w:outlineLvl w:val="4"/>
    </w:pPr>
    <w:rPr>
      <w:rFonts w:ascii="Calibri" w:hAnsi="Calibri"/>
      <w:b/>
      <w:bCs/>
      <w:sz w:val="28"/>
      <w:szCs w:val="28"/>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rPr>
      <w:sz w:val="28"/>
    </w:rPr>
  </w:style>
  <w:style w:type="paragraph" w:styleId="6">
    <w:name w:val="Normal Indent"/>
    <w:basedOn w:val="1"/>
    <w:qFormat/>
    <w:uiPriority w:val="99"/>
    <w:pPr>
      <w:ind w:firstLine="420"/>
    </w:pPr>
  </w:style>
  <w:style w:type="paragraph" w:styleId="10">
    <w:name w:val="toc 7"/>
    <w:basedOn w:val="1"/>
    <w:next w:val="1"/>
    <w:unhideWhenUsed/>
    <w:qFormat/>
    <w:uiPriority w:val="39"/>
    <w:pPr>
      <w:ind w:left="2520" w:leftChars="1200"/>
    </w:pPr>
    <w:rPr>
      <w:rFonts w:ascii="Calibri" w:hAnsi="Calibri"/>
      <w:szCs w:val="22"/>
    </w:rPr>
  </w:style>
  <w:style w:type="paragraph" w:styleId="11">
    <w:name w:val="Document Map"/>
    <w:basedOn w:val="1"/>
    <w:link w:val="63"/>
    <w:unhideWhenUsed/>
    <w:qFormat/>
    <w:uiPriority w:val="99"/>
    <w:rPr>
      <w:rFonts w:ascii="宋体" w:hAnsi="Calibri"/>
      <w:kern w:val="0"/>
      <w:sz w:val="18"/>
      <w:szCs w:val="18"/>
      <w:lang w:val="zh-CN" w:eastAsia="zh-CN"/>
    </w:rPr>
  </w:style>
  <w:style w:type="paragraph" w:styleId="12">
    <w:name w:val="annotation text"/>
    <w:basedOn w:val="1"/>
    <w:link w:val="65"/>
    <w:unhideWhenUsed/>
    <w:qFormat/>
    <w:uiPriority w:val="0"/>
    <w:pPr>
      <w:jc w:val="left"/>
    </w:pPr>
    <w:rPr>
      <w:rFonts w:ascii="Calibri" w:hAnsi="Calibri"/>
      <w:szCs w:val="22"/>
    </w:rPr>
  </w:style>
  <w:style w:type="paragraph" w:styleId="13">
    <w:name w:val="Body Text 3"/>
    <w:basedOn w:val="1"/>
    <w:qFormat/>
    <w:uiPriority w:val="0"/>
    <w:rPr>
      <w:rFonts w:eastAsia="方正楷体简体"/>
      <w:sz w:val="24"/>
    </w:rPr>
  </w:style>
  <w:style w:type="paragraph" w:styleId="14">
    <w:name w:val="Body Text Indent"/>
    <w:basedOn w:val="1"/>
    <w:link w:val="49"/>
    <w:qFormat/>
    <w:uiPriority w:val="0"/>
    <w:pPr>
      <w:ind w:firstLine="645"/>
    </w:pPr>
    <w:rPr>
      <w:rFonts w:ascii="仿宋_GB2312" w:eastAsia="仿宋_GB2312"/>
      <w:sz w:val="32"/>
    </w:rPr>
  </w:style>
  <w:style w:type="paragraph" w:styleId="15">
    <w:name w:val="toc 5"/>
    <w:basedOn w:val="1"/>
    <w:next w:val="1"/>
    <w:unhideWhenUsed/>
    <w:qFormat/>
    <w:uiPriority w:val="39"/>
    <w:pPr>
      <w:ind w:left="1680" w:leftChars="800"/>
    </w:pPr>
    <w:rPr>
      <w:rFonts w:ascii="Calibri" w:hAnsi="Calibri"/>
      <w:szCs w:val="22"/>
    </w:rPr>
  </w:style>
  <w:style w:type="paragraph" w:styleId="16">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7">
    <w:name w:val="Plain Text"/>
    <w:basedOn w:val="1"/>
    <w:link w:val="51"/>
    <w:qFormat/>
    <w:uiPriority w:val="0"/>
    <w:rPr>
      <w:rFonts w:ascii="宋体" w:hAnsi="Courier New"/>
    </w:rPr>
  </w:style>
  <w:style w:type="paragraph" w:styleId="18">
    <w:name w:val="toc 8"/>
    <w:basedOn w:val="1"/>
    <w:next w:val="1"/>
    <w:unhideWhenUsed/>
    <w:qFormat/>
    <w:uiPriority w:val="39"/>
    <w:pPr>
      <w:ind w:left="2940" w:leftChars="1400"/>
    </w:pPr>
    <w:rPr>
      <w:rFonts w:ascii="Calibri" w:hAnsi="Calibri"/>
      <w:szCs w:val="22"/>
    </w:rPr>
  </w:style>
  <w:style w:type="paragraph" w:styleId="19">
    <w:name w:val="Date"/>
    <w:basedOn w:val="1"/>
    <w:next w:val="1"/>
    <w:link w:val="50"/>
    <w:qFormat/>
    <w:uiPriority w:val="99"/>
    <w:rPr>
      <w:sz w:val="28"/>
    </w:rPr>
  </w:style>
  <w:style w:type="paragraph" w:styleId="20">
    <w:name w:val="Body Text Indent 2"/>
    <w:basedOn w:val="1"/>
    <w:qFormat/>
    <w:uiPriority w:val="0"/>
    <w:pPr>
      <w:spacing w:line="600" w:lineRule="exact"/>
      <w:ind w:firstLine="646"/>
    </w:pPr>
    <w:rPr>
      <w:rFonts w:ascii="仿宋_GB2312" w:eastAsia="仿宋_GB2312"/>
      <w:sz w:val="32"/>
    </w:rPr>
  </w:style>
  <w:style w:type="paragraph" w:styleId="21">
    <w:name w:val="Balloon Text"/>
    <w:basedOn w:val="1"/>
    <w:link w:val="52"/>
    <w:semiHidden/>
    <w:qFormat/>
    <w:uiPriority w:val="99"/>
    <w:rPr>
      <w:sz w:val="18"/>
      <w:szCs w:val="18"/>
    </w:rPr>
  </w:style>
  <w:style w:type="paragraph" w:styleId="22">
    <w:name w:val="footer"/>
    <w:basedOn w:val="1"/>
    <w:link w:val="47"/>
    <w:qFormat/>
    <w:uiPriority w:val="99"/>
    <w:pPr>
      <w:tabs>
        <w:tab w:val="center" w:pos="4153"/>
        <w:tab w:val="right" w:pos="8306"/>
      </w:tabs>
      <w:snapToGrid w:val="0"/>
      <w:jc w:val="left"/>
    </w:pPr>
    <w:rPr>
      <w:sz w:val="18"/>
    </w:rPr>
  </w:style>
  <w:style w:type="paragraph" w:styleId="23">
    <w:name w:val="header"/>
    <w:basedOn w:val="1"/>
    <w:link w:val="48"/>
    <w:qFormat/>
    <w:uiPriority w:val="99"/>
    <w:pPr>
      <w:pBdr>
        <w:bottom w:val="single" w:color="auto" w:sz="6" w:space="1"/>
      </w:pBdr>
      <w:tabs>
        <w:tab w:val="center" w:pos="4153"/>
        <w:tab w:val="right" w:pos="8306"/>
      </w:tabs>
      <w:snapToGrid w:val="0"/>
      <w:jc w:val="center"/>
    </w:pPr>
    <w:rPr>
      <w:sz w:val="18"/>
    </w:rPr>
  </w:style>
  <w:style w:type="paragraph" w:styleId="24">
    <w:name w:val="toc 1"/>
    <w:basedOn w:val="1"/>
    <w:next w:val="1"/>
    <w:unhideWhenUsed/>
    <w:qFormat/>
    <w:uiPriority w:val="39"/>
    <w:pPr>
      <w:widowControl/>
      <w:spacing w:after="100" w:line="276" w:lineRule="auto"/>
      <w:jc w:val="left"/>
    </w:pPr>
    <w:rPr>
      <w:rFonts w:ascii="Calibri" w:hAnsi="Calibri"/>
      <w:kern w:val="0"/>
      <w:sz w:val="22"/>
      <w:szCs w:val="22"/>
    </w:rPr>
  </w:style>
  <w:style w:type="paragraph" w:styleId="25">
    <w:name w:val="toc 4"/>
    <w:basedOn w:val="1"/>
    <w:next w:val="1"/>
    <w:unhideWhenUsed/>
    <w:qFormat/>
    <w:uiPriority w:val="39"/>
    <w:pPr>
      <w:ind w:left="1260" w:leftChars="600"/>
    </w:pPr>
    <w:rPr>
      <w:rFonts w:ascii="Calibri" w:hAnsi="Calibri"/>
      <w:szCs w:val="22"/>
    </w:rPr>
  </w:style>
  <w:style w:type="paragraph" w:styleId="26">
    <w:name w:val="footnote text"/>
    <w:basedOn w:val="1"/>
    <w:link w:val="64"/>
    <w:unhideWhenUsed/>
    <w:qFormat/>
    <w:uiPriority w:val="99"/>
    <w:pPr>
      <w:snapToGrid w:val="0"/>
      <w:jc w:val="left"/>
    </w:pPr>
    <w:rPr>
      <w:rFonts w:ascii="Calibri" w:hAnsi="Calibri"/>
      <w:kern w:val="0"/>
      <w:sz w:val="18"/>
      <w:szCs w:val="18"/>
      <w:lang w:val="zh-CN" w:eastAsia="zh-CN"/>
    </w:rPr>
  </w:style>
  <w:style w:type="paragraph" w:styleId="27">
    <w:name w:val="toc 6"/>
    <w:basedOn w:val="1"/>
    <w:next w:val="1"/>
    <w:unhideWhenUsed/>
    <w:qFormat/>
    <w:uiPriority w:val="39"/>
    <w:pPr>
      <w:ind w:left="2100" w:leftChars="1000"/>
    </w:pPr>
    <w:rPr>
      <w:rFonts w:ascii="Calibri" w:hAnsi="Calibri"/>
      <w:szCs w:val="22"/>
    </w:rPr>
  </w:style>
  <w:style w:type="paragraph" w:styleId="28">
    <w:name w:val="Body Text Indent 3"/>
    <w:basedOn w:val="1"/>
    <w:qFormat/>
    <w:uiPriority w:val="0"/>
    <w:pPr>
      <w:spacing w:line="560" w:lineRule="exact"/>
      <w:ind w:firstLine="644"/>
    </w:pPr>
    <w:rPr>
      <w:rFonts w:ascii="方正仿宋简体" w:eastAsia="方正仿宋简体"/>
      <w:sz w:val="30"/>
    </w:rPr>
  </w:style>
  <w:style w:type="paragraph" w:styleId="29">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30">
    <w:name w:val="toc 9"/>
    <w:basedOn w:val="1"/>
    <w:next w:val="1"/>
    <w:unhideWhenUsed/>
    <w:qFormat/>
    <w:uiPriority w:val="39"/>
    <w:pPr>
      <w:ind w:left="3360" w:leftChars="1600"/>
    </w:pPr>
    <w:rPr>
      <w:rFonts w:ascii="Calibri" w:hAnsi="Calibri"/>
      <w:szCs w:val="22"/>
    </w:rPr>
  </w:style>
  <w:style w:type="paragraph" w:styleId="31">
    <w:name w:val="Body Text 2"/>
    <w:basedOn w:val="1"/>
    <w:qFormat/>
    <w:uiPriority w:val="0"/>
    <w:pPr>
      <w:spacing w:before="60" w:line="560" w:lineRule="exact"/>
      <w:jc w:val="center"/>
    </w:pPr>
    <w:rPr>
      <w:rFonts w:eastAsia="方正小标宋简体"/>
      <w:sz w:val="44"/>
    </w:rPr>
  </w:style>
  <w:style w:type="paragraph" w:styleId="3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3">
    <w:name w:val="annotation subject"/>
    <w:basedOn w:val="12"/>
    <w:next w:val="12"/>
    <w:link w:val="67"/>
    <w:unhideWhenUsed/>
    <w:qFormat/>
    <w:uiPriority w:val="99"/>
    <w:rPr>
      <w:b/>
      <w:bCs/>
      <w:kern w:val="0"/>
      <w:sz w:val="20"/>
      <w:szCs w:val="20"/>
      <w:lang w:val="zh-CN" w:eastAsia="zh-CN"/>
    </w:r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22"/>
    <w:rPr>
      <w:b/>
      <w:color w:val="23527C"/>
      <w:u w:val="none"/>
    </w:rPr>
  </w:style>
  <w:style w:type="character" w:styleId="38">
    <w:name w:val="page number"/>
    <w:basedOn w:val="36"/>
    <w:qFormat/>
    <w:uiPriority w:val="0"/>
  </w:style>
  <w:style w:type="character" w:styleId="39">
    <w:name w:val="Hyperlink"/>
    <w:qFormat/>
    <w:uiPriority w:val="99"/>
    <w:rPr>
      <w:color w:val="0000FF"/>
      <w:u w:val="single"/>
    </w:rPr>
  </w:style>
  <w:style w:type="character" w:styleId="40">
    <w:name w:val="annotation reference"/>
    <w:unhideWhenUsed/>
    <w:qFormat/>
    <w:uiPriority w:val="99"/>
    <w:rPr>
      <w:sz w:val="21"/>
      <w:szCs w:val="21"/>
    </w:rPr>
  </w:style>
  <w:style w:type="character" w:styleId="41">
    <w:name w:val="footnote reference"/>
    <w:unhideWhenUsed/>
    <w:qFormat/>
    <w:uiPriority w:val="99"/>
    <w:rPr>
      <w:vertAlign w:val="superscript"/>
    </w:rPr>
  </w:style>
  <w:style w:type="character" w:customStyle="1" w:styleId="42">
    <w:name w:val="标题 1 Char"/>
    <w:link w:val="4"/>
    <w:qFormat/>
    <w:uiPriority w:val="9"/>
    <w:rPr>
      <w:rFonts w:ascii="Calibri" w:hAnsi="Calibri"/>
      <w:b/>
      <w:bCs/>
      <w:kern w:val="44"/>
      <w:sz w:val="44"/>
      <w:szCs w:val="44"/>
      <w:lang w:val="zh-CN" w:eastAsia="zh-CN"/>
    </w:rPr>
  </w:style>
  <w:style w:type="character" w:customStyle="1" w:styleId="43">
    <w:name w:val="标题 2 Char"/>
    <w:link w:val="5"/>
    <w:qFormat/>
    <w:uiPriority w:val="9"/>
    <w:rPr>
      <w:rFonts w:ascii="Arial" w:hAnsi="Arial" w:eastAsia="黑体"/>
      <w:b/>
      <w:kern w:val="2"/>
      <w:sz w:val="32"/>
    </w:rPr>
  </w:style>
  <w:style w:type="character" w:customStyle="1" w:styleId="44">
    <w:name w:val="标题 3 Char"/>
    <w:link w:val="7"/>
    <w:qFormat/>
    <w:uiPriority w:val="9"/>
    <w:rPr>
      <w:b/>
      <w:bCs/>
      <w:kern w:val="2"/>
      <w:sz w:val="32"/>
      <w:szCs w:val="32"/>
    </w:rPr>
  </w:style>
  <w:style w:type="character" w:customStyle="1" w:styleId="45">
    <w:name w:val="标题 4 Char"/>
    <w:link w:val="8"/>
    <w:qFormat/>
    <w:uiPriority w:val="9"/>
    <w:rPr>
      <w:rFonts w:ascii="Calibri Light" w:hAnsi="Calibri Light"/>
      <w:b/>
      <w:bCs/>
      <w:kern w:val="2"/>
      <w:sz w:val="28"/>
      <w:szCs w:val="28"/>
    </w:rPr>
  </w:style>
  <w:style w:type="character" w:customStyle="1" w:styleId="46">
    <w:name w:val="标题 5 Char"/>
    <w:link w:val="9"/>
    <w:qFormat/>
    <w:uiPriority w:val="9"/>
    <w:rPr>
      <w:rFonts w:ascii="Calibri" w:hAnsi="Calibri"/>
      <w:b/>
      <w:bCs/>
      <w:kern w:val="2"/>
      <w:sz w:val="28"/>
      <w:szCs w:val="28"/>
    </w:rPr>
  </w:style>
  <w:style w:type="character" w:customStyle="1" w:styleId="47">
    <w:name w:val="页脚 Char"/>
    <w:link w:val="22"/>
    <w:qFormat/>
    <w:locked/>
    <w:uiPriority w:val="99"/>
    <w:rPr>
      <w:kern w:val="2"/>
      <w:sz w:val="18"/>
    </w:rPr>
  </w:style>
  <w:style w:type="character" w:customStyle="1" w:styleId="48">
    <w:name w:val="页眉 Char"/>
    <w:link w:val="23"/>
    <w:qFormat/>
    <w:uiPriority w:val="99"/>
    <w:rPr>
      <w:kern w:val="2"/>
      <w:sz w:val="18"/>
    </w:rPr>
  </w:style>
  <w:style w:type="character" w:customStyle="1" w:styleId="49">
    <w:name w:val="正文文本缩进 Char"/>
    <w:link w:val="14"/>
    <w:qFormat/>
    <w:uiPriority w:val="0"/>
    <w:rPr>
      <w:rFonts w:ascii="仿宋_GB2312" w:eastAsia="仿宋_GB2312"/>
      <w:kern w:val="2"/>
      <w:sz w:val="32"/>
    </w:rPr>
  </w:style>
  <w:style w:type="character" w:customStyle="1" w:styleId="50">
    <w:name w:val="日期 Char"/>
    <w:link w:val="19"/>
    <w:qFormat/>
    <w:uiPriority w:val="99"/>
    <w:rPr>
      <w:kern w:val="2"/>
      <w:sz w:val="28"/>
    </w:rPr>
  </w:style>
  <w:style w:type="character" w:customStyle="1" w:styleId="51">
    <w:name w:val="纯文本 Char"/>
    <w:link w:val="17"/>
    <w:qFormat/>
    <w:locked/>
    <w:uiPriority w:val="0"/>
    <w:rPr>
      <w:rFonts w:ascii="宋体" w:hAnsi="Courier New" w:eastAsia="宋体"/>
      <w:kern w:val="2"/>
      <w:sz w:val="21"/>
      <w:lang w:val="en-US" w:eastAsia="zh-CN" w:bidi="ar-SA"/>
    </w:rPr>
  </w:style>
  <w:style w:type="character" w:customStyle="1" w:styleId="52">
    <w:name w:val="批注框文本 Char"/>
    <w:link w:val="21"/>
    <w:semiHidden/>
    <w:qFormat/>
    <w:uiPriority w:val="99"/>
    <w:rPr>
      <w:kern w:val="2"/>
      <w:sz w:val="18"/>
      <w:szCs w:val="18"/>
    </w:rPr>
  </w:style>
  <w:style w:type="paragraph" w:customStyle="1" w:styleId="53">
    <w:name w:val="_Style 33"/>
    <w:basedOn w:val="1"/>
    <w:next w:val="17"/>
    <w:qFormat/>
    <w:uiPriority w:val="0"/>
    <w:rPr>
      <w:rFonts w:ascii="宋体" w:hAnsi="Courier New"/>
    </w:rPr>
  </w:style>
  <w:style w:type="paragraph" w:customStyle="1" w:styleId="54">
    <w:name w:val="_Style 34"/>
    <w:basedOn w:val="1"/>
    <w:next w:val="17"/>
    <w:qFormat/>
    <w:uiPriority w:val="0"/>
    <w:rPr>
      <w:rFonts w:ascii="宋体" w:hAnsi="Courier New"/>
    </w:rPr>
  </w:style>
  <w:style w:type="paragraph" w:customStyle="1" w:styleId="55">
    <w:name w:val="_Style 35"/>
    <w:basedOn w:val="1"/>
    <w:next w:val="17"/>
    <w:qFormat/>
    <w:uiPriority w:val="0"/>
    <w:rPr>
      <w:rFonts w:ascii="宋体" w:hAnsi="Courier New"/>
    </w:rPr>
  </w:style>
  <w:style w:type="paragraph" w:customStyle="1" w:styleId="56">
    <w:name w:val="_Style 36"/>
    <w:basedOn w:val="1"/>
    <w:next w:val="17"/>
    <w:qFormat/>
    <w:uiPriority w:val="0"/>
    <w:rPr>
      <w:rFonts w:ascii="宋体" w:hAnsi="Courier New"/>
    </w:rPr>
  </w:style>
  <w:style w:type="paragraph" w:customStyle="1" w:styleId="57">
    <w:name w:val="ccb1"/>
    <w:basedOn w:val="1"/>
    <w:qFormat/>
    <w:uiPriority w:val="0"/>
    <w:pPr>
      <w:widowControl/>
      <w:numPr>
        <w:ilvl w:val="8"/>
        <w:numId w:val="1"/>
      </w:numPr>
      <w:spacing w:line="360" w:lineRule="auto"/>
    </w:pPr>
    <w:rPr>
      <w:rFonts w:ascii="楷体" w:eastAsia="楷体"/>
      <w:snapToGrid w:val="0"/>
      <w:kern w:val="0"/>
      <w:sz w:val="28"/>
      <w:lang w:eastAsia="en-US"/>
    </w:rPr>
  </w:style>
  <w:style w:type="paragraph" w:styleId="58">
    <w:name w:val="List Paragraph"/>
    <w:basedOn w:val="1"/>
    <w:link w:val="59"/>
    <w:qFormat/>
    <w:uiPriority w:val="34"/>
    <w:pPr>
      <w:ind w:firstLine="420" w:firstLineChars="200"/>
    </w:pPr>
  </w:style>
  <w:style w:type="character" w:customStyle="1" w:styleId="59">
    <w:name w:val="列出段落 Char"/>
    <w:link w:val="58"/>
    <w:qFormat/>
    <w:uiPriority w:val="34"/>
    <w:rPr>
      <w:kern w:val="2"/>
      <w:sz w:val="21"/>
    </w:rPr>
  </w:style>
  <w:style w:type="paragraph" w:customStyle="1" w:styleId="60">
    <w:name w:val="Revision"/>
    <w:hidden/>
    <w:semiHidden/>
    <w:qFormat/>
    <w:uiPriority w:val="99"/>
    <w:rPr>
      <w:rFonts w:ascii="Times New Roman" w:hAnsi="Times New Roman" w:eastAsia="宋体" w:cs="Times New Roman"/>
      <w:kern w:val="2"/>
      <w:sz w:val="21"/>
      <w:lang w:val="en-US" w:eastAsia="zh-CN" w:bidi="ar-SA"/>
    </w:rPr>
  </w:style>
  <w:style w:type="paragraph" w:customStyle="1" w:styleId="61">
    <w:name w:val="Default"/>
    <w:qFormat/>
    <w:uiPriority w:val="0"/>
    <w:pPr>
      <w:widowControl w:val="0"/>
      <w:autoSpaceDE w:val="0"/>
      <w:autoSpaceDN w:val="0"/>
      <w:adjustRightInd w:val="0"/>
    </w:pPr>
    <w:rPr>
      <w:rFonts w:ascii="Arial Unicode MS" w:hAnsi="Calibri" w:eastAsia="Arial Unicode MS" w:cs="Arial Unicode MS"/>
      <w:color w:val="000000"/>
      <w:sz w:val="24"/>
      <w:szCs w:val="24"/>
      <w:lang w:val="en-US" w:eastAsia="zh-CN" w:bidi="ar-SA"/>
    </w:rPr>
  </w:style>
  <w:style w:type="paragraph" w:customStyle="1" w:styleId="62">
    <w:name w:val="Normal0"/>
    <w:qFormat/>
    <w:uiPriority w:val="0"/>
    <w:rPr>
      <w:rFonts w:ascii="Times New Roman" w:hAnsi="Times New Roman" w:eastAsia="宋体" w:cs="Times New Roman"/>
      <w:lang w:val="en-US" w:eastAsia="en-US" w:bidi="ar-SA"/>
    </w:rPr>
  </w:style>
  <w:style w:type="character" w:customStyle="1" w:styleId="63">
    <w:name w:val="文档结构图 Char"/>
    <w:link w:val="11"/>
    <w:qFormat/>
    <w:uiPriority w:val="99"/>
    <w:rPr>
      <w:rFonts w:ascii="宋体" w:hAnsi="Calibri"/>
      <w:sz w:val="18"/>
      <w:szCs w:val="18"/>
      <w:lang w:val="zh-CN" w:eastAsia="zh-CN"/>
    </w:rPr>
  </w:style>
  <w:style w:type="character" w:customStyle="1" w:styleId="64">
    <w:name w:val="脚注文本 Char"/>
    <w:link w:val="26"/>
    <w:qFormat/>
    <w:uiPriority w:val="99"/>
    <w:rPr>
      <w:rFonts w:ascii="Calibri" w:hAnsi="Calibri"/>
      <w:sz w:val="18"/>
      <w:szCs w:val="18"/>
      <w:lang w:val="zh-CN" w:eastAsia="zh-CN"/>
    </w:rPr>
  </w:style>
  <w:style w:type="character" w:customStyle="1" w:styleId="65">
    <w:name w:val="批注文字 Char1"/>
    <w:link w:val="12"/>
    <w:qFormat/>
    <w:uiPriority w:val="0"/>
    <w:rPr>
      <w:rFonts w:ascii="Calibri" w:hAnsi="Calibri"/>
      <w:kern w:val="2"/>
      <w:sz w:val="21"/>
      <w:szCs w:val="22"/>
    </w:rPr>
  </w:style>
  <w:style w:type="character" w:customStyle="1" w:styleId="66">
    <w:name w:val="批注文字 Char"/>
    <w:qFormat/>
    <w:uiPriority w:val="0"/>
    <w:rPr>
      <w:kern w:val="2"/>
      <w:sz w:val="21"/>
    </w:rPr>
  </w:style>
  <w:style w:type="character" w:customStyle="1" w:styleId="67">
    <w:name w:val="批注主题 Char"/>
    <w:link w:val="33"/>
    <w:qFormat/>
    <w:uiPriority w:val="99"/>
    <w:rPr>
      <w:rFonts w:ascii="Calibri" w:hAnsi="Calibri"/>
      <w:b/>
      <w:bCs/>
      <w:kern w:val="2"/>
      <w:sz w:val="21"/>
      <w:lang w:val="zh-CN" w:eastAsia="zh-CN"/>
    </w:rPr>
  </w:style>
  <w:style w:type="paragraph" w:customStyle="1" w:styleId="68">
    <w:name w:val="正文样式"/>
    <w:basedOn w:val="58"/>
    <w:link w:val="69"/>
    <w:qFormat/>
    <w:uiPriority w:val="0"/>
    <w:pPr>
      <w:spacing w:beforeLines="100" w:afterLines="50" w:line="360" w:lineRule="auto"/>
      <w:ind w:left="1260" w:leftChars="600" w:firstLine="0" w:firstLineChars="0"/>
    </w:pPr>
    <w:rPr>
      <w:rFonts w:ascii="仿宋_GB2312" w:eastAsia="仿宋_GB2312"/>
      <w:kern w:val="0"/>
      <w:sz w:val="28"/>
      <w:szCs w:val="28"/>
      <w:lang w:val="zh-CN" w:eastAsia="zh-CN"/>
    </w:rPr>
  </w:style>
  <w:style w:type="character" w:customStyle="1" w:styleId="69">
    <w:name w:val="正文样式 Char"/>
    <w:link w:val="68"/>
    <w:qFormat/>
    <w:uiPriority w:val="0"/>
    <w:rPr>
      <w:rFonts w:ascii="仿宋_GB2312" w:eastAsia="仿宋_GB2312"/>
      <w:sz w:val="28"/>
      <w:szCs w:val="28"/>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0" textRotate="1"/>
    <customShpInfo spid="_x0000_s1156"/>
    <customShpInfo spid="_x0000_s1155"/>
    <customShpInfo spid="_x0000_s1154"/>
    <customShpInfo spid="_x0000_s1153"/>
  </customShpExts>
</s:customData>
</file>

<file path=customXml/item2.xml><?xml version="1.0" encoding="utf-8"?>
<ct:contentTypeSchema xmlns:ct="http://schemas.microsoft.com/office/2006/metadata/contentType" xmlns:ma="http://schemas.microsoft.com/office/2006/metadata/properties/metaAttributes" contentTypeName="文档" versionID="c2d6fc419c2b1c800d14a129d15d07c3" _="" contentTypeID="0x010100277BE70400348A4D8EEC7D959D14FCE9" contentTypeDescription="新建文档。" contentTypeVersion="0" contentTypeScope="">
  <xsd:schema xmlns:xsd="http://www.w3.org/2001/XMLSchema" xmlns:ma="http://schemas.microsoft.com/office/2006/metadata/properties/metaAttributes" targetNamespace="http://schemas.microsoft.com/office/2006/metadata/properties" ma:root="true" ma:fieldsID="9adfd09ad98667f9c194c646e975416a">
    <xsd:element xmlns:xsd="http://www.w3.org/2001/XMLSchema" name="properties">
      <xsd:complexType xmlns:xsd="http://www.w3.org/2001/XMLSchema">
        <xsd:sequence xmlns:xsd="http://www.w3.org/2001/XMLSchema">
          <xsd:element xmlns:xsd="http://www.w3.org/2001/XMLSchema" name="documentManagement">
            <xsd:complexType xmlns:xsd="http://www.w3.org/2001/XMLSchema">
              <xsd:all xmlns:xsd="http://www.w3.org/2001/XMLSchema"/>
            </xsd:complexType>
          </xsd:element>
        </xsd:sequence>
      </xsd:complexType>
    </xsd:element>
  </xsd:schema>
  <xsd:schema xmlns:xsd="http://www.w3.org/2001/XMLSchema" targetNamespace="http://schemas.openxmlformats.org/package/2006/metadata/core-properties" blockDefault="#all" elementFormDefault="qualified" attributeFormDefault="unqualified">
    <xsd:import xmlns:xsd="http://www.w3.org/2001/XMLSchema" schemaLocation="http://dublincore.org/schemas/xmls/qdc/2003/04/02/dc.xsd" namespace="http://purl.org/dc/elements/1.1/"/>
    <xsd:import xmlns:xsd="http://www.w3.org/2001/XMLSchema" schemaLocation="http://dublincore.org/schemas/xmls/qdc/2003/04/02/dcterms.xsd" namespace="http://purl.org/dc/terms/"/>
    <xsd:element xmlns:xsd="http://www.w3.org/2001/XMLSchema" name="coreProperties" type="CT_coreProperties"/>
    <xsd:complexType xmlns:xsd="http://www.w3.org/2001/XMLSchema" name="CT_coreProperties">
      <xsd:all xmlns:xsd="http://www.w3.org/2001/XMLSchema">
        <xsd:element xmlns:xsd="http://www.w3.org/2001/XMLSchema" maxOccurs="1" minOccurs="0" ref="dc:creator"/>
        <xsd:element xmlns:xsd="http://www.w3.org/2001/XMLSchema" maxOccurs="1" minOccurs="0" ref="dcterms:created"/>
        <xsd:element xmlns:xsd="http://www.w3.org/2001/XMLSchema" maxOccurs="1" minOccurs="0" ref="dc:identifier"/>
        <xsd:element xmlns:xsd="http://www.w3.org/2001/XMLSchema" xmlns:ma="http://schemas.microsoft.com/office/2006/metadata/properties/metaAttributes" name="contentType" ma:index="0" type="xsd:string" maxOccurs="1" minOccurs="0" ma:displayName="内容类型"/>
        <xsd:element xmlns:xsd="http://www.w3.org/2001/XMLSchema" xmlns:ma="http://schemas.microsoft.com/office/2006/metadata/properties/metaAttributes" ma:index="4" maxOccurs="1" minOccurs="0" ma:displayName="标题" ref="dc:title"/>
        <xsd:element xmlns:xsd="http://www.w3.org/2001/XMLSchema" maxOccurs="1" minOccurs="0" ref="dc:subject"/>
        <xsd:element xmlns:xsd="http://www.w3.org/2001/XMLSchema" maxOccurs="1" minOccurs="0" ref="dc:description"/>
        <xsd:element xmlns:xsd="http://www.w3.org/2001/XMLSchema" name="keywords" type="xsd:string" maxOccurs="1" minOccurs="0"/>
        <xsd:element xmlns:xsd="http://www.w3.org/2001/XMLSchema" maxOccurs="1" minOccurs="0" ref="dc:language"/>
        <xsd:element xmlns:xsd="http://www.w3.org/2001/XMLSchema" name="category" type="xsd:string" maxOccurs="1" minOccurs="0"/>
        <xsd:element xmlns:xsd="http://www.w3.org/2001/XMLSchema" name="version" type="xsd:string" maxOccurs="1" minOccurs="0"/>
        <xsd:element xmlns:xsd="http://www.w3.org/2001/XMLSchema" name="revision" type="xsd:string" maxOccurs="1" minOccurs="0">
          <xsd:annotation xmlns:xsd="http://www.w3.org/2001/XMLSchema">
            <xsd:documentation xmlns:xsd="http://www.w3.org/2001/XMLSchema">
                        This value indicates the number of saves or revisions. The application is responsible for updating this value after each revision.
                    </xsd:documentation>
          </xsd:annotation>
        </xsd:element>
        <xsd:element xmlns:xsd="http://www.w3.org/2001/XMLSchema" name="lastModifiedBy" type="xsd:string" maxOccurs="1" minOccurs="0"/>
        <xsd:element xmlns:xsd="http://www.w3.org/2001/XMLSchema" maxOccurs="1" minOccurs="0" ref="dcterms:modified"/>
        <xsd:element xmlns:xsd="http://www.w3.org/2001/XMLSchema" name="contentStatus" type="xsd:string" maxOccurs="1" minOccurs="0"/>
      </xsd:all>
    </xsd:complexType>
  </xsd:schema>
  <xs:schema xmlns:xs="http://www.w3.org/2001/XMLSchema" targetNamespace="http://schemas.microsoft.com/office/infopath/2007/PartnerControls" elementFormDefault="qualified" attributeFormDefault="unqualified">
    <xs:element xmlns:xs="http://www.w3.org/2001/XMLSchema" name="Person">
      <xs:complexType xmlns:xs="http://www.w3.org/2001/XMLSchema">
        <xs:sequence xmlns:xs="http://www.w3.org/2001/XMLSchema">
          <xs:element xmlns:xs="http://www.w3.org/2001/XMLSchema" minOccurs="0" ref="pc:DisplayName"/>
          <xs:element xmlns:xs="http://www.w3.org/2001/XMLSchema" minOccurs="0" ref="pc:AccountId"/>
          <xs:element xmlns:xs="http://www.w3.org/2001/XMLSchema" minOccurs="0" ref="pc:AccountType"/>
        </xs:sequence>
      </xs:complexType>
    </xs:element>
    <xs:element xmlns:xs="http://www.w3.org/2001/XMLSchema" name="DisplayName" type="xs:string"/>
    <xs:element xmlns:xs="http://www.w3.org/2001/XMLSchema" name="AccountId" type="xs:string"/>
    <xs:element xmlns:xs="http://www.w3.org/2001/XMLSchema" name="AccountType" type="xs:string"/>
    <xs:element xmlns:xs="http://www.w3.org/2001/XMLSchema" name="BDCAssociatedEntity">
      <xs:complexType xmlns:xs="http://www.w3.org/2001/XMLSchema">
        <xs:sequence xmlns:xs="http://www.w3.org/2001/XMLSchema">
          <xs:element xmlns:xs="http://www.w3.org/2001/XMLSchema" maxOccurs="unbounded" minOccurs="0" ref="pc:BDCEntity"/>
        </xs:sequence>
        <xs:attribute xmlns:xs="http://www.w3.org/2001/XMLSchema" ref="pc:EntityNamespace"/>
        <xs:attribute xmlns:xs="http://www.w3.org/2001/XMLSchema" ref="pc:EntityName"/>
        <xs:attribute xmlns:xs="http://www.w3.org/2001/XMLSchema" ref="pc:SystemInstanceName"/>
        <xs:attribute xmlns:xs="http://www.w3.org/2001/XMLSchema" ref="pc:AssociationName"/>
      </xs:complexType>
    </xs:element>
    <xs:attribute xmlns:xs="http://www.w3.org/2001/XMLSchema" name="EntityNamespace" type="xs:string"/>
    <xs:attribute xmlns:xs="http://www.w3.org/2001/XMLSchema" name="EntityName" type="xs:string"/>
    <xs:attribute xmlns:xs="http://www.w3.org/2001/XMLSchema" name="SystemInstanceName" type="xs:string"/>
    <xs:attribute xmlns:xs="http://www.w3.org/2001/XMLSchema" name="AssociationName" type="xs:string"/>
    <xs:element xmlns:xs="http://www.w3.org/2001/XMLSchema" name="BDCEntity">
      <xs:complexType xmlns:xs="http://www.w3.org/2001/XMLSchema">
        <xs:sequence xmlns:xs="http://www.w3.org/2001/XMLSchema">
          <xs:element xmlns:xs="http://www.w3.org/2001/XMLSchema" minOccurs="0" ref="pc:EntityDisplayName"/>
          <xs:element xmlns:xs="http://www.w3.org/2001/XMLSchema" minOccurs="0" ref="pc:EntityInstanceReference"/>
          <xs:element xmlns:xs="http://www.w3.org/2001/XMLSchema" minOccurs="0" ref="pc:EntityId1"/>
          <xs:element xmlns:xs="http://www.w3.org/2001/XMLSchema" minOccurs="0" ref="pc:EntityId2"/>
          <xs:element xmlns:xs="http://www.w3.org/2001/XMLSchema" minOccurs="0" ref="pc:EntityId3"/>
          <xs:element xmlns:xs="http://www.w3.org/2001/XMLSchema" minOccurs="0" ref="pc:EntityId4"/>
          <xs:element xmlns:xs="http://www.w3.org/2001/XMLSchema" minOccurs="0" ref="pc:EntityId5"/>
        </xs:sequence>
      </xs:complexType>
    </xs:element>
    <xs:element xmlns:xs="http://www.w3.org/2001/XMLSchema" name="EntityDisplayName" type="xs:string"/>
    <xs:element xmlns:xs="http://www.w3.org/2001/XMLSchema" name="EntityInstanceReference" type="xs:string"/>
    <xs:element xmlns:xs="http://www.w3.org/2001/XMLSchema" name="EntityId1" type="xs:string"/>
    <xs:element xmlns:xs="http://www.w3.org/2001/XMLSchema" name="EntityId2" type="xs:string"/>
    <xs:element xmlns:xs="http://www.w3.org/2001/XMLSchema" name="EntityId3" type="xs:string"/>
    <xs:element xmlns:xs="http://www.w3.org/2001/XMLSchema" name="EntityId4" type="xs:string"/>
    <xs:element xmlns:xs="http://www.w3.org/2001/XMLSchema" name="EntityId5" type="xs:string"/>
    <xs:element xmlns:xs="http://www.w3.org/2001/XMLSchema" name="Terms">
      <xs:complexType xmlns:xs="http://www.w3.org/2001/XMLSchema">
        <xs:sequence xmlns:xs="http://www.w3.org/2001/XMLSchema">
          <xs:element xmlns:xs="http://www.w3.org/2001/XMLSchema" maxOccurs="unbounded" minOccurs="0" ref="pc:TermInfo"/>
        </xs:sequence>
      </xs:complexType>
    </xs:element>
    <xs:element xmlns:xs="http://www.w3.org/2001/XMLSchema" name="TermInfo">
      <xs:complexType xmlns:xs="http://www.w3.org/2001/XMLSchema">
        <xs:sequence xmlns:xs="http://www.w3.org/2001/XMLSchema">
          <xs:element xmlns:xs="http://www.w3.org/2001/XMLSchema" minOccurs="0" ref="pc:TermName"/>
          <xs:element xmlns:xs="http://www.w3.org/2001/XMLSchema" minOccurs="0" ref="pc:TermId"/>
        </xs:sequence>
      </xs:complexType>
    </xs:element>
    <xs:element xmlns:xs="http://www.w3.org/2001/XMLSchema" name="TermName" type="xs:string"/>
    <xs:element xmlns:xs="http://www.w3.org/2001/XMLSchema"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 xmlns="http://schemas.microsoft.com/sharepoint/v3/contenttype/forms">DocumentLibraryForm</Display>
  <Edit xmlns="http://schemas.microsoft.com/sharepoint/v3/contenttype/forms">DocumentLibraryForm</Edit>
  <New xmlns="http://schemas.microsoft.com/sharepoint/v3/contenttype/forms">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8B235D-FBFB-451E-B252-1F8E710CA68F}">
  <ds:schemaRefs/>
</ds:datastoreItem>
</file>

<file path=customXml/itemProps3.xml><?xml version="1.0" encoding="utf-8"?>
<ds:datastoreItem xmlns:ds="http://schemas.openxmlformats.org/officeDocument/2006/customXml" ds:itemID="{C36D1DA2-32A5-4E27-8F43-CCEAC94DD5E5}">
  <ds:schemaRefs/>
</ds:datastoreItem>
</file>

<file path=customXml/itemProps4.xml><?xml version="1.0" encoding="utf-8"?>
<ds:datastoreItem xmlns:ds="http://schemas.openxmlformats.org/officeDocument/2006/customXml" ds:itemID="{A9768DD9-9B58-480B-812C-0F4172AB70A1}">
  <ds:schemaRefs/>
</ds:datastoreItem>
</file>

<file path=docProps/app.xml><?xml version="1.0" encoding="utf-8"?>
<Properties xmlns="http://schemas.openxmlformats.org/officeDocument/2006/extended-properties" xmlns:vt="http://schemas.openxmlformats.org/officeDocument/2006/docPropsVTypes">
  <Template>Normal.dotm</Template>
  <Company>sse</Company>
  <Pages>172</Pages>
  <Words>12333</Words>
  <Characters>70301</Characters>
  <Lines>585</Lines>
  <Paragraphs>164</Paragraphs>
  <TotalTime>1</TotalTime>
  <ScaleCrop>false</ScaleCrop>
  <LinksUpToDate>false</LinksUpToDate>
  <CharactersWithSpaces>82470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2019-12-11T12:29:00Z</dcterms:created>
  <dc:creator>user</dc:creator>
  <cp:lastModifiedBy>xxfb01</cp:lastModifiedBy>
  <cp:lastPrinted>2010-08-15T01:13:00Z</cp:lastPrinted>
  <dcterms:modified xsi:type="dcterms:W3CDTF">2026-05-22T07:12:05Z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
    <vt:lpwstr/>
  </property>
  <property fmtid="{D5CDD505-2E9C-101B-9397-08002B2CF9AE}" pid="3" name="KSOProductBuildVer">
    <vt:lpwstr>2052-11.8.2.12094</vt:lpwstr>
  </property>
  <property fmtid="{D5CDD505-2E9C-101B-9397-08002B2CF9AE}" pid="4" name="ICV">
    <vt:lpwstr>6C5F641A2DA23ECCD5B80F6A58B09814</vt:lpwstr>
  </property>
</Properties>
</file>