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560" w:lineRule="exact"/>
        <w:jc w:val="left"/>
        <w:rPr>
          <w:rFonts w:hint="eastAsia" w:ascii="黑体" w:hAnsi="黑体" w:eastAsia="黑体" w:cs="黑体"/>
          <w:bCs/>
          <w:kern w:val="0"/>
          <w:sz w:val="32"/>
          <w:szCs w:val="32"/>
          <w:lang w:val="en-US" w:eastAsia="zh-CN"/>
        </w:rPr>
      </w:pPr>
      <w:bookmarkStart w:id="337" w:name="_GoBack"/>
      <w:bookmarkEnd w:id="337"/>
      <w:r>
        <w:rPr>
          <w:rFonts w:hint="eastAsia" w:ascii="黑体" w:hAnsi="黑体" w:eastAsia="黑体" w:cs="黑体"/>
          <w:bCs/>
          <w:kern w:val="0"/>
          <w:sz w:val="32"/>
          <w:szCs w:val="32"/>
          <w:lang w:val="en-US" w:eastAsia="zh-CN"/>
        </w:rPr>
        <w:t>附件2</w:t>
      </w:r>
    </w:p>
    <w:p>
      <w:pPr>
        <w:widowControl/>
        <w:spacing w:line="240" w:lineRule="exact"/>
        <w:jc w:val="left"/>
        <w:rPr>
          <w:rFonts w:ascii="宋体" w:hAnsi="宋体"/>
          <w:bCs/>
          <w:kern w:val="0"/>
          <w:szCs w:val="21"/>
        </w:rPr>
      </w:pPr>
    </w:p>
    <w:p>
      <w:pPr>
        <w:widowControl/>
        <w:spacing w:line="240" w:lineRule="exact"/>
        <w:jc w:val="left"/>
        <w:rPr>
          <w:rFonts w:ascii="宋体" w:hAnsi="宋体"/>
          <w:bCs/>
          <w:kern w:val="0"/>
          <w:szCs w:val="21"/>
        </w:rPr>
      </w:pPr>
    </w:p>
    <w:p>
      <w:pPr>
        <w:widowControl/>
        <w:jc w:val="center"/>
        <w:rPr>
          <w:rFonts w:ascii="方正小标宋简体" w:hAnsi="宋体" w:eastAsia="方正小标宋简体" w:cs="宋体"/>
          <w:bCs/>
          <w:kern w:val="0"/>
          <w:sz w:val="40"/>
          <w:szCs w:val="40"/>
        </w:rPr>
      </w:pPr>
      <w:r>
        <w:rPr>
          <w:rFonts w:hint="eastAsia" w:ascii="方正小标宋简体" w:hAnsi="宋体" w:eastAsia="方正小标宋简体" w:cs="宋体"/>
          <w:bCs/>
          <w:kern w:val="0"/>
          <w:sz w:val="40"/>
          <w:szCs w:val="40"/>
        </w:rPr>
        <w:t>深圳证券交易所股票期权试点</w:t>
      </w:r>
    </w:p>
    <w:p>
      <w:pPr>
        <w:widowControl/>
        <w:jc w:val="center"/>
        <w:rPr>
          <w:rFonts w:ascii="方正小标宋简体" w:hAnsi="宋体" w:eastAsia="方正小标宋简体" w:cs="宋体"/>
          <w:bCs/>
          <w:kern w:val="0"/>
          <w:sz w:val="40"/>
          <w:szCs w:val="40"/>
        </w:rPr>
      </w:pPr>
      <w:r>
        <w:rPr>
          <w:rFonts w:hint="eastAsia" w:ascii="方正小标宋简体" w:hAnsi="宋体" w:eastAsia="方正小标宋简体" w:cs="宋体"/>
          <w:bCs/>
          <w:kern w:val="0"/>
          <w:sz w:val="40"/>
          <w:szCs w:val="40"/>
        </w:rPr>
        <w:t>期货公司经纪业务指南</w:t>
      </w:r>
    </w:p>
    <w:p>
      <w:pPr>
        <w:widowControl/>
        <w:spacing w:line="240" w:lineRule="exact"/>
        <w:jc w:val="left"/>
        <w:rPr>
          <w:rFonts w:ascii="宋体" w:hAnsi="宋体"/>
          <w:bCs/>
          <w:kern w:val="0"/>
          <w:szCs w:val="21"/>
        </w:rPr>
      </w:pPr>
    </w:p>
    <w:p>
      <w:pPr>
        <w:widowControl/>
        <w:spacing w:line="240" w:lineRule="exact"/>
        <w:jc w:val="left"/>
        <w:rPr>
          <w:rFonts w:ascii="宋体" w:hAnsi="宋体"/>
          <w:bCs/>
          <w:kern w:val="0"/>
          <w:szCs w:val="21"/>
        </w:rPr>
      </w:pPr>
    </w:p>
    <w:p>
      <w:pPr>
        <w:widowControl/>
        <w:spacing w:line="240" w:lineRule="exact"/>
        <w:jc w:val="left"/>
        <w:rPr>
          <w:rFonts w:ascii="宋体" w:hAnsi="宋体"/>
          <w:bCs/>
          <w:kern w:val="0"/>
          <w:szCs w:val="21"/>
        </w:rPr>
      </w:pPr>
    </w:p>
    <w:p>
      <w:pPr>
        <w:widowControl/>
        <w:jc w:val="center"/>
        <w:rPr>
          <w:rFonts w:ascii="方正小标宋简体" w:eastAsia="方正小标宋简体"/>
          <w:bCs/>
          <w:sz w:val="40"/>
          <w:szCs w:val="44"/>
        </w:rPr>
      </w:pPr>
      <w:r>
        <w:rPr>
          <w:rFonts w:hint="eastAsia" w:ascii="方正小标宋简体" w:eastAsia="方正小标宋简体"/>
          <w:bCs/>
          <w:sz w:val="32"/>
          <w:szCs w:val="36"/>
        </w:rPr>
        <w:t>目 录</w:t>
      </w:r>
    </w:p>
    <w:p>
      <w:pPr>
        <w:tabs>
          <w:tab w:val="right" w:leader="dot" w:pos="8296"/>
        </w:tabs>
        <w:spacing w:line="360" w:lineRule="exact"/>
        <w:jc w:val="left"/>
        <w:rPr>
          <w:color w:val="000000"/>
          <w:szCs w:val="22"/>
        </w:rPr>
      </w:pPr>
      <w:r>
        <w:rPr>
          <w:rFonts w:eastAsia="黑体"/>
          <w:bCs/>
          <w:caps/>
          <w:color w:val="000000"/>
          <w:sz w:val="28"/>
          <w:szCs w:val="28"/>
        </w:rPr>
        <w:fldChar w:fldCharType="begin"/>
      </w:r>
      <w:r>
        <w:rPr>
          <w:rFonts w:eastAsia="黑体"/>
          <w:bCs/>
          <w:caps/>
          <w:color w:val="000000"/>
          <w:sz w:val="28"/>
          <w:szCs w:val="28"/>
        </w:rPr>
        <w:instrText xml:space="preserve"> TOC \o "1-2" \h \z \u </w:instrText>
      </w:r>
      <w:r>
        <w:rPr>
          <w:rFonts w:eastAsia="黑体"/>
          <w:bCs/>
          <w:caps/>
          <w:color w:val="000000"/>
          <w:sz w:val="28"/>
          <w:szCs w:val="28"/>
        </w:rPr>
        <w:fldChar w:fldCharType="separate"/>
      </w:r>
      <w:r>
        <w:fldChar w:fldCharType="begin"/>
      </w:r>
      <w:r>
        <w:instrText xml:space="preserve"> HYPERLINK \l "_Toc25841971" </w:instrText>
      </w:r>
      <w:r>
        <w:fldChar w:fldCharType="separate"/>
      </w:r>
      <w:r>
        <w:rPr>
          <w:rFonts w:eastAsia="黑体"/>
          <w:bCs/>
          <w:caps/>
          <w:color w:val="000000"/>
          <w:sz w:val="22"/>
          <w:szCs w:val="22"/>
        </w:rPr>
        <w:t>说明及声明</w:t>
      </w:r>
      <w:r>
        <w:rPr>
          <w:rFonts w:eastAsia="黑体"/>
          <w:bCs/>
          <w:caps/>
          <w:color w:val="000000"/>
          <w:sz w:val="22"/>
          <w:szCs w:val="22"/>
        </w:rPr>
        <w:fldChar w:fldCharType="end"/>
      </w:r>
    </w:p>
    <w:p>
      <w:pPr>
        <w:tabs>
          <w:tab w:val="right" w:leader="dot" w:pos="8296"/>
        </w:tabs>
        <w:spacing w:line="360" w:lineRule="exact"/>
        <w:jc w:val="left"/>
        <w:rPr>
          <w:color w:val="000000"/>
          <w:szCs w:val="22"/>
        </w:rPr>
      </w:pPr>
      <w:r>
        <w:fldChar w:fldCharType="begin"/>
      </w:r>
      <w:r>
        <w:instrText xml:space="preserve"> HYPERLINK \l "_Toc25841972" </w:instrText>
      </w:r>
      <w:r>
        <w:fldChar w:fldCharType="separate"/>
      </w:r>
      <w:r>
        <w:rPr>
          <w:rFonts w:eastAsia="黑体"/>
          <w:bCs/>
          <w:caps/>
          <w:color w:val="000000"/>
          <w:sz w:val="22"/>
          <w:szCs w:val="22"/>
        </w:rPr>
        <w:t>第一章 总体要求</w:t>
      </w:r>
      <w:r>
        <w:rPr>
          <w:rFonts w:eastAsia="黑体"/>
          <w:bCs/>
          <w:caps/>
          <w:color w:val="000000"/>
          <w:sz w:val="22"/>
          <w:szCs w:val="22"/>
        </w:rPr>
        <w:tab/>
      </w:r>
      <w:r>
        <w:rPr>
          <w:rFonts w:eastAsia="黑体"/>
          <w:bCs/>
          <w:caps/>
          <w:color w:val="000000"/>
          <w:sz w:val="22"/>
          <w:szCs w:val="22"/>
        </w:rPr>
        <w:fldChar w:fldCharType="begin"/>
      </w:r>
      <w:r>
        <w:rPr>
          <w:rFonts w:eastAsia="黑体"/>
          <w:bCs/>
          <w:caps/>
          <w:color w:val="000000"/>
          <w:sz w:val="22"/>
          <w:szCs w:val="22"/>
        </w:rPr>
        <w:instrText xml:space="preserve"> PAGEREF _Toc25841972 \h </w:instrText>
      </w:r>
      <w:r>
        <w:rPr>
          <w:rFonts w:eastAsia="黑体"/>
          <w:bCs/>
          <w:caps/>
          <w:color w:val="000000"/>
          <w:sz w:val="22"/>
          <w:szCs w:val="22"/>
        </w:rPr>
        <w:fldChar w:fldCharType="separate"/>
      </w:r>
      <w:r>
        <w:rPr>
          <w:rFonts w:eastAsia="黑体"/>
          <w:bCs/>
          <w:caps/>
          <w:color w:val="000000"/>
          <w:sz w:val="22"/>
          <w:szCs w:val="22"/>
        </w:rPr>
        <w:t>1</w:t>
      </w:r>
      <w:r>
        <w:rPr>
          <w:rFonts w:eastAsia="黑体"/>
          <w:bCs/>
          <w:caps/>
          <w:color w:val="000000"/>
          <w:sz w:val="22"/>
          <w:szCs w:val="22"/>
        </w:rPr>
        <w:fldChar w:fldCharType="end"/>
      </w:r>
      <w:r>
        <w:rPr>
          <w:rFonts w:eastAsia="黑体"/>
          <w:bCs/>
          <w:caps/>
          <w:color w:val="000000"/>
          <w:sz w:val="22"/>
          <w:szCs w:val="22"/>
        </w:rPr>
        <w:fldChar w:fldCharType="end"/>
      </w:r>
    </w:p>
    <w:p>
      <w:pPr>
        <w:tabs>
          <w:tab w:val="right" w:leader="dot" w:pos="8296"/>
        </w:tabs>
        <w:spacing w:line="360" w:lineRule="exact"/>
        <w:ind w:left="210"/>
        <w:jc w:val="left"/>
        <w:rPr>
          <w:color w:val="000000"/>
          <w:szCs w:val="22"/>
        </w:rPr>
      </w:pPr>
      <w:r>
        <w:fldChar w:fldCharType="begin"/>
      </w:r>
      <w:r>
        <w:instrText xml:space="preserve"> HYPERLINK \l "_Toc25841973" </w:instrText>
      </w:r>
      <w:r>
        <w:fldChar w:fldCharType="separate"/>
      </w:r>
      <w:r>
        <w:rPr>
          <w:rFonts w:eastAsia="仿宋"/>
          <w:bCs/>
          <w:smallCaps/>
          <w:color w:val="000000"/>
          <w:kern w:val="0"/>
          <w:sz w:val="22"/>
          <w:szCs w:val="22"/>
          <w:lang w:val="zh-CN" w:eastAsia="zh-CN"/>
        </w:rPr>
        <w:t>一、</w:t>
      </w:r>
      <w:r>
        <w:rPr>
          <w:rFonts w:eastAsia="仿宋_GB2312"/>
          <w:bCs/>
          <w:smallCaps/>
          <w:color w:val="000000"/>
          <w:kern w:val="0"/>
          <w:sz w:val="22"/>
          <w:szCs w:val="22"/>
          <w:lang w:val="zh-CN" w:eastAsia="zh-CN"/>
        </w:rPr>
        <w:t xml:space="preserve"> 组织架构和职责分工</w:t>
      </w:r>
      <w:r>
        <w:rPr>
          <w:rFonts w:eastAsia="仿宋"/>
          <w:bCs/>
          <w:smallCaps/>
          <w:color w:val="000000"/>
          <w:kern w:val="0"/>
          <w:sz w:val="22"/>
          <w:szCs w:val="22"/>
          <w:lang w:val="zh-CN" w:eastAsia="zh-CN"/>
        </w:rPr>
        <w:tab/>
      </w:r>
      <w:r>
        <w:rPr>
          <w:rFonts w:eastAsia="仿宋"/>
          <w:bCs/>
          <w:smallCaps/>
          <w:color w:val="000000"/>
          <w:kern w:val="0"/>
          <w:sz w:val="22"/>
          <w:szCs w:val="22"/>
          <w:lang w:val="zh-CN" w:eastAsia="zh-CN"/>
        </w:rPr>
        <w:fldChar w:fldCharType="begin"/>
      </w:r>
      <w:r>
        <w:rPr>
          <w:rFonts w:eastAsia="仿宋"/>
          <w:bCs/>
          <w:smallCaps/>
          <w:color w:val="000000"/>
          <w:kern w:val="0"/>
          <w:sz w:val="22"/>
          <w:szCs w:val="22"/>
          <w:lang w:val="zh-CN" w:eastAsia="zh-CN"/>
        </w:rPr>
        <w:instrText xml:space="preserve"> PAGEREF _Toc25841973 \h </w:instrText>
      </w:r>
      <w:r>
        <w:rPr>
          <w:rFonts w:eastAsia="仿宋"/>
          <w:bCs/>
          <w:smallCaps/>
          <w:color w:val="000000"/>
          <w:kern w:val="0"/>
          <w:sz w:val="22"/>
          <w:szCs w:val="22"/>
          <w:lang w:val="zh-CN" w:eastAsia="zh-CN"/>
        </w:rPr>
        <w:fldChar w:fldCharType="separate"/>
      </w:r>
      <w:r>
        <w:rPr>
          <w:rFonts w:eastAsia="仿宋"/>
          <w:bCs/>
          <w:smallCaps/>
          <w:color w:val="000000"/>
          <w:kern w:val="0"/>
          <w:sz w:val="22"/>
          <w:szCs w:val="22"/>
          <w:lang w:val="zh-CN" w:eastAsia="zh-CN"/>
        </w:rPr>
        <w:t>1</w:t>
      </w:r>
      <w:r>
        <w:rPr>
          <w:rFonts w:eastAsia="仿宋"/>
          <w:bCs/>
          <w:smallCaps/>
          <w:color w:val="000000"/>
          <w:kern w:val="0"/>
          <w:sz w:val="22"/>
          <w:szCs w:val="22"/>
          <w:lang w:val="zh-CN" w:eastAsia="zh-CN"/>
        </w:rPr>
        <w:fldChar w:fldCharType="end"/>
      </w:r>
      <w:r>
        <w:rPr>
          <w:rFonts w:eastAsia="仿宋"/>
          <w:bCs/>
          <w:smallCaps/>
          <w:color w:val="000000"/>
          <w:kern w:val="0"/>
          <w:sz w:val="22"/>
          <w:szCs w:val="22"/>
          <w:lang w:val="zh-CN" w:eastAsia="zh-CN"/>
        </w:rPr>
        <w:fldChar w:fldCharType="end"/>
      </w:r>
    </w:p>
    <w:p>
      <w:pPr>
        <w:tabs>
          <w:tab w:val="right" w:leader="dot" w:pos="8296"/>
        </w:tabs>
        <w:spacing w:line="360" w:lineRule="exact"/>
        <w:ind w:left="210"/>
        <w:jc w:val="left"/>
        <w:rPr>
          <w:color w:val="000000"/>
          <w:szCs w:val="22"/>
        </w:rPr>
      </w:pPr>
      <w:r>
        <w:fldChar w:fldCharType="begin"/>
      </w:r>
      <w:r>
        <w:instrText xml:space="preserve"> HYPERLINK \l "_Toc25841974" </w:instrText>
      </w:r>
      <w:r>
        <w:fldChar w:fldCharType="separate"/>
      </w:r>
      <w:r>
        <w:rPr>
          <w:rFonts w:eastAsia="仿宋"/>
          <w:bCs/>
          <w:smallCaps/>
          <w:color w:val="000000"/>
          <w:kern w:val="0"/>
          <w:sz w:val="22"/>
          <w:szCs w:val="22"/>
          <w:lang w:val="zh-CN" w:eastAsia="zh-CN"/>
        </w:rPr>
        <w:t>二、</w:t>
      </w:r>
      <w:r>
        <w:rPr>
          <w:rFonts w:eastAsia="仿宋_GB2312"/>
          <w:bCs/>
          <w:smallCaps/>
          <w:color w:val="000000"/>
          <w:kern w:val="0"/>
          <w:sz w:val="22"/>
          <w:szCs w:val="22"/>
          <w:lang w:val="zh-CN" w:eastAsia="zh-CN"/>
        </w:rPr>
        <w:t xml:space="preserve"> 岗位设置</w:t>
      </w:r>
      <w:r>
        <w:rPr>
          <w:rFonts w:eastAsia="仿宋"/>
          <w:bCs/>
          <w:smallCaps/>
          <w:color w:val="000000"/>
          <w:kern w:val="0"/>
          <w:sz w:val="22"/>
          <w:szCs w:val="22"/>
          <w:lang w:val="zh-CN" w:eastAsia="zh-CN"/>
        </w:rPr>
        <w:tab/>
      </w:r>
      <w:r>
        <w:rPr>
          <w:rFonts w:eastAsia="仿宋"/>
          <w:bCs/>
          <w:smallCaps/>
          <w:color w:val="000000"/>
          <w:kern w:val="0"/>
          <w:sz w:val="22"/>
          <w:szCs w:val="22"/>
          <w:lang w:val="zh-CN" w:eastAsia="zh-CN"/>
        </w:rPr>
        <w:fldChar w:fldCharType="begin"/>
      </w:r>
      <w:r>
        <w:rPr>
          <w:rFonts w:eastAsia="仿宋"/>
          <w:bCs/>
          <w:smallCaps/>
          <w:color w:val="000000"/>
          <w:kern w:val="0"/>
          <w:sz w:val="22"/>
          <w:szCs w:val="22"/>
          <w:lang w:val="zh-CN" w:eastAsia="zh-CN"/>
        </w:rPr>
        <w:instrText xml:space="preserve"> PAGEREF _Toc25841974 \h </w:instrText>
      </w:r>
      <w:r>
        <w:rPr>
          <w:rFonts w:eastAsia="仿宋"/>
          <w:bCs/>
          <w:smallCaps/>
          <w:color w:val="000000"/>
          <w:kern w:val="0"/>
          <w:sz w:val="22"/>
          <w:szCs w:val="22"/>
          <w:lang w:val="zh-CN" w:eastAsia="zh-CN"/>
        </w:rPr>
        <w:fldChar w:fldCharType="separate"/>
      </w:r>
      <w:r>
        <w:rPr>
          <w:rFonts w:eastAsia="仿宋"/>
          <w:bCs/>
          <w:smallCaps/>
          <w:color w:val="000000"/>
          <w:kern w:val="0"/>
          <w:sz w:val="22"/>
          <w:szCs w:val="22"/>
          <w:lang w:val="zh-CN" w:eastAsia="zh-CN"/>
        </w:rPr>
        <w:t>2</w:t>
      </w:r>
      <w:r>
        <w:rPr>
          <w:rFonts w:eastAsia="仿宋"/>
          <w:bCs/>
          <w:smallCaps/>
          <w:color w:val="000000"/>
          <w:kern w:val="0"/>
          <w:sz w:val="22"/>
          <w:szCs w:val="22"/>
          <w:lang w:val="zh-CN" w:eastAsia="zh-CN"/>
        </w:rPr>
        <w:fldChar w:fldCharType="end"/>
      </w:r>
      <w:r>
        <w:rPr>
          <w:rFonts w:eastAsia="仿宋"/>
          <w:bCs/>
          <w:smallCaps/>
          <w:color w:val="000000"/>
          <w:kern w:val="0"/>
          <w:sz w:val="22"/>
          <w:szCs w:val="22"/>
          <w:lang w:val="zh-CN" w:eastAsia="zh-CN"/>
        </w:rPr>
        <w:fldChar w:fldCharType="end"/>
      </w:r>
    </w:p>
    <w:p>
      <w:pPr>
        <w:tabs>
          <w:tab w:val="right" w:leader="dot" w:pos="8296"/>
        </w:tabs>
        <w:spacing w:line="360" w:lineRule="exact"/>
        <w:ind w:left="210"/>
        <w:jc w:val="left"/>
        <w:rPr>
          <w:color w:val="000000"/>
          <w:szCs w:val="22"/>
        </w:rPr>
      </w:pPr>
      <w:r>
        <w:fldChar w:fldCharType="begin"/>
      </w:r>
      <w:r>
        <w:instrText xml:space="preserve"> HYPERLINK \l "_Toc25841975" </w:instrText>
      </w:r>
      <w:r>
        <w:fldChar w:fldCharType="separate"/>
      </w:r>
      <w:r>
        <w:rPr>
          <w:rFonts w:eastAsia="仿宋"/>
          <w:bCs/>
          <w:smallCaps/>
          <w:color w:val="000000"/>
          <w:kern w:val="0"/>
          <w:sz w:val="22"/>
          <w:szCs w:val="22"/>
          <w:lang w:val="zh-CN" w:eastAsia="zh-CN"/>
        </w:rPr>
        <w:t>三、</w:t>
      </w:r>
      <w:r>
        <w:rPr>
          <w:rFonts w:eastAsia="仿宋_GB2312"/>
          <w:bCs/>
          <w:smallCaps/>
          <w:color w:val="000000"/>
          <w:kern w:val="0"/>
          <w:sz w:val="22"/>
          <w:szCs w:val="22"/>
          <w:lang w:val="zh-CN" w:eastAsia="zh-CN"/>
        </w:rPr>
        <w:t xml:space="preserve"> 制度与流程</w:t>
      </w:r>
      <w:r>
        <w:rPr>
          <w:rFonts w:eastAsia="仿宋"/>
          <w:bCs/>
          <w:smallCaps/>
          <w:color w:val="000000"/>
          <w:kern w:val="0"/>
          <w:sz w:val="22"/>
          <w:szCs w:val="22"/>
          <w:lang w:val="zh-CN" w:eastAsia="zh-CN"/>
        </w:rPr>
        <w:tab/>
      </w:r>
      <w:r>
        <w:rPr>
          <w:rFonts w:eastAsia="仿宋"/>
          <w:bCs/>
          <w:smallCaps/>
          <w:color w:val="000000"/>
          <w:kern w:val="0"/>
          <w:sz w:val="22"/>
          <w:szCs w:val="22"/>
          <w:lang w:val="zh-CN" w:eastAsia="zh-CN"/>
        </w:rPr>
        <w:fldChar w:fldCharType="begin"/>
      </w:r>
      <w:r>
        <w:rPr>
          <w:rFonts w:eastAsia="仿宋"/>
          <w:bCs/>
          <w:smallCaps/>
          <w:color w:val="000000"/>
          <w:kern w:val="0"/>
          <w:sz w:val="22"/>
          <w:szCs w:val="22"/>
          <w:lang w:val="zh-CN" w:eastAsia="zh-CN"/>
        </w:rPr>
        <w:instrText xml:space="preserve"> PAGEREF _Toc25841975 \h </w:instrText>
      </w:r>
      <w:r>
        <w:rPr>
          <w:rFonts w:eastAsia="仿宋"/>
          <w:bCs/>
          <w:smallCaps/>
          <w:color w:val="000000"/>
          <w:kern w:val="0"/>
          <w:sz w:val="22"/>
          <w:szCs w:val="22"/>
          <w:lang w:val="zh-CN" w:eastAsia="zh-CN"/>
        </w:rPr>
        <w:fldChar w:fldCharType="separate"/>
      </w:r>
      <w:r>
        <w:rPr>
          <w:rFonts w:eastAsia="仿宋"/>
          <w:bCs/>
          <w:smallCaps/>
          <w:color w:val="000000"/>
          <w:kern w:val="0"/>
          <w:sz w:val="22"/>
          <w:szCs w:val="22"/>
          <w:lang w:val="zh-CN" w:eastAsia="zh-CN"/>
        </w:rPr>
        <w:t>4</w:t>
      </w:r>
      <w:r>
        <w:rPr>
          <w:rFonts w:eastAsia="仿宋"/>
          <w:bCs/>
          <w:smallCaps/>
          <w:color w:val="000000"/>
          <w:kern w:val="0"/>
          <w:sz w:val="22"/>
          <w:szCs w:val="22"/>
          <w:lang w:val="zh-CN" w:eastAsia="zh-CN"/>
        </w:rPr>
        <w:fldChar w:fldCharType="end"/>
      </w:r>
      <w:r>
        <w:rPr>
          <w:rFonts w:eastAsia="仿宋"/>
          <w:bCs/>
          <w:smallCaps/>
          <w:color w:val="000000"/>
          <w:kern w:val="0"/>
          <w:sz w:val="22"/>
          <w:szCs w:val="22"/>
          <w:lang w:val="zh-CN" w:eastAsia="zh-CN"/>
        </w:rPr>
        <w:fldChar w:fldCharType="end"/>
      </w:r>
    </w:p>
    <w:p>
      <w:pPr>
        <w:tabs>
          <w:tab w:val="right" w:leader="dot" w:pos="8296"/>
        </w:tabs>
        <w:spacing w:line="360" w:lineRule="exact"/>
        <w:ind w:left="210"/>
        <w:jc w:val="left"/>
        <w:rPr>
          <w:color w:val="000000"/>
          <w:szCs w:val="22"/>
        </w:rPr>
      </w:pPr>
      <w:r>
        <w:fldChar w:fldCharType="begin"/>
      </w:r>
      <w:r>
        <w:instrText xml:space="preserve"> HYPERLINK \l "_Toc25841976" </w:instrText>
      </w:r>
      <w:r>
        <w:fldChar w:fldCharType="separate"/>
      </w:r>
      <w:r>
        <w:rPr>
          <w:rFonts w:eastAsia="仿宋"/>
          <w:bCs/>
          <w:smallCaps/>
          <w:color w:val="000000"/>
          <w:kern w:val="0"/>
          <w:sz w:val="22"/>
          <w:szCs w:val="22"/>
          <w:lang w:val="zh-CN" w:eastAsia="zh-CN"/>
        </w:rPr>
        <w:t>四、</w:t>
      </w:r>
      <w:r>
        <w:rPr>
          <w:rFonts w:eastAsia="仿宋_GB2312"/>
          <w:bCs/>
          <w:smallCaps/>
          <w:color w:val="000000"/>
          <w:kern w:val="0"/>
          <w:sz w:val="22"/>
          <w:szCs w:val="22"/>
          <w:lang w:val="zh-CN" w:eastAsia="zh-CN"/>
        </w:rPr>
        <w:t xml:space="preserve"> 合规与内控管理</w:t>
      </w:r>
      <w:r>
        <w:rPr>
          <w:rFonts w:eastAsia="仿宋"/>
          <w:bCs/>
          <w:smallCaps/>
          <w:color w:val="000000"/>
          <w:kern w:val="0"/>
          <w:sz w:val="22"/>
          <w:szCs w:val="22"/>
          <w:lang w:val="zh-CN" w:eastAsia="zh-CN"/>
        </w:rPr>
        <w:tab/>
      </w:r>
      <w:r>
        <w:rPr>
          <w:rFonts w:eastAsia="仿宋"/>
          <w:bCs/>
          <w:smallCaps/>
          <w:color w:val="000000"/>
          <w:kern w:val="0"/>
          <w:sz w:val="22"/>
          <w:szCs w:val="22"/>
          <w:lang w:val="zh-CN" w:eastAsia="zh-CN"/>
        </w:rPr>
        <w:fldChar w:fldCharType="begin"/>
      </w:r>
      <w:r>
        <w:rPr>
          <w:rFonts w:eastAsia="仿宋"/>
          <w:bCs/>
          <w:smallCaps/>
          <w:color w:val="000000"/>
          <w:kern w:val="0"/>
          <w:sz w:val="22"/>
          <w:szCs w:val="22"/>
          <w:lang w:val="zh-CN" w:eastAsia="zh-CN"/>
        </w:rPr>
        <w:instrText xml:space="preserve"> PAGEREF _Toc25841976 \h </w:instrText>
      </w:r>
      <w:r>
        <w:rPr>
          <w:rFonts w:eastAsia="仿宋"/>
          <w:bCs/>
          <w:smallCaps/>
          <w:color w:val="000000"/>
          <w:kern w:val="0"/>
          <w:sz w:val="22"/>
          <w:szCs w:val="22"/>
          <w:lang w:val="zh-CN" w:eastAsia="zh-CN"/>
        </w:rPr>
        <w:fldChar w:fldCharType="separate"/>
      </w:r>
      <w:r>
        <w:rPr>
          <w:rFonts w:eastAsia="仿宋"/>
          <w:bCs/>
          <w:smallCaps/>
          <w:color w:val="000000"/>
          <w:kern w:val="0"/>
          <w:sz w:val="22"/>
          <w:szCs w:val="22"/>
          <w:lang w:val="zh-CN" w:eastAsia="zh-CN"/>
        </w:rPr>
        <w:t>4</w:t>
      </w:r>
      <w:r>
        <w:rPr>
          <w:rFonts w:eastAsia="仿宋"/>
          <w:bCs/>
          <w:smallCaps/>
          <w:color w:val="000000"/>
          <w:kern w:val="0"/>
          <w:sz w:val="22"/>
          <w:szCs w:val="22"/>
          <w:lang w:val="zh-CN" w:eastAsia="zh-CN"/>
        </w:rPr>
        <w:fldChar w:fldCharType="end"/>
      </w:r>
      <w:r>
        <w:rPr>
          <w:rFonts w:eastAsia="仿宋"/>
          <w:bCs/>
          <w:smallCaps/>
          <w:color w:val="000000"/>
          <w:kern w:val="0"/>
          <w:sz w:val="22"/>
          <w:szCs w:val="22"/>
          <w:lang w:val="zh-CN" w:eastAsia="zh-CN"/>
        </w:rPr>
        <w:fldChar w:fldCharType="end"/>
      </w:r>
    </w:p>
    <w:p>
      <w:pPr>
        <w:tabs>
          <w:tab w:val="right" w:leader="dot" w:pos="8296"/>
        </w:tabs>
        <w:spacing w:line="360" w:lineRule="exact"/>
        <w:ind w:left="210"/>
        <w:jc w:val="left"/>
        <w:rPr>
          <w:color w:val="000000"/>
          <w:szCs w:val="22"/>
        </w:rPr>
      </w:pPr>
      <w:r>
        <w:fldChar w:fldCharType="begin"/>
      </w:r>
      <w:r>
        <w:instrText xml:space="preserve"> HYPERLINK \l "_Toc25841977" </w:instrText>
      </w:r>
      <w:r>
        <w:fldChar w:fldCharType="separate"/>
      </w:r>
      <w:r>
        <w:rPr>
          <w:rFonts w:eastAsia="仿宋"/>
          <w:bCs/>
          <w:smallCaps/>
          <w:color w:val="000000"/>
          <w:kern w:val="0"/>
          <w:sz w:val="22"/>
          <w:szCs w:val="22"/>
          <w:lang w:val="zh-CN" w:eastAsia="zh-CN"/>
        </w:rPr>
        <w:t>五、</w:t>
      </w:r>
      <w:r>
        <w:rPr>
          <w:rFonts w:eastAsia="仿宋_GB2312"/>
          <w:bCs/>
          <w:smallCaps/>
          <w:color w:val="000000"/>
          <w:kern w:val="0"/>
          <w:sz w:val="22"/>
          <w:szCs w:val="22"/>
          <w:lang w:val="zh-CN" w:eastAsia="zh-CN"/>
        </w:rPr>
        <w:t xml:space="preserve"> 技术系统</w:t>
      </w:r>
      <w:r>
        <w:rPr>
          <w:rFonts w:eastAsia="仿宋"/>
          <w:bCs/>
          <w:smallCaps/>
          <w:color w:val="000000"/>
          <w:kern w:val="0"/>
          <w:sz w:val="22"/>
          <w:szCs w:val="22"/>
          <w:lang w:val="zh-CN" w:eastAsia="zh-CN"/>
        </w:rPr>
        <w:tab/>
      </w:r>
      <w:r>
        <w:rPr>
          <w:rFonts w:eastAsia="仿宋"/>
          <w:bCs/>
          <w:smallCaps/>
          <w:color w:val="000000"/>
          <w:kern w:val="0"/>
          <w:sz w:val="22"/>
          <w:szCs w:val="22"/>
          <w:lang w:val="zh-CN" w:eastAsia="zh-CN"/>
        </w:rPr>
        <w:fldChar w:fldCharType="begin"/>
      </w:r>
      <w:r>
        <w:rPr>
          <w:rFonts w:eastAsia="仿宋"/>
          <w:bCs/>
          <w:smallCaps/>
          <w:color w:val="000000"/>
          <w:kern w:val="0"/>
          <w:sz w:val="22"/>
          <w:szCs w:val="22"/>
          <w:lang w:val="zh-CN" w:eastAsia="zh-CN"/>
        </w:rPr>
        <w:instrText xml:space="preserve"> PAGEREF _Toc25841977 \h </w:instrText>
      </w:r>
      <w:r>
        <w:rPr>
          <w:rFonts w:eastAsia="仿宋"/>
          <w:bCs/>
          <w:smallCaps/>
          <w:color w:val="000000"/>
          <w:kern w:val="0"/>
          <w:sz w:val="22"/>
          <w:szCs w:val="22"/>
          <w:lang w:val="zh-CN" w:eastAsia="zh-CN"/>
        </w:rPr>
        <w:fldChar w:fldCharType="separate"/>
      </w:r>
      <w:r>
        <w:rPr>
          <w:rFonts w:eastAsia="仿宋"/>
          <w:bCs/>
          <w:smallCaps/>
          <w:color w:val="000000"/>
          <w:kern w:val="0"/>
          <w:sz w:val="22"/>
          <w:szCs w:val="22"/>
          <w:lang w:val="zh-CN" w:eastAsia="zh-CN"/>
        </w:rPr>
        <w:t>7</w:t>
      </w:r>
      <w:r>
        <w:rPr>
          <w:rFonts w:eastAsia="仿宋"/>
          <w:bCs/>
          <w:smallCaps/>
          <w:color w:val="000000"/>
          <w:kern w:val="0"/>
          <w:sz w:val="22"/>
          <w:szCs w:val="22"/>
          <w:lang w:val="zh-CN" w:eastAsia="zh-CN"/>
        </w:rPr>
        <w:fldChar w:fldCharType="end"/>
      </w:r>
      <w:r>
        <w:rPr>
          <w:rFonts w:eastAsia="仿宋"/>
          <w:bCs/>
          <w:smallCaps/>
          <w:color w:val="000000"/>
          <w:kern w:val="0"/>
          <w:sz w:val="22"/>
          <w:szCs w:val="22"/>
          <w:lang w:val="zh-CN" w:eastAsia="zh-CN"/>
        </w:rPr>
        <w:fldChar w:fldCharType="end"/>
      </w:r>
    </w:p>
    <w:p>
      <w:pPr>
        <w:tabs>
          <w:tab w:val="right" w:leader="dot" w:pos="8296"/>
        </w:tabs>
        <w:spacing w:line="360" w:lineRule="exact"/>
        <w:ind w:left="210"/>
        <w:jc w:val="left"/>
        <w:rPr>
          <w:color w:val="000000"/>
          <w:szCs w:val="22"/>
        </w:rPr>
      </w:pPr>
      <w:r>
        <w:fldChar w:fldCharType="begin"/>
      </w:r>
      <w:r>
        <w:instrText xml:space="preserve"> HYPERLINK \l "_Toc25841978" </w:instrText>
      </w:r>
      <w:r>
        <w:fldChar w:fldCharType="separate"/>
      </w:r>
      <w:r>
        <w:rPr>
          <w:rFonts w:eastAsia="仿宋"/>
          <w:bCs/>
          <w:smallCaps/>
          <w:color w:val="000000"/>
          <w:kern w:val="0"/>
          <w:sz w:val="22"/>
          <w:szCs w:val="22"/>
          <w:lang w:val="zh-CN" w:eastAsia="zh-CN"/>
        </w:rPr>
        <w:t>六、</w:t>
      </w:r>
      <w:r>
        <w:rPr>
          <w:rFonts w:eastAsia="仿宋_GB2312"/>
          <w:bCs/>
          <w:smallCaps/>
          <w:color w:val="000000"/>
          <w:kern w:val="0"/>
          <w:sz w:val="22"/>
          <w:szCs w:val="22"/>
          <w:lang w:val="zh-CN" w:eastAsia="zh-CN"/>
        </w:rPr>
        <w:t xml:space="preserve"> 交易单元</w:t>
      </w:r>
      <w:r>
        <w:rPr>
          <w:rFonts w:eastAsia="仿宋"/>
          <w:bCs/>
          <w:smallCaps/>
          <w:color w:val="000000"/>
          <w:kern w:val="0"/>
          <w:sz w:val="22"/>
          <w:szCs w:val="22"/>
          <w:lang w:val="zh-CN" w:eastAsia="zh-CN"/>
        </w:rPr>
        <w:tab/>
      </w:r>
      <w:r>
        <w:rPr>
          <w:rFonts w:eastAsia="仿宋"/>
          <w:bCs/>
          <w:smallCaps/>
          <w:color w:val="000000"/>
          <w:kern w:val="0"/>
          <w:sz w:val="22"/>
          <w:szCs w:val="22"/>
          <w:lang w:val="zh-CN" w:eastAsia="zh-CN"/>
        </w:rPr>
        <w:fldChar w:fldCharType="begin"/>
      </w:r>
      <w:r>
        <w:rPr>
          <w:rFonts w:eastAsia="仿宋"/>
          <w:bCs/>
          <w:smallCaps/>
          <w:color w:val="000000"/>
          <w:kern w:val="0"/>
          <w:sz w:val="22"/>
          <w:szCs w:val="22"/>
          <w:lang w:val="zh-CN" w:eastAsia="zh-CN"/>
        </w:rPr>
        <w:instrText xml:space="preserve"> PAGEREF _Toc25841978 \h </w:instrText>
      </w:r>
      <w:r>
        <w:rPr>
          <w:rFonts w:eastAsia="仿宋"/>
          <w:bCs/>
          <w:smallCaps/>
          <w:color w:val="000000"/>
          <w:kern w:val="0"/>
          <w:sz w:val="22"/>
          <w:szCs w:val="22"/>
          <w:lang w:val="zh-CN" w:eastAsia="zh-CN"/>
        </w:rPr>
        <w:fldChar w:fldCharType="separate"/>
      </w:r>
      <w:r>
        <w:rPr>
          <w:rFonts w:eastAsia="仿宋"/>
          <w:bCs/>
          <w:smallCaps/>
          <w:color w:val="000000"/>
          <w:kern w:val="0"/>
          <w:sz w:val="22"/>
          <w:szCs w:val="22"/>
          <w:lang w:val="zh-CN" w:eastAsia="zh-CN"/>
        </w:rPr>
        <w:t>7</w:t>
      </w:r>
      <w:r>
        <w:rPr>
          <w:rFonts w:eastAsia="仿宋"/>
          <w:bCs/>
          <w:smallCaps/>
          <w:color w:val="000000"/>
          <w:kern w:val="0"/>
          <w:sz w:val="22"/>
          <w:szCs w:val="22"/>
          <w:lang w:val="zh-CN" w:eastAsia="zh-CN"/>
        </w:rPr>
        <w:fldChar w:fldCharType="end"/>
      </w:r>
      <w:r>
        <w:rPr>
          <w:rFonts w:eastAsia="仿宋"/>
          <w:bCs/>
          <w:smallCaps/>
          <w:color w:val="000000"/>
          <w:kern w:val="0"/>
          <w:sz w:val="22"/>
          <w:szCs w:val="22"/>
          <w:lang w:val="zh-CN" w:eastAsia="zh-CN"/>
        </w:rPr>
        <w:fldChar w:fldCharType="end"/>
      </w:r>
    </w:p>
    <w:p>
      <w:pPr>
        <w:tabs>
          <w:tab w:val="right" w:leader="dot" w:pos="8296"/>
        </w:tabs>
        <w:spacing w:line="360" w:lineRule="exact"/>
        <w:jc w:val="left"/>
        <w:rPr>
          <w:color w:val="000000"/>
          <w:szCs w:val="22"/>
        </w:rPr>
      </w:pPr>
      <w:r>
        <w:fldChar w:fldCharType="begin"/>
      </w:r>
      <w:r>
        <w:instrText xml:space="preserve"> HYPERLINK \l "_Toc25841979" </w:instrText>
      </w:r>
      <w:r>
        <w:fldChar w:fldCharType="separate"/>
      </w:r>
      <w:r>
        <w:rPr>
          <w:rFonts w:eastAsia="黑体"/>
          <w:bCs/>
          <w:caps/>
          <w:color w:val="000000"/>
          <w:sz w:val="22"/>
          <w:szCs w:val="22"/>
        </w:rPr>
        <w:t>第二章 交易参与人申请及权限开通</w:t>
      </w:r>
      <w:r>
        <w:rPr>
          <w:rFonts w:eastAsia="黑体"/>
          <w:bCs/>
          <w:caps/>
          <w:color w:val="000000"/>
          <w:sz w:val="22"/>
          <w:szCs w:val="22"/>
        </w:rPr>
        <w:tab/>
      </w:r>
      <w:r>
        <w:rPr>
          <w:rFonts w:eastAsia="黑体"/>
          <w:bCs/>
          <w:caps/>
          <w:color w:val="000000"/>
          <w:sz w:val="22"/>
          <w:szCs w:val="22"/>
        </w:rPr>
        <w:fldChar w:fldCharType="begin"/>
      </w:r>
      <w:r>
        <w:rPr>
          <w:rFonts w:eastAsia="黑体"/>
          <w:bCs/>
          <w:caps/>
          <w:color w:val="000000"/>
          <w:sz w:val="22"/>
          <w:szCs w:val="22"/>
        </w:rPr>
        <w:instrText xml:space="preserve"> PAGEREF _Toc25841979 \h </w:instrText>
      </w:r>
      <w:r>
        <w:rPr>
          <w:rFonts w:eastAsia="黑体"/>
          <w:bCs/>
          <w:caps/>
          <w:color w:val="000000"/>
          <w:sz w:val="22"/>
          <w:szCs w:val="22"/>
        </w:rPr>
        <w:fldChar w:fldCharType="separate"/>
      </w:r>
      <w:r>
        <w:rPr>
          <w:rFonts w:eastAsia="黑体"/>
          <w:bCs/>
          <w:caps/>
          <w:color w:val="000000"/>
          <w:sz w:val="22"/>
          <w:szCs w:val="22"/>
        </w:rPr>
        <w:t>8</w:t>
      </w:r>
      <w:r>
        <w:rPr>
          <w:rFonts w:eastAsia="黑体"/>
          <w:bCs/>
          <w:caps/>
          <w:color w:val="000000"/>
          <w:sz w:val="22"/>
          <w:szCs w:val="22"/>
        </w:rPr>
        <w:fldChar w:fldCharType="end"/>
      </w:r>
      <w:r>
        <w:rPr>
          <w:rFonts w:eastAsia="黑体"/>
          <w:bCs/>
          <w:caps/>
          <w:color w:val="000000"/>
          <w:sz w:val="22"/>
          <w:szCs w:val="22"/>
        </w:rPr>
        <w:fldChar w:fldCharType="end"/>
      </w:r>
    </w:p>
    <w:p>
      <w:pPr>
        <w:tabs>
          <w:tab w:val="right" w:leader="dot" w:pos="8296"/>
        </w:tabs>
        <w:spacing w:line="360" w:lineRule="exact"/>
        <w:ind w:left="210"/>
        <w:jc w:val="left"/>
        <w:rPr>
          <w:color w:val="000000"/>
          <w:szCs w:val="22"/>
        </w:rPr>
      </w:pPr>
      <w:r>
        <w:fldChar w:fldCharType="begin"/>
      </w:r>
      <w:r>
        <w:instrText xml:space="preserve"> HYPERLINK \l "_Toc25841980" </w:instrText>
      </w:r>
      <w:r>
        <w:fldChar w:fldCharType="separate"/>
      </w:r>
      <w:r>
        <w:rPr>
          <w:rFonts w:eastAsia="仿宋_GB2312"/>
          <w:bCs/>
          <w:smallCaps/>
          <w:color w:val="000000"/>
          <w:kern w:val="0"/>
          <w:sz w:val="22"/>
          <w:szCs w:val="22"/>
          <w:lang w:val="zh-CN" w:eastAsia="zh-CN"/>
        </w:rPr>
        <w:t>一、 准备数字证书业务办理材料</w:t>
      </w:r>
      <w:r>
        <w:rPr>
          <w:rFonts w:eastAsia="仿宋"/>
          <w:bCs/>
          <w:smallCaps/>
          <w:color w:val="000000"/>
          <w:kern w:val="0"/>
          <w:sz w:val="22"/>
          <w:szCs w:val="22"/>
          <w:lang w:val="zh-CN" w:eastAsia="zh-CN"/>
        </w:rPr>
        <w:tab/>
      </w:r>
      <w:r>
        <w:rPr>
          <w:rFonts w:eastAsia="仿宋"/>
          <w:bCs/>
          <w:smallCaps/>
          <w:color w:val="000000"/>
          <w:kern w:val="0"/>
          <w:sz w:val="22"/>
          <w:szCs w:val="22"/>
          <w:lang w:val="zh-CN" w:eastAsia="zh-CN"/>
        </w:rPr>
        <w:fldChar w:fldCharType="begin"/>
      </w:r>
      <w:r>
        <w:rPr>
          <w:rFonts w:eastAsia="仿宋"/>
          <w:bCs/>
          <w:smallCaps/>
          <w:color w:val="000000"/>
          <w:kern w:val="0"/>
          <w:sz w:val="22"/>
          <w:szCs w:val="22"/>
          <w:lang w:val="zh-CN" w:eastAsia="zh-CN"/>
        </w:rPr>
        <w:instrText xml:space="preserve"> PAGEREF _Toc25841980 \h </w:instrText>
      </w:r>
      <w:r>
        <w:rPr>
          <w:rFonts w:eastAsia="仿宋"/>
          <w:bCs/>
          <w:smallCaps/>
          <w:color w:val="000000"/>
          <w:kern w:val="0"/>
          <w:sz w:val="22"/>
          <w:szCs w:val="22"/>
          <w:lang w:val="zh-CN" w:eastAsia="zh-CN"/>
        </w:rPr>
        <w:fldChar w:fldCharType="separate"/>
      </w:r>
      <w:r>
        <w:rPr>
          <w:rFonts w:eastAsia="仿宋"/>
          <w:bCs/>
          <w:smallCaps/>
          <w:color w:val="000000"/>
          <w:kern w:val="0"/>
          <w:sz w:val="22"/>
          <w:szCs w:val="22"/>
          <w:lang w:val="zh-CN" w:eastAsia="zh-CN"/>
        </w:rPr>
        <w:t>8</w:t>
      </w:r>
      <w:r>
        <w:rPr>
          <w:rFonts w:eastAsia="仿宋"/>
          <w:bCs/>
          <w:smallCaps/>
          <w:color w:val="000000"/>
          <w:kern w:val="0"/>
          <w:sz w:val="22"/>
          <w:szCs w:val="22"/>
          <w:lang w:val="zh-CN" w:eastAsia="zh-CN"/>
        </w:rPr>
        <w:fldChar w:fldCharType="end"/>
      </w:r>
      <w:r>
        <w:rPr>
          <w:rFonts w:eastAsia="仿宋"/>
          <w:bCs/>
          <w:smallCaps/>
          <w:color w:val="000000"/>
          <w:kern w:val="0"/>
          <w:sz w:val="22"/>
          <w:szCs w:val="22"/>
          <w:lang w:val="zh-CN" w:eastAsia="zh-CN"/>
        </w:rPr>
        <w:fldChar w:fldCharType="end"/>
      </w:r>
    </w:p>
    <w:p>
      <w:pPr>
        <w:tabs>
          <w:tab w:val="right" w:leader="dot" w:pos="8296"/>
        </w:tabs>
        <w:spacing w:line="360" w:lineRule="exact"/>
        <w:ind w:left="210"/>
        <w:jc w:val="left"/>
        <w:rPr>
          <w:color w:val="000000"/>
          <w:szCs w:val="22"/>
        </w:rPr>
      </w:pPr>
      <w:r>
        <w:fldChar w:fldCharType="begin"/>
      </w:r>
      <w:r>
        <w:instrText xml:space="preserve"> HYPERLINK \l "_Toc25841981" </w:instrText>
      </w:r>
      <w:r>
        <w:fldChar w:fldCharType="separate"/>
      </w:r>
      <w:r>
        <w:rPr>
          <w:rFonts w:eastAsia="仿宋_GB2312"/>
          <w:bCs/>
          <w:smallCaps/>
          <w:color w:val="000000"/>
          <w:kern w:val="0"/>
          <w:sz w:val="22"/>
          <w:szCs w:val="22"/>
          <w:lang w:val="zh-CN" w:eastAsia="zh-CN"/>
        </w:rPr>
        <w:t>二、 办理数字证书</w:t>
      </w:r>
      <w:r>
        <w:rPr>
          <w:rFonts w:eastAsia="仿宋"/>
          <w:bCs/>
          <w:smallCaps/>
          <w:color w:val="000000"/>
          <w:kern w:val="0"/>
          <w:sz w:val="22"/>
          <w:szCs w:val="22"/>
          <w:lang w:val="zh-CN" w:eastAsia="zh-CN"/>
        </w:rPr>
        <w:tab/>
      </w:r>
      <w:r>
        <w:rPr>
          <w:rFonts w:eastAsia="仿宋"/>
          <w:bCs/>
          <w:smallCaps/>
          <w:color w:val="000000"/>
          <w:kern w:val="0"/>
          <w:sz w:val="22"/>
          <w:szCs w:val="22"/>
          <w:lang w:val="zh-CN" w:eastAsia="zh-CN"/>
        </w:rPr>
        <w:fldChar w:fldCharType="begin"/>
      </w:r>
      <w:r>
        <w:rPr>
          <w:rFonts w:eastAsia="仿宋"/>
          <w:bCs/>
          <w:smallCaps/>
          <w:color w:val="000000"/>
          <w:kern w:val="0"/>
          <w:sz w:val="22"/>
          <w:szCs w:val="22"/>
          <w:lang w:val="zh-CN" w:eastAsia="zh-CN"/>
        </w:rPr>
        <w:instrText xml:space="preserve"> PAGEREF _Toc25841981 \h </w:instrText>
      </w:r>
      <w:r>
        <w:rPr>
          <w:rFonts w:eastAsia="仿宋"/>
          <w:bCs/>
          <w:smallCaps/>
          <w:color w:val="000000"/>
          <w:kern w:val="0"/>
          <w:sz w:val="22"/>
          <w:szCs w:val="22"/>
          <w:lang w:val="zh-CN" w:eastAsia="zh-CN"/>
        </w:rPr>
        <w:fldChar w:fldCharType="separate"/>
      </w:r>
      <w:r>
        <w:rPr>
          <w:rFonts w:eastAsia="仿宋"/>
          <w:bCs/>
          <w:smallCaps/>
          <w:color w:val="000000"/>
          <w:kern w:val="0"/>
          <w:sz w:val="22"/>
          <w:szCs w:val="22"/>
          <w:lang w:val="zh-CN" w:eastAsia="zh-CN"/>
        </w:rPr>
        <w:t>8</w:t>
      </w:r>
      <w:r>
        <w:rPr>
          <w:rFonts w:eastAsia="仿宋"/>
          <w:bCs/>
          <w:smallCaps/>
          <w:color w:val="000000"/>
          <w:kern w:val="0"/>
          <w:sz w:val="22"/>
          <w:szCs w:val="22"/>
          <w:lang w:val="zh-CN" w:eastAsia="zh-CN"/>
        </w:rPr>
        <w:fldChar w:fldCharType="end"/>
      </w:r>
      <w:r>
        <w:rPr>
          <w:rFonts w:eastAsia="仿宋"/>
          <w:bCs/>
          <w:smallCaps/>
          <w:color w:val="000000"/>
          <w:kern w:val="0"/>
          <w:sz w:val="22"/>
          <w:szCs w:val="22"/>
          <w:lang w:val="zh-CN" w:eastAsia="zh-CN"/>
        </w:rPr>
        <w:fldChar w:fldCharType="end"/>
      </w:r>
    </w:p>
    <w:p>
      <w:pPr>
        <w:tabs>
          <w:tab w:val="right" w:leader="dot" w:pos="8296"/>
        </w:tabs>
        <w:spacing w:line="360" w:lineRule="exact"/>
        <w:ind w:left="210"/>
        <w:jc w:val="left"/>
        <w:rPr>
          <w:color w:val="000000"/>
          <w:szCs w:val="22"/>
        </w:rPr>
      </w:pPr>
      <w:r>
        <w:fldChar w:fldCharType="begin"/>
      </w:r>
      <w:r>
        <w:instrText xml:space="preserve"> HYPERLINK \l "_Toc25841982" </w:instrText>
      </w:r>
      <w:r>
        <w:fldChar w:fldCharType="separate"/>
      </w:r>
      <w:r>
        <w:rPr>
          <w:rFonts w:eastAsia="仿宋_GB2312"/>
          <w:bCs/>
          <w:smallCaps/>
          <w:color w:val="000000"/>
          <w:kern w:val="0"/>
          <w:sz w:val="22"/>
          <w:szCs w:val="22"/>
          <w:lang w:val="zh-CN" w:eastAsia="zh-CN"/>
        </w:rPr>
        <w:t>三、 申请交易参与人</w:t>
      </w:r>
      <w:r>
        <w:rPr>
          <w:rFonts w:eastAsia="仿宋"/>
          <w:bCs/>
          <w:smallCaps/>
          <w:color w:val="000000"/>
          <w:kern w:val="0"/>
          <w:sz w:val="22"/>
          <w:szCs w:val="22"/>
          <w:lang w:val="zh-CN" w:eastAsia="zh-CN"/>
        </w:rPr>
        <w:tab/>
      </w:r>
      <w:r>
        <w:rPr>
          <w:rFonts w:eastAsia="仿宋"/>
          <w:bCs/>
          <w:smallCaps/>
          <w:color w:val="000000"/>
          <w:kern w:val="0"/>
          <w:sz w:val="22"/>
          <w:szCs w:val="22"/>
          <w:lang w:val="zh-CN" w:eastAsia="zh-CN"/>
        </w:rPr>
        <w:fldChar w:fldCharType="begin"/>
      </w:r>
      <w:r>
        <w:rPr>
          <w:rFonts w:eastAsia="仿宋"/>
          <w:bCs/>
          <w:smallCaps/>
          <w:color w:val="000000"/>
          <w:kern w:val="0"/>
          <w:sz w:val="22"/>
          <w:szCs w:val="22"/>
          <w:lang w:val="zh-CN" w:eastAsia="zh-CN"/>
        </w:rPr>
        <w:instrText xml:space="preserve"> PAGEREF _Toc25841982 \h </w:instrText>
      </w:r>
      <w:r>
        <w:rPr>
          <w:rFonts w:eastAsia="仿宋"/>
          <w:bCs/>
          <w:smallCaps/>
          <w:color w:val="000000"/>
          <w:kern w:val="0"/>
          <w:sz w:val="22"/>
          <w:szCs w:val="22"/>
          <w:lang w:val="zh-CN" w:eastAsia="zh-CN"/>
        </w:rPr>
        <w:fldChar w:fldCharType="separate"/>
      </w:r>
      <w:r>
        <w:rPr>
          <w:rFonts w:eastAsia="仿宋"/>
          <w:bCs/>
          <w:smallCaps/>
          <w:color w:val="000000"/>
          <w:kern w:val="0"/>
          <w:sz w:val="22"/>
          <w:szCs w:val="22"/>
          <w:lang w:val="zh-CN" w:eastAsia="zh-CN"/>
        </w:rPr>
        <w:t>9</w:t>
      </w:r>
      <w:r>
        <w:rPr>
          <w:rFonts w:eastAsia="仿宋"/>
          <w:bCs/>
          <w:smallCaps/>
          <w:color w:val="000000"/>
          <w:kern w:val="0"/>
          <w:sz w:val="22"/>
          <w:szCs w:val="22"/>
          <w:lang w:val="zh-CN" w:eastAsia="zh-CN"/>
        </w:rPr>
        <w:fldChar w:fldCharType="end"/>
      </w:r>
      <w:r>
        <w:rPr>
          <w:rFonts w:eastAsia="仿宋"/>
          <w:bCs/>
          <w:smallCaps/>
          <w:color w:val="000000"/>
          <w:kern w:val="0"/>
          <w:sz w:val="22"/>
          <w:szCs w:val="22"/>
          <w:lang w:val="zh-CN" w:eastAsia="zh-CN"/>
        </w:rPr>
        <w:fldChar w:fldCharType="end"/>
      </w:r>
    </w:p>
    <w:p>
      <w:pPr>
        <w:tabs>
          <w:tab w:val="right" w:leader="dot" w:pos="8296"/>
        </w:tabs>
        <w:spacing w:line="360" w:lineRule="exact"/>
        <w:ind w:left="210"/>
        <w:jc w:val="left"/>
        <w:rPr>
          <w:color w:val="000000"/>
          <w:szCs w:val="22"/>
        </w:rPr>
      </w:pPr>
      <w:r>
        <w:fldChar w:fldCharType="begin"/>
      </w:r>
      <w:r>
        <w:instrText xml:space="preserve"> HYPERLINK \l "_Toc25841983" </w:instrText>
      </w:r>
      <w:r>
        <w:fldChar w:fldCharType="separate"/>
      </w:r>
      <w:r>
        <w:rPr>
          <w:rFonts w:eastAsia="仿宋_GB2312"/>
          <w:bCs/>
          <w:smallCaps/>
          <w:color w:val="000000"/>
          <w:kern w:val="0"/>
          <w:sz w:val="22"/>
          <w:szCs w:val="22"/>
          <w:lang w:val="zh-CN" w:eastAsia="zh-CN"/>
        </w:rPr>
        <w:t>四、 交易单元设立及权限开通</w:t>
      </w:r>
      <w:r>
        <w:rPr>
          <w:rFonts w:eastAsia="仿宋"/>
          <w:bCs/>
          <w:smallCaps/>
          <w:color w:val="000000"/>
          <w:kern w:val="0"/>
          <w:sz w:val="22"/>
          <w:szCs w:val="22"/>
          <w:lang w:val="zh-CN" w:eastAsia="zh-CN"/>
        </w:rPr>
        <w:tab/>
      </w:r>
      <w:r>
        <w:rPr>
          <w:rFonts w:eastAsia="仿宋"/>
          <w:bCs/>
          <w:smallCaps/>
          <w:color w:val="000000"/>
          <w:kern w:val="0"/>
          <w:sz w:val="22"/>
          <w:szCs w:val="22"/>
          <w:lang w:val="zh-CN" w:eastAsia="zh-CN"/>
        </w:rPr>
        <w:fldChar w:fldCharType="begin"/>
      </w:r>
      <w:r>
        <w:rPr>
          <w:rFonts w:eastAsia="仿宋"/>
          <w:bCs/>
          <w:smallCaps/>
          <w:color w:val="000000"/>
          <w:kern w:val="0"/>
          <w:sz w:val="22"/>
          <w:szCs w:val="22"/>
          <w:lang w:val="zh-CN" w:eastAsia="zh-CN"/>
        </w:rPr>
        <w:instrText xml:space="preserve"> PAGEREF _Toc25841983 \h </w:instrText>
      </w:r>
      <w:r>
        <w:rPr>
          <w:rFonts w:eastAsia="仿宋"/>
          <w:bCs/>
          <w:smallCaps/>
          <w:color w:val="000000"/>
          <w:kern w:val="0"/>
          <w:sz w:val="22"/>
          <w:szCs w:val="22"/>
          <w:lang w:val="zh-CN" w:eastAsia="zh-CN"/>
        </w:rPr>
        <w:fldChar w:fldCharType="separate"/>
      </w:r>
      <w:r>
        <w:rPr>
          <w:rFonts w:eastAsia="仿宋"/>
          <w:bCs/>
          <w:smallCaps/>
          <w:color w:val="000000"/>
          <w:kern w:val="0"/>
          <w:sz w:val="22"/>
          <w:szCs w:val="22"/>
          <w:lang w:val="zh-CN" w:eastAsia="zh-CN"/>
        </w:rPr>
        <w:t>10</w:t>
      </w:r>
      <w:r>
        <w:rPr>
          <w:rFonts w:eastAsia="仿宋"/>
          <w:bCs/>
          <w:smallCaps/>
          <w:color w:val="000000"/>
          <w:kern w:val="0"/>
          <w:sz w:val="22"/>
          <w:szCs w:val="22"/>
          <w:lang w:val="zh-CN" w:eastAsia="zh-CN"/>
        </w:rPr>
        <w:fldChar w:fldCharType="end"/>
      </w:r>
      <w:r>
        <w:rPr>
          <w:rFonts w:eastAsia="仿宋"/>
          <w:bCs/>
          <w:smallCaps/>
          <w:color w:val="000000"/>
          <w:kern w:val="0"/>
          <w:sz w:val="22"/>
          <w:szCs w:val="22"/>
          <w:lang w:val="zh-CN" w:eastAsia="zh-CN"/>
        </w:rPr>
        <w:fldChar w:fldCharType="end"/>
      </w:r>
    </w:p>
    <w:p>
      <w:pPr>
        <w:tabs>
          <w:tab w:val="right" w:leader="dot" w:pos="8296"/>
        </w:tabs>
        <w:spacing w:line="360" w:lineRule="exact"/>
        <w:jc w:val="left"/>
        <w:rPr>
          <w:color w:val="000000"/>
          <w:szCs w:val="22"/>
        </w:rPr>
      </w:pPr>
      <w:r>
        <w:fldChar w:fldCharType="begin"/>
      </w:r>
      <w:r>
        <w:instrText xml:space="preserve"> HYPERLINK \l "_Toc25841984" </w:instrText>
      </w:r>
      <w:r>
        <w:fldChar w:fldCharType="separate"/>
      </w:r>
      <w:r>
        <w:rPr>
          <w:rFonts w:eastAsia="黑体"/>
          <w:bCs/>
          <w:caps/>
          <w:color w:val="000000"/>
          <w:sz w:val="22"/>
          <w:szCs w:val="22"/>
        </w:rPr>
        <w:t>第三章 投资者适当性管理</w:t>
      </w:r>
      <w:r>
        <w:rPr>
          <w:rFonts w:eastAsia="黑体"/>
          <w:bCs/>
          <w:caps/>
          <w:color w:val="000000"/>
          <w:sz w:val="22"/>
          <w:szCs w:val="22"/>
        </w:rPr>
        <w:tab/>
      </w:r>
      <w:r>
        <w:rPr>
          <w:rFonts w:eastAsia="黑体"/>
          <w:bCs/>
          <w:caps/>
          <w:color w:val="000000"/>
          <w:sz w:val="22"/>
          <w:szCs w:val="22"/>
        </w:rPr>
        <w:fldChar w:fldCharType="begin"/>
      </w:r>
      <w:r>
        <w:rPr>
          <w:rFonts w:eastAsia="黑体"/>
          <w:bCs/>
          <w:caps/>
          <w:color w:val="000000"/>
          <w:sz w:val="22"/>
          <w:szCs w:val="22"/>
        </w:rPr>
        <w:instrText xml:space="preserve"> PAGEREF _Toc25841984 \h </w:instrText>
      </w:r>
      <w:r>
        <w:rPr>
          <w:rFonts w:eastAsia="黑体"/>
          <w:bCs/>
          <w:caps/>
          <w:color w:val="000000"/>
          <w:sz w:val="22"/>
          <w:szCs w:val="22"/>
        </w:rPr>
        <w:fldChar w:fldCharType="separate"/>
      </w:r>
      <w:r>
        <w:rPr>
          <w:rFonts w:eastAsia="黑体"/>
          <w:bCs/>
          <w:caps/>
          <w:color w:val="000000"/>
          <w:sz w:val="22"/>
          <w:szCs w:val="22"/>
        </w:rPr>
        <w:t>12</w:t>
      </w:r>
      <w:r>
        <w:rPr>
          <w:rFonts w:eastAsia="黑体"/>
          <w:bCs/>
          <w:caps/>
          <w:color w:val="000000"/>
          <w:sz w:val="22"/>
          <w:szCs w:val="22"/>
        </w:rPr>
        <w:fldChar w:fldCharType="end"/>
      </w:r>
      <w:r>
        <w:rPr>
          <w:rFonts w:eastAsia="黑体"/>
          <w:bCs/>
          <w:caps/>
          <w:color w:val="000000"/>
          <w:sz w:val="22"/>
          <w:szCs w:val="22"/>
        </w:rPr>
        <w:fldChar w:fldCharType="end"/>
      </w:r>
    </w:p>
    <w:p>
      <w:pPr>
        <w:tabs>
          <w:tab w:val="right" w:leader="dot" w:pos="8296"/>
        </w:tabs>
        <w:spacing w:line="360" w:lineRule="exact"/>
        <w:ind w:left="210"/>
        <w:jc w:val="left"/>
        <w:rPr>
          <w:color w:val="000000"/>
          <w:szCs w:val="22"/>
        </w:rPr>
      </w:pPr>
      <w:r>
        <w:fldChar w:fldCharType="begin"/>
      </w:r>
      <w:r>
        <w:instrText xml:space="preserve"> HYPERLINK \l "_Toc25841985" </w:instrText>
      </w:r>
      <w:r>
        <w:fldChar w:fldCharType="separate"/>
      </w:r>
      <w:r>
        <w:rPr>
          <w:rFonts w:eastAsia="仿宋_GB2312"/>
          <w:bCs/>
          <w:smallCaps/>
          <w:color w:val="000000"/>
          <w:kern w:val="0"/>
          <w:sz w:val="22"/>
          <w:szCs w:val="22"/>
          <w:lang w:val="zh-CN" w:eastAsia="zh-CN"/>
        </w:rPr>
        <w:t>一、 投资者准入条件的认定</w:t>
      </w:r>
      <w:r>
        <w:rPr>
          <w:rFonts w:eastAsia="仿宋"/>
          <w:bCs/>
          <w:smallCaps/>
          <w:color w:val="000000"/>
          <w:kern w:val="0"/>
          <w:sz w:val="22"/>
          <w:szCs w:val="22"/>
          <w:lang w:val="zh-CN" w:eastAsia="zh-CN"/>
        </w:rPr>
        <w:tab/>
      </w:r>
      <w:r>
        <w:rPr>
          <w:rFonts w:eastAsia="仿宋"/>
          <w:bCs/>
          <w:smallCaps/>
          <w:color w:val="000000"/>
          <w:kern w:val="0"/>
          <w:sz w:val="22"/>
          <w:szCs w:val="22"/>
          <w:lang w:val="zh-CN" w:eastAsia="zh-CN"/>
        </w:rPr>
        <w:fldChar w:fldCharType="begin"/>
      </w:r>
      <w:r>
        <w:rPr>
          <w:rFonts w:eastAsia="仿宋"/>
          <w:bCs/>
          <w:smallCaps/>
          <w:color w:val="000000"/>
          <w:kern w:val="0"/>
          <w:sz w:val="22"/>
          <w:szCs w:val="22"/>
          <w:lang w:val="zh-CN" w:eastAsia="zh-CN"/>
        </w:rPr>
        <w:instrText xml:space="preserve"> PAGEREF _Toc25841985 \h </w:instrText>
      </w:r>
      <w:r>
        <w:rPr>
          <w:rFonts w:eastAsia="仿宋"/>
          <w:bCs/>
          <w:smallCaps/>
          <w:color w:val="000000"/>
          <w:kern w:val="0"/>
          <w:sz w:val="22"/>
          <w:szCs w:val="22"/>
          <w:lang w:val="zh-CN" w:eastAsia="zh-CN"/>
        </w:rPr>
        <w:fldChar w:fldCharType="separate"/>
      </w:r>
      <w:r>
        <w:rPr>
          <w:rFonts w:eastAsia="仿宋"/>
          <w:bCs/>
          <w:smallCaps/>
          <w:color w:val="000000"/>
          <w:kern w:val="0"/>
          <w:sz w:val="22"/>
          <w:szCs w:val="22"/>
          <w:lang w:val="zh-CN" w:eastAsia="zh-CN"/>
        </w:rPr>
        <w:t>12</w:t>
      </w:r>
      <w:r>
        <w:rPr>
          <w:rFonts w:eastAsia="仿宋"/>
          <w:bCs/>
          <w:smallCaps/>
          <w:color w:val="000000"/>
          <w:kern w:val="0"/>
          <w:sz w:val="22"/>
          <w:szCs w:val="22"/>
          <w:lang w:val="zh-CN" w:eastAsia="zh-CN"/>
        </w:rPr>
        <w:fldChar w:fldCharType="end"/>
      </w:r>
      <w:r>
        <w:rPr>
          <w:rFonts w:eastAsia="仿宋"/>
          <w:bCs/>
          <w:smallCaps/>
          <w:color w:val="000000"/>
          <w:kern w:val="0"/>
          <w:sz w:val="22"/>
          <w:szCs w:val="22"/>
          <w:lang w:val="zh-CN" w:eastAsia="zh-CN"/>
        </w:rPr>
        <w:fldChar w:fldCharType="end"/>
      </w:r>
    </w:p>
    <w:p>
      <w:pPr>
        <w:tabs>
          <w:tab w:val="right" w:leader="dot" w:pos="8296"/>
        </w:tabs>
        <w:spacing w:line="360" w:lineRule="exact"/>
        <w:ind w:left="210"/>
        <w:jc w:val="left"/>
        <w:rPr>
          <w:color w:val="000000"/>
          <w:szCs w:val="22"/>
        </w:rPr>
      </w:pPr>
      <w:r>
        <w:fldChar w:fldCharType="begin"/>
      </w:r>
      <w:r>
        <w:instrText xml:space="preserve"> HYPERLINK \l "_Toc25841986" </w:instrText>
      </w:r>
      <w:r>
        <w:fldChar w:fldCharType="separate"/>
      </w:r>
      <w:r>
        <w:rPr>
          <w:rFonts w:eastAsia="仿宋_GB2312"/>
          <w:bCs/>
          <w:smallCaps/>
          <w:color w:val="000000"/>
          <w:kern w:val="0"/>
          <w:sz w:val="22"/>
          <w:szCs w:val="22"/>
          <w:lang w:val="zh-CN" w:eastAsia="zh-CN"/>
        </w:rPr>
        <w:t>二、 综合评估</w:t>
      </w:r>
      <w:r>
        <w:rPr>
          <w:rFonts w:eastAsia="仿宋"/>
          <w:bCs/>
          <w:smallCaps/>
          <w:color w:val="000000"/>
          <w:kern w:val="0"/>
          <w:sz w:val="22"/>
          <w:szCs w:val="22"/>
          <w:lang w:val="zh-CN" w:eastAsia="zh-CN"/>
        </w:rPr>
        <w:tab/>
      </w:r>
      <w:r>
        <w:rPr>
          <w:rFonts w:eastAsia="仿宋"/>
          <w:bCs/>
          <w:smallCaps/>
          <w:color w:val="000000"/>
          <w:kern w:val="0"/>
          <w:sz w:val="22"/>
          <w:szCs w:val="22"/>
          <w:lang w:val="zh-CN" w:eastAsia="zh-CN"/>
        </w:rPr>
        <w:fldChar w:fldCharType="begin"/>
      </w:r>
      <w:r>
        <w:rPr>
          <w:rFonts w:eastAsia="仿宋"/>
          <w:bCs/>
          <w:smallCaps/>
          <w:color w:val="000000"/>
          <w:kern w:val="0"/>
          <w:sz w:val="22"/>
          <w:szCs w:val="22"/>
          <w:lang w:val="zh-CN" w:eastAsia="zh-CN"/>
        </w:rPr>
        <w:instrText xml:space="preserve"> PAGEREF _Toc25841986 \h </w:instrText>
      </w:r>
      <w:r>
        <w:rPr>
          <w:rFonts w:eastAsia="仿宋"/>
          <w:bCs/>
          <w:smallCaps/>
          <w:color w:val="000000"/>
          <w:kern w:val="0"/>
          <w:sz w:val="22"/>
          <w:szCs w:val="22"/>
          <w:lang w:val="zh-CN" w:eastAsia="zh-CN"/>
        </w:rPr>
        <w:fldChar w:fldCharType="separate"/>
      </w:r>
      <w:r>
        <w:rPr>
          <w:rFonts w:eastAsia="仿宋"/>
          <w:bCs/>
          <w:smallCaps/>
          <w:color w:val="000000"/>
          <w:kern w:val="0"/>
          <w:sz w:val="22"/>
          <w:szCs w:val="22"/>
          <w:lang w:val="zh-CN" w:eastAsia="zh-CN"/>
        </w:rPr>
        <w:t>16</w:t>
      </w:r>
      <w:r>
        <w:rPr>
          <w:rFonts w:eastAsia="仿宋"/>
          <w:bCs/>
          <w:smallCaps/>
          <w:color w:val="000000"/>
          <w:kern w:val="0"/>
          <w:sz w:val="22"/>
          <w:szCs w:val="22"/>
          <w:lang w:val="zh-CN" w:eastAsia="zh-CN"/>
        </w:rPr>
        <w:fldChar w:fldCharType="end"/>
      </w:r>
      <w:r>
        <w:rPr>
          <w:rFonts w:eastAsia="仿宋"/>
          <w:bCs/>
          <w:smallCaps/>
          <w:color w:val="000000"/>
          <w:kern w:val="0"/>
          <w:sz w:val="22"/>
          <w:szCs w:val="22"/>
          <w:lang w:val="zh-CN" w:eastAsia="zh-CN"/>
        </w:rPr>
        <w:fldChar w:fldCharType="end"/>
      </w:r>
    </w:p>
    <w:p>
      <w:pPr>
        <w:tabs>
          <w:tab w:val="right" w:leader="dot" w:pos="8296"/>
        </w:tabs>
        <w:spacing w:line="360" w:lineRule="exact"/>
        <w:ind w:left="210"/>
        <w:jc w:val="left"/>
        <w:rPr>
          <w:color w:val="000000"/>
          <w:szCs w:val="22"/>
        </w:rPr>
      </w:pPr>
      <w:r>
        <w:fldChar w:fldCharType="begin"/>
      </w:r>
      <w:r>
        <w:instrText xml:space="preserve"> HYPERLINK \l "_Toc25841987" </w:instrText>
      </w:r>
      <w:r>
        <w:fldChar w:fldCharType="separate"/>
      </w:r>
      <w:r>
        <w:rPr>
          <w:rFonts w:eastAsia="仿宋_GB2312"/>
          <w:bCs/>
          <w:smallCaps/>
          <w:color w:val="000000"/>
          <w:kern w:val="0"/>
          <w:sz w:val="22"/>
          <w:szCs w:val="22"/>
          <w:lang w:val="zh-CN" w:eastAsia="zh-CN"/>
        </w:rPr>
        <w:t>三、 期权投资者知识测试</w:t>
      </w:r>
      <w:r>
        <w:rPr>
          <w:rFonts w:eastAsia="仿宋"/>
          <w:bCs/>
          <w:smallCaps/>
          <w:color w:val="000000"/>
          <w:kern w:val="0"/>
          <w:sz w:val="22"/>
          <w:szCs w:val="22"/>
          <w:lang w:val="zh-CN" w:eastAsia="zh-CN"/>
        </w:rPr>
        <w:tab/>
      </w:r>
      <w:r>
        <w:rPr>
          <w:rFonts w:eastAsia="仿宋"/>
          <w:bCs/>
          <w:smallCaps/>
          <w:color w:val="000000"/>
          <w:kern w:val="0"/>
          <w:sz w:val="22"/>
          <w:szCs w:val="22"/>
          <w:lang w:val="zh-CN" w:eastAsia="zh-CN"/>
        </w:rPr>
        <w:fldChar w:fldCharType="begin"/>
      </w:r>
      <w:r>
        <w:rPr>
          <w:rFonts w:eastAsia="仿宋"/>
          <w:bCs/>
          <w:smallCaps/>
          <w:color w:val="000000"/>
          <w:kern w:val="0"/>
          <w:sz w:val="22"/>
          <w:szCs w:val="22"/>
          <w:lang w:val="zh-CN" w:eastAsia="zh-CN"/>
        </w:rPr>
        <w:instrText xml:space="preserve"> PAGEREF _Toc25841987 \h </w:instrText>
      </w:r>
      <w:r>
        <w:rPr>
          <w:rFonts w:eastAsia="仿宋"/>
          <w:bCs/>
          <w:smallCaps/>
          <w:color w:val="000000"/>
          <w:kern w:val="0"/>
          <w:sz w:val="22"/>
          <w:szCs w:val="22"/>
          <w:lang w:val="zh-CN" w:eastAsia="zh-CN"/>
        </w:rPr>
        <w:fldChar w:fldCharType="separate"/>
      </w:r>
      <w:r>
        <w:rPr>
          <w:rFonts w:eastAsia="仿宋"/>
          <w:bCs/>
          <w:smallCaps/>
          <w:color w:val="000000"/>
          <w:kern w:val="0"/>
          <w:sz w:val="22"/>
          <w:szCs w:val="22"/>
          <w:lang w:val="zh-CN" w:eastAsia="zh-CN"/>
        </w:rPr>
        <w:t>17</w:t>
      </w:r>
      <w:r>
        <w:rPr>
          <w:rFonts w:eastAsia="仿宋"/>
          <w:bCs/>
          <w:smallCaps/>
          <w:color w:val="000000"/>
          <w:kern w:val="0"/>
          <w:sz w:val="22"/>
          <w:szCs w:val="22"/>
          <w:lang w:val="zh-CN" w:eastAsia="zh-CN"/>
        </w:rPr>
        <w:fldChar w:fldCharType="end"/>
      </w:r>
      <w:r>
        <w:rPr>
          <w:rFonts w:eastAsia="仿宋"/>
          <w:bCs/>
          <w:smallCaps/>
          <w:color w:val="000000"/>
          <w:kern w:val="0"/>
          <w:sz w:val="22"/>
          <w:szCs w:val="22"/>
          <w:lang w:val="zh-CN" w:eastAsia="zh-CN"/>
        </w:rPr>
        <w:fldChar w:fldCharType="end"/>
      </w:r>
    </w:p>
    <w:p>
      <w:pPr>
        <w:tabs>
          <w:tab w:val="right" w:leader="dot" w:pos="8296"/>
        </w:tabs>
        <w:spacing w:line="360" w:lineRule="exact"/>
        <w:ind w:left="210"/>
        <w:jc w:val="left"/>
        <w:rPr>
          <w:color w:val="000000"/>
          <w:szCs w:val="22"/>
        </w:rPr>
      </w:pPr>
      <w:r>
        <w:fldChar w:fldCharType="begin"/>
      </w:r>
      <w:r>
        <w:instrText xml:space="preserve"> HYPERLINK \l "_Toc25841988" </w:instrText>
      </w:r>
      <w:r>
        <w:fldChar w:fldCharType="separate"/>
      </w:r>
      <w:r>
        <w:rPr>
          <w:rFonts w:eastAsia="仿宋_GB2312"/>
          <w:bCs/>
          <w:smallCaps/>
          <w:color w:val="000000"/>
          <w:kern w:val="0"/>
          <w:sz w:val="22"/>
          <w:szCs w:val="22"/>
          <w:lang w:val="zh-CN" w:eastAsia="zh-CN"/>
        </w:rPr>
        <w:t>四、 投资者分级管理</w:t>
      </w:r>
      <w:r>
        <w:rPr>
          <w:rFonts w:eastAsia="仿宋"/>
          <w:bCs/>
          <w:smallCaps/>
          <w:color w:val="000000"/>
          <w:kern w:val="0"/>
          <w:sz w:val="22"/>
          <w:szCs w:val="22"/>
          <w:lang w:val="zh-CN" w:eastAsia="zh-CN"/>
        </w:rPr>
        <w:tab/>
      </w:r>
      <w:r>
        <w:rPr>
          <w:rFonts w:eastAsia="仿宋"/>
          <w:bCs/>
          <w:smallCaps/>
          <w:color w:val="000000"/>
          <w:kern w:val="0"/>
          <w:sz w:val="22"/>
          <w:szCs w:val="22"/>
          <w:lang w:val="zh-CN" w:eastAsia="zh-CN"/>
        </w:rPr>
        <w:fldChar w:fldCharType="begin"/>
      </w:r>
      <w:r>
        <w:rPr>
          <w:rFonts w:eastAsia="仿宋"/>
          <w:bCs/>
          <w:smallCaps/>
          <w:color w:val="000000"/>
          <w:kern w:val="0"/>
          <w:sz w:val="22"/>
          <w:szCs w:val="22"/>
          <w:lang w:val="zh-CN" w:eastAsia="zh-CN"/>
        </w:rPr>
        <w:instrText xml:space="preserve"> PAGEREF _Toc25841988 \h </w:instrText>
      </w:r>
      <w:r>
        <w:rPr>
          <w:rFonts w:eastAsia="仿宋"/>
          <w:bCs/>
          <w:smallCaps/>
          <w:color w:val="000000"/>
          <w:kern w:val="0"/>
          <w:sz w:val="22"/>
          <w:szCs w:val="22"/>
          <w:lang w:val="zh-CN" w:eastAsia="zh-CN"/>
        </w:rPr>
        <w:fldChar w:fldCharType="separate"/>
      </w:r>
      <w:r>
        <w:rPr>
          <w:rFonts w:eastAsia="仿宋"/>
          <w:bCs/>
          <w:smallCaps/>
          <w:color w:val="000000"/>
          <w:kern w:val="0"/>
          <w:sz w:val="22"/>
          <w:szCs w:val="22"/>
          <w:lang w:val="zh-CN" w:eastAsia="zh-CN"/>
        </w:rPr>
        <w:t>19</w:t>
      </w:r>
      <w:r>
        <w:rPr>
          <w:rFonts w:eastAsia="仿宋"/>
          <w:bCs/>
          <w:smallCaps/>
          <w:color w:val="000000"/>
          <w:kern w:val="0"/>
          <w:sz w:val="22"/>
          <w:szCs w:val="22"/>
          <w:lang w:val="zh-CN" w:eastAsia="zh-CN"/>
        </w:rPr>
        <w:fldChar w:fldCharType="end"/>
      </w:r>
      <w:r>
        <w:rPr>
          <w:rFonts w:eastAsia="仿宋"/>
          <w:bCs/>
          <w:smallCaps/>
          <w:color w:val="000000"/>
          <w:kern w:val="0"/>
          <w:sz w:val="22"/>
          <w:szCs w:val="22"/>
          <w:lang w:val="zh-CN" w:eastAsia="zh-CN"/>
        </w:rPr>
        <w:fldChar w:fldCharType="end"/>
      </w:r>
    </w:p>
    <w:p>
      <w:pPr>
        <w:tabs>
          <w:tab w:val="right" w:leader="dot" w:pos="8296"/>
        </w:tabs>
        <w:spacing w:line="360" w:lineRule="exact"/>
        <w:ind w:left="210"/>
        <w:jc w:val="left"/>
        <w:rPr>
          <w:color w:val="000000"/>
          <w:szCs w:val="22"/>
        </w:rPr>
      </w:pPr>
      <w:r>
        <w:fldChar w:fldCharType="begin"/>
      </w:r>
      <w:r>
        <w:instrText xml:space="preserve"> HYPERLINK \l "_Toc25841989" </w:instrText>
      </w:r>
      <w:r>
        <w:fldChar w:fldCharType="separate"/>
      </w:r>
      <w:r>
        <w:rPr>
          <w:rFonts w:eastAsia="仿宋_GB2312"/>
          <w:bCs/>
          <w:smallCaps/>
          <w:color w:val="000000"/>
          <w:kern w:val="0"/>
          <w:sz w:val="22"/>
          <w:szCs w:val="22"/>
          <w:lang w:val="zh-CN" w:eastAsia="zh-CN"/>
        </w:rPr>
        <w:t>五、 投资者适当性管理综合评估的持续动态管理</w:t>
      </w:r>
      <w:r>
        <w:rPr>
          <w:rFonts w:eastAsia="仿宋"/>
          <w:bCs/>
          <w:smallCaps/>
          <w:color w:val="000000"/>
          <w:kern w:val="0"/>
          <w:sz w:val="22"/>
          <w:szCs w:val="22"/>
          <w:lang w:val="zh-CN" w:eastAsia="zh-CN"/>
        </w:rPr>
        <w:tab/>
      </w:r>
      <w:r>
        <w:rPr>
          <w:rFonts w:eastAsia="仿宋"/>
          <w:bCs/>
          <w:smallCaps/>
          <w:color w:val="000000"/>
          <w:kern w:val="0"/>
          <w:sz w:val="22"/>
          <w:szCs w:val="22"/>
          <w:lang w:val="zh-CN" w:eastAsia="zh-CN"/>
        </w:rPr>
        <w:fldChar w:fldCharType="begin"/>
      </w:r>
      <w:r>
        <w:rPr>
          <w:rFonts w:eastAsia="仿宋"/>
          <w:bCs/>
          <w:smallCaps/>
          <w:color w:val="000000"/>
          <w:kern w:val="0"/>
          <w:sz w:val="22"/>
          <w:szCs w:val="22"/>
          <w:lang w:val="zh-CN" w:eastAsia="zh-CN"/>
        </w:rPr>
        <w:instrText xml:space="preserve"> PAGEREF _Toc25841989 \h </w:instrText>
      </w:r>
      <w:r>
        <w:rPr>
          <w:rFonts w:eastAsia="仿宋"/>
          <w:bCs/>
          <w:smallCaps/>
          <w:color w:val="000000"/>
          <w:kern w:val="0"/>
          <w:sz w:val="22"/>
          <w:szCs w:val="22"/>
          <w:lang w:val="zh-CN" w:eastAsia="zh-CN"/>
        </w:rPr>
        <w:fldChar w:fldCharType="separate"/>
      </w:r>
      <w:r>
        <w:rPr>
          <w:rFonts w:eastAsia="仿宋"/>
          <w:bCs/>
          <w:smallCaps/>
          <w:color w:val="000000"/>
          <w:kern w:val="0"/>
          <w:sz w:val="22"/>
          <w:szCs w:val="22"/>
          <w:lang w:val="zh-CN" w:eastAsia="zh-CN"/>
        </w:rPr>
        <w:t>20</w:t>
      </w:r>
      <w:r>
        <w:rPr>
          <w:rFonts w:eastAsia="仿宋"/>
          <w:bCs/>
          <w:smallCaps/>
          <w:color w:val="000000"/>
          <w:kern w:val="0"/>
          <w:sz w:val="22"/>
          <w:szCs w:val="22"/>
          <w:lang w:val="zh-CN" w:eastAsia="zh-CN"/>
        </w:rPr>
        <w:fldChar w:fldCharType="end"/>
      </w:r>
      <w:r>
        <w:rPr>
          <w:rFonts w:eastAsia="仿宋"/>
          <w:bCs/>
          <w:smallCaps/>
          <w:color w:val="000000"/>
          <w:kern w:val="0"/>
          <w:sz w:val="22"/>
          <w:szCs w:val="22"/>
          <w:lang w:val="zh-CN" w:eastAsia="zh-CN"/>
        </w:rPr>
        <w:fldChar w:fldCharType="end"/>
      </w:r>
    </w:p>
    <w:p>
      <w:pPr>
        <w:tabs>
          <w:tab w:val="right" w:leader="dot" w:pos="8296"/>
        </w:tabs>
        <w:spacing w:line="360" w:lineRule="exact"/>
        <w:ind w:left="210"/>
        <w:jc w:val="left"/>
        <w:rPr>
          <w:color w:val="000000"/>
          <w:szCs w:val="22"/>
        </w:rPr>
      </w:pPr>
      <w:r>
        <w:fldChar w:fldCharType="begin"/>
      </w:r>
      <w:r>
        <w:instrText xml:space="preserve"> HYPERLINK \l "_Toc25841990" </w:instrText>
      </w:r>
      <w:r>
        <w:fldChar w:fldCharType="separate"/>
      </w:r>
      <w:r>
        <w:rPr>
          <w:rFonts w:eastAsia="仿宋_GB2312"/>
          <w:bCs/>
          <w:smallCaps/>
          <w:color w:val="000000"/>
          <w:kern w:val="0"/>
          <w:sz w:val="22"/>
          <w:szCs w:val="22"/>
          <w:lang w:val="zh-CN" w:eastAsia="zh-CN"/>
        </w:rPr>
        <w:t>六、 客户档案资料管理</w:t>
      </w:r>
      <w:r>
        <w:rPr>
          <w:rFonts w:eastAsia="仿宋"/>
          <w:bCs/>
          <w:smallCaps/>
          <w:color w:val="000000"/>
          <w:kern w:val="0"/>
          <w:sz w:val="22"/>
          <w:szCs w:val="22"/>
          <w:lang w:val="zh-CN" w:eastAsia="zh-CN"/>
        </w:rPr>
        <w:tab/>
      </w:r>
      <w:r>
        <w:rPr>
          <w:rFonts w:eastAsia="仿宋"/>
          <w:bCs/>
          <w:smallCaps/>
          <w:color w:val="000000"/>
          <w:kern w:val="0"/>
          <w:sz w:val="22"/>
          <w:szCs w:val="22"/>
          <w:lang w:val="zh-CN" w:eastAsia="zh-CN"/>
        </w:rPr>
        <w:fldChar w:fldCharType="begin"/>
      </w:r>
      <w:r>
        <w:rPr>
          <w:rFonts w:eastAsia="仿宋"/>
          <w:bCs/>
          <w:smallCaps/>
          <w:color w:val="000000"/>
          <w:kern w:val="0"/>
          <w:sz w:val="22"/>
          <w:szCs w:val="22"/>
          <w:lang w:val="zh-CN" w:eastAsia="zh-CN"/>
        </w:rPr>
        <w:instrText xml:space="preserve"> PAGEREF _Toc25841990 \h </w:instrText>
      </w:r>
      <w:r>
        <w:rPr>
          <w:rFonts w:eastAsia="仿宋"/>
          <w:bCs/>
          <w:smallCaps/>
          <w:color w:val="000000"/>
          <w:kern w:val="0"/>
          <w:sz w:val="22"/>
          <w:szCs w:val="22"/>
          <w:lang w:val="zh-CN" w:eastAsia="zh-CN"/>
        </w:rPr>
        <w:fldChar w:fldCharType="separate"/>
      </w:r>
      <w:r>
        <w:rPr>
          <w:rFonts w:eastAsia="仿宋"/>
          <w:bCs/>
          <w:smallCaps/>
          <w:color w:val="000000"/>
          <w:kern w:val="0"/>
          <w:sz w:val="22"/>
          <w:szCs w:val="22"/>
          <w:lang w:val="zh-CN" w:eastAsia="zh-CN"/>
        </w:rPr>
        <w:t>21</w:t>
      </w:r>
      <w:r>
        <w:rPr>
          <w:rFonts w:eastAsia="仿宋"/>
          <w:bCs/>
          <w:smallCaps/>
          <w:color w:val="000000"/>
          <w:kern w:val="0"/>
          <w:sz w:val="22"/>
          <w:szCs w:val="22"/>
          <w:lang w:val="zh-CN" w:eastAsia="zh-CN"/>
        </w:rPr>
        <w:fldChar w:fldCharType="end"/>
      </w:r>
      <w:r>
        <w:rPr>
          <w:rFonts w:eastAsia="仿宋"/>
          <w:bCs/>
          <w:smallCaps/>
          <w:color w:val="000000"/>
          <w:kern w:val="0"/>
          <w:sz w:val="22"/>
          <w:szCs w:val="22"/>
          <w:lang w:val="zh-CN" w:eastAsia="zh-CN"/>
        </w:rPr>
        <w:fldChar w:fldCharType="end"/>
      </w:r>
    </w:p>
    <w:p>
      <w:pPr>
        <w:tabs>
          <w:tab w:val="right" w:leader="dot" w:pos="8296"/>
        </w:tabs>
        <w:spacing w:line="360" w:lineRule="exact"/>
        <w:ind w:left="210"/>
        <w:jc w:val="left"/>
        <w:rPr>
          <w:color w:val="000000"/>
          <w:szCs w:val="22"/>
        </w:rPr>
      </w:pPr>
      <w:r>
        <w:fldChar w:fldCharType="begin"/>
      </w:r>
      <w:r>
        <w:instrText xml:space="preserve"> HYPERLINK \l "_Toc25841991" </w:instrText>
      </w:r>
      <w:r>
        <w:fldChar w:fldCharType="separate"/>
      </w:r>
      <w:r>
        <w:rPr>
          <w:rFonts w:eastAsia="仿宋_GB2312"/>
          <w:bCs/>
          <w:smallCaps/>
          <w:color w:val="000000"/>
          <w:kern w:val="0"/>
          <w:sz w:val="22"/>
          <w:szCs w:val="22"/>
          <w:lang w:val="zh-CN" w:eastAsia="zh-CN"/>
        </w:rPr>
        <w:t>七、 持续监督管理</w:t>
      </w:r>
      <w:r>
        <w:rPr>
          <w:rFonts w:eastAsia="仿宋"/>
          <w:bCs/>
          <w:smallCaps/>
          <w:color w:val="000000"/>
          <w:kern w:val="0"/>
          <w:sz w:val="22"/>
          <w:szCs w:val="22"/>
          <w:lang w:val="zh-CN" w:eastAsia="zh-CN"/>
        </w:rPr>
        <w:tab/>
      </w:r>
      <w:r>
        <w:rPr>
          <w:rFonts w:eastAsia="仿宋"/>
          <w:bCs/>
          <w:smallCaps/>
          <w:color w:val="000000"/>
          <w:kern w:val="0"/>
          <w:sz w:val="22"/>
          <w:szCs w:val="22"/>
          <w:lang w:val="zh-CN" w:eastAsia="zh-CN"/>
        </w:rPr>
        <w:fldChar w:fldCharType="begin"/>
      </w:r>
      <w:r>
        <w:rPr>
          <w:rFonts w:eastAsia="仿宋"/>
          <w:bCs/>
          <w:smallCaps/>
          <w:color w:val="000000"/>
          <w:kern w:val="0"/>
          <w:sz w:val="22"/>
          <w:szCs w:val="22"/>
          <w:lang w:val="zh-CN" w:eastAsia="zh-CN"/>
        </w:rPr>
        <w:instrText xml:space="preserve"> PAGEREF _Toc25841991 \h </w:instrText>
      </w:r>
      <w:r>
        <w:rPr>
          <w:rFonts w:eastAsia="仿宋"/>
          <w:bCs/>
          <w:smallCaps/>
          <w:color w:val="000000"/>
          <w:kern w:val="0"/>
          <w:sz w:val="22"/>
          <w:szCs w:val="22"/>
          <w:lang w:val="zh-CN" w:eastAsia="zh-CN"/>
        </w:rPr>
        <w:fldChar w:fldCharType="separate"/>
      </w:r>
      <w:r>
        <w:rPr>
          <w:rFonts w:eastAsia="仿宋"/>
          <w:bCs/>
          <w:smallCaps/>
          <w:color w:val="000000"/>
          <w:kern w:val="0"/>
          <w:sz w:val="22"/>
          <w:szCs w:val="22"/>
          <w:lang w:val="zh-CN" w:eastAsia="zh-CN"/>
        </w:rPr>
        <w:t>22</w:t>
      </w:r>
      <w:r>
        <w:rPr>
          <w:rFonts w:eastAsia="仿宋"/>
          <w:bCs/>
          <w:smallCaps/>
          <w:color w:val="000000"/>
          <w:kern w:val="0"/>
          <w:sz w:val="22"/>
          <w:szCs w:val="22"/>
          <w:lang w:val="zh-CN" w:eastAsia="zh-CN"/>
        </w:rPr>
        <w:fldChar w:fldCharType="end"/>
      </w:r>
      <w:r>
        <w:rPr>
          <w:rFonts w:eastAsia="仿宋"/>
          <w:bCs/>
          <w:smallCaps/>
          <w:color w:val="000000"/>
          <w:kern w:val="0"/>
          <w:sz w:val="22"/>
          <w:szCs w:val="22"/>
          <w:lang w:val="zh-CN" w:eastAsia="zh-CN"/>
        </w:rPr>
        <w:fldChar w:fldCharType="end"/>
      </w:r>
    </w:p>
    <w:p>
      <w:pPr>
        <w:tabs>
          <w:tab w:val="right" w:leader="dot" w:pos="8296"/>
        </w:tabs>
        <w:spacing w:line="360" w:lineRule="exact"/>
        <w:jc w:val="left"/>
        <w:rPr>
          <w:color w:val="000000"/>
          <w:szCs w:val="22"/>
        </w:rPr>
      </w:pPr>
      <w:r>
        <w:fldChar w:fldCharType="begin"/>
      </w:r>
      <w:r>
        <w:instrText xml:space="preserve"> HYPERLINK \l "_Toc25841992" </w:instrText>
      </w:r>
      <w:r>
        <w:fldChar w:fldCharType="separate"/>
      </w:r>
      <w:r>
        <w:rPr>
          <w:rFonts w:eastAsia="黑体"/>
          <w:bCs/>
          <w:caps/>
          <w:color w:val="000000"/>
          <w:sz w:val="22"/>
          <w:szCs w:val="22"/>
        </w:rPr>
        <w:t>第四章 账户管理</w:t>
      </w:r>
      <w:r>
        <w:rPr>
          <w:rFonts w:eastAsia="黑体"/>
          <w:bCs/>
          <w:caps/>
          <w:color w:val="000000"/>
          <w:sz w:val="22"/>
          <w:szCs w:val="22"/>
        </w:rPr>
        <w:tab/>
      </w:r>
      <w:r>
        <w:rPr>
          <w:rFonts w:eastAsia="黑体"/>
          <w:bCs/>
          <w:caps/>
          <w:color w:val="000000"/>
          <w:sz w:val="22"/>
          <w:szCs w:val="22"/>
        </w:rPr>
        <w:fldChar w:fldCharType="begin"/>
      </w:r>
      <w:r>
        <w:rPr>
          <w:rFonts w:eastAsia="黑体"/>
          <w:bCs/>
          <w:caps/>
          <w:color w:val="000000"/>
          <w:sz w:val="22"/>
          <w:szCs w:val="22"/>
        </w:rPr>
        <w:instrText xml:space="preserve"> PAGEREF _Toc25841992 \h </w:instrText>
      </w:r>
      <w:r>
        <w:rPr>
          <w:rFonts w:eastAsia="黑体"/>
          <w:bCs/>
          <w:caps/>
          <w:color w:val="000000"/>
          <w:sz w:val="22"/>
          <w:szCs w:val="22"/>
        </w:rPr>
        <w:fldChar w:fldCharType="separate"/>
      </w:r>
      <w:r>
        <w:rPr>
          <w:rFonts w:eastAsia="黑体"/>
          <w:bCs/>
          <w:caps/>
          <w:color w:val="000000"/>
          <w:sz w:val="22"/>
          <w:szCs w:val="22"/>
        </w:rPr>
        <w:t>23</w:t>
      </w:r>
      <w:r>
        <w:rPr>
          <w:rFonts w:eastAsia="黑体"/>
          <w:bCs/>
          <w:caps/>
          <w:color w:val="000000"/>
          <w:sz w:val="22"/>
          <w:szCs w:val="22"/>
        </w:rPr>
        <w:fldChar w:fldCharType="end"/>
      </w:r>
      <w:r>
        <w:rPr>
          <w:rFonts w:eastAsia="黑体"/>
          <w:bCs/>
          <w:caps/>
          <w:color w:val="000000"/>
          <w:sz w:val="22"/>
          <w:szCs w:val="22"/>
        </w:rPr>
        <w:fldChar w:fldCharType="end"/>
      </w:r>
    </w:p>
    <w:p>
      <w:pPr>
        <w:tabs>
          <w:tab w:val="right" w:leader="dot" w:pos="8296"/>
        </w:tabs>
        <w:spacing w:line="360" w:lineRule="exact"/>
        <w:ind w:left="210"/>
        <w:jc w:val="left"/>
        <w:rPr>
          <w:color w:val="000000"/>
          <w:szCs w:val="22"/>
        </w:rPr>
      </w:pPr>
      <w:r>
        <w:fldChar w:fldCharType="begin"/>
      </w:r>
      <w:r>
        <w:instrText xml:space="preserve"> HYPERLINK \l "_Toc25841993" </w:instrText>
      </w:r>
      <w:r>
        <w:fldChar w:fldCharType="separate"/>
      </w:r>
      <w:r>
        <w:rPr>
          <w:rFonts w:eastAsia="仿宋_GB2312"/>
          <w:bCs/>
          <w:smallCaps/>
          <w:color w:val="000000"/>
          <w:kern w:val="0"/>
          <w:sz w:val="22"/>
          <w:szCs w:val="22"/>
          <w:lang w:val="zh-CN" w:eastAsia="zh-CN"/>
        </w:rPr>
        <w:t>一、 账户体系</w:t>
      </w:r>
      <w:r>
        <w:rPr>
          <w:rFonts w:eastAsia="仿宋"/>
          <w:bCs/>
          <w:smallCaps/>
          <w:color w:val="000000"/>
          <w:kern w:val="0"/>
          <w:sz w:val="22"/>
          <w:szCs w:val="22"/>
          <w:lang w:val="zh-CN" w:eastAsia="zh-CN"/>
        </w:rPr>
        <w:tab/>
      </w:r>
      <w:r>
        <w:rPr>
          <w:rFonts w:eastAsia="仿宋"/>
          <w:bCs/>
          <w:smallCaps/>
          <w:color w:val="000000"/>
          <w:kern w:val="0"/>
          <w:sz w:val="22"/>
          <w:szCs w:val="22"/>
          <w:lang w:val="zh-CN" w:eastAsia="zh-CN"/>
        </w:rPr>
        <w:fldChar w:fldCharType="begin"/>
      </w:r>
      <w:r>
        <w:rPr>
          <w:rFonts w:eastAsia="仿宋"/>
          <w:bCs/>
          <w:smallCaps/>
          <w:color w:val="000000"/>
          <w:kern w:val="0"/>
          <w:sz w:val="22"/>
          <w:szCs w:val="22"/>
          <w:lang w:val="zh-CN" w:eastAsia="zh-CN"/>
        </w:rPr>
        <w:instrText xml:space="preserve"> PAGEREF _Toc25841993 \h </w:instrText>
      </w:r>
      <w:r>
        <w:rPr>
          <w:rFonts w:eastAsia="仿宋"/>
          <w:bCs/>
          <w:smallCaps/>
          <w:color w:val="000000"/>
          <w:kern w:val="0"/>
          <w:sz w:val="22"/>
          <w:szCs w:val="22"/>
          <w:lang w:val="zh-CN" w:eastAsia="zh-CN"/>
        </w:rPr>
        <w:fldChar w:fldCharType="separate"/>
      </w:r>
      <w:r>
        <w:rPr>
          <w:rFonts w:eastAsia="仿宋"/>
          <w:bCs/>
          <w:smallCaps/>
          <w:color w:val="000000"/>
          <w:kern w:val="0"/>
          <w:sz w:val="22"/>
          <w:szCs w:val="22"/>
          <w:lang w:val="zh-CN" w:eastAsia="zh-CN"/>
        </w:rPr>
        <w:t>23</w:t>
      </w:r>
      <w:r>
        <w:rPr>
          <w:rFonts w:eastAsia="仿宋"/>
          <w:bCs/>
          <w:smallCaps/>
          <w:color w:val="000000"/>
          <w:kern w:val="0"/>
          <w:sz w:val="22"/>
          <w:szCs w:val="22"/>
          <w:lang w:val="zh-CN" w:eastAsia="zh-CN"/>
        </w:rPr>
        <w:fldChar w:fldCharType="end"/>
      </w:r>
      <w:r>
        <w:rPr>
          <w:rFonts w:eastAsia="仿宋"/>
          <w:bCs/>
          <w:smallCaps/>
          <w:color w:val="000000"/>
          <w:kern w:val="0"/>
          <w:sz w:val="22"/>
          <w:szCs w:val="22"/>
          <w:lang w:val="zh-CN" w:eastAsia="zh-CN"/>
        </w:rPr>
        <w:fldChar w:fldCharType="end"/>
      </w:r>
    </w:p>
    <w:p>
      <w:pPr>
        <w:tabs>
          <w:tab w:val="right" w:leader="dot" w:pos="8296"/>
        </w:tabs>
        <w:spacing w:line="360" w:lineRule="exact"/>
        <w:ind w:left="210"/>
        <w:jc w:val="left"/>
        <w:rPr>
          <w:color w:val="000000"/>
          <w:szCs w:val="22"/>
        </w:rPr>
      </w:pPr>
      <w:r>
        <w:fldChar w:fldCharType="begin"/>
      </w:r>
      <w:r>
        <w:instrText xml:space="preserve"> HYPERLINK \l "_Toc25841994" </w:instrText>
      </w:r>
      <w:r>
        <w:fldChar w:fldCharType="separate"/>
      </w:r>
      <w:r>
        <w:rPr>
          <w:rFonts w:eastAsia="仿宋_GB2312"/>
          <w:bCs/>
          <w:smallCaps/>
          <w:color w:val="000000"/>
          <w:kern w:val="0"/>
          <w:sz w:val="22"/>
          <w:szCs w:val="22"/>
          <w:lang w:val="zh-CN" w:eastAsia="zh-CN"/>
        </w:rPr>
        <w:t>二、 衍生品合约账户的开立与管理</w:t>
      </w:r>
      <w:r>
        <w:rPr>
          <w:rFonts w:eastAsia="仿宋"/>
          <w:bCs/>
          <w:smallCaps/>
          <w:color w:val="000000"/>
          <w:kern w:val="0"/>
          <w:sz w:val="22"/>
          <w:szCs w:val="22"/>
          <w:lang w:val="zh-CN" w:eastAsia="zh-CN"/>
        </w:rPr>
        <w:tab/>
      </w:r>
      <w:r>
        <w:rPr>
          <w:rFonts w:eastAsia="仿宋"/>
          <w:bCs/>
          <w:smallCaps/>
          <w:color w:val="000000"/>
          <w:kern w:val="0"/>
          <w:sz w:val="22"/>
          <w:szCs w:val="22"/>
          <w:lang w:val="zh-CN" w:eastAsia="zh-CN"/>
        </w:rPr>
        <w:fldChar w:fldCharType="begin"/>
      </w:r>
      <w:r>
        <w:rPr>
          <w:rFonts w:eastAsia="仿宋"/>
          <w:bCs/>
          <w:smallCaps/>
          <w:color w:val="000000"/>
          <w:kern w:val="0"/>
          <w:sz w:val="22"/>
          <w:szCs w:val="22"/>
          <w:lang w:val="zh-CN" w:eastAsia="zh-CN"/>
        </w:rPr>
        <w:instrText xml:space="preserve"> PAGEREF _Toc25841994 \h </w:instrText>
      </w:r>
      <w:r>
        <w:rPr>
          <w:rFonts w:eastAsia="仿宋"/>
          <w:bCs/>
          <w:smallCaps/>
          <w:color w:val="000000"/>
          <w:kern w:val="0"/>
          <w:sz w:val="22"/>
          <w:szCs w:val="22"/>
          <w:lang w:val="zh-CN" w:eastAsia="zh-CN"/>
        </w:rPr>
        <w:fldChar w:fldCharType="separate"/>
      </w:r>
      <w:r>
        <w:rPr>
          <w:rFonts w:eastAsia="仿宋"/>
          <w:bCs/>
          <w:smallCaps/>
          <w:color w:val="000000"/>
          <w:kern w:val="0"/>
          <w:sz w:val="22"/>
          <w:szCs w:val="22"/>
          <w:lang w:val="zh-CN" w:eastAsia="zh-CN"/>
        </w:rPr>
        <w:t>25</w:t>
      </w:r>
      <w:r>
        <w:rPr>
          <w:rFonts w:eastAsia="仿宋"/>
          <w:bCs/>
          <w:smallCaps/>
          <w:color w:val="000000"/>
          <w:kern w:val="0"/>
          <w:sz w:val="22"/>
          <w:szCs w:val="22"/>
          <w:lang w:val="zh-CN" w:eastAsia="zh-CN"/>
        </w:rPr>
        <w:fldChar w:fldCharType="end"/>
      </w:r>
      <w:r>
        <w:rPr>
          <w:rFonts w:eastAsia="仿宋"/>
          <w:bCs/>
          <w:smallCaps/>
          <w:color w:val="000000"/>
          <w:kern w:val="0"/>
          <w:sz w:val="22"/>
          <w:szCs w:val="22"/>
          <w:lang w:val="zh-CN" w:eastAsia="zh-CN"/>
        </w:rPr>
        <w:fldChar w:fldCharType="end"/>
      </w:r>
    </w:p>
    <w:p>
      <w:pPr>
        <w:tabs>
          <w:tab w:val="right" w:leader="dot" w:pos="8296"/>
        </w:tabs>
        <w:spacing w:line="360" w:lineRule="exact"/>
        <w:jc w:val="left"/>
        <w:rPr>
          <w:color w:val="000000"/>
          <w:szCs w:val="22"/>
        </w:rPr>
      </w:pPr>
      <w:r>
        <w:fldChar w:fldCharType="begin"/>
      </w:r>
      <w:r>
        <w:instrText xml:space="preserve"> HYPERLINK \l "_Toc25841995" </w:instrText>
      </w:r>
      <w:r>
        <w:fldChar w:fldCharType="separate"/>
      </w:r>
      <w:r>
        <w:rPr>
          <w:rFonts w:eastAsia="黑体"/>
          <w:bCs/>
          <w:caps/>
          <w:color w:val="000000"/>
          <w:sz w:val="22"/>
          <w:szCs w:val="22"/>
        </w:rPr>
        <w:t>第五章 持仓限额管理</w:t>
      </w:r>
      <w:r>
        <w:rPr>
          <w:rFonts w:eastAsia="黑体"/>
          <w:bCs/>
          <w:caps/>
          <w:color w:val="000000"/>
          <w:sz w:val="22"/>
          <w:szCs w:val="22"/>
        </w:rPr>
        <w:tab/>
      </w:r>
      <w:r>
        <w:rPr>
          <w:rFonts w:eastAsia="黑体"/>
          <w:bCs/>
          <w:caps/>
          <w:color w:val="000000"/>
          <w:sz w:val="22"/>
          <w:szCs w:val="22"/>
        </w:rPr>
        <w:fldChar w:fldCharType="begin"/>
      </w:r>
      <w:r>
        <w:rPr>
          <w:rFonts w:eastAsia="黑体"/>
          <w:bCs/>
          <w:caps/>
          <w:color w:val="000000"/>
          <w:sz w:val="22"/>
          <w:szCs w:val="22"/>
        </w:rPr>
        <w:instrText xml:space="preserve"> PAGEREF _Toc25841995 \h </w:instrText>
      </w:r>
      <w:r>
        <w:rPr>
          <w:rFonts w:eastAsia="黑体"/>
          <w:bCs/>
          <w:caps/>
          <w:color w:val="000000"/>
          <w:sz w:val="22"/>
          <w:szCs w:val="22"/>
        </w:rPr>
        <w:fldChar w:fldCharType="separate"/>
      </w:r>
      <w:r>
        <w:rPr>
          <w:rFonts w:eastAsia="黑体"/>
          <w:bCs/>
          <w:caps/>
          <w:color w:val="000000"/>
          <w:sz w:val="22"/>
          <w:szCs w:val="22"/>
        </w:rPr>
        <w:t>33</w:t>
      </w:r>
      <w:r>
        <w:rPr>
          <w:rFonts w:eastAsia="黑体"/>
          <w:bCs/>
          <w:caps/>
          <w:color w:val="000000"/>
          <w:sz w:val="22"/>
          <w:szCs w:val="22"/>
        </w:rPr>
        <w:fldChar w:fldCharType="end"/>
      </w:r>
      <w:r>
        <w:rPr>
          <w:rFonts w:eastAsia="黑体"/>
          <w:bCs/>
          <w:caps/>
          <w:color w:val="000000"/>
          <w:sz w:val="22"/>
          <w:szCs w:val="22"/>
        </w:rPr>
        <w:fldChar w:fldCharType="end"/>
      </w:r>
    </w:p>
    <w:p>
      <w:pPr>
        <w:tabs>
          <w:tab w:val="right" w:leader="dot" w:pos="8296"/>
        </w:tabs>
        <w:spacing w:line="360" w:lineRule="exact"/>
        <w:ind w:left="210"/>
        <w:jc w:val="left"/>
        <w:rPr>
          <w:color w:val="000000"/>
          <w:szCs w:val="22"/>
        </w:rPr>
      </w:pPr>
      <w:r>
        <w:fldChar w:fldCharType="begin"/>
      </w:r>
      <w:r>
        <w:instrText xml:space="preserve"> HYPERLINK \l "_Toc25841996" </w:instrText>
      </w:r>
      <w:r>
        <w:fldChar w:fldCharType="separate"/>
      </w:r>
      <w:r>
        <w:rPr>
          <w:rFonts w:eastAsia="仿宋_GB2312"/>
          <w:bCs/>
          <w:smallCaps/>
          <w:color w:val="000000"/>
          <w:kern w:val="0"/>
          <w:sz w:val="22"/>
          <w:szCs w:val="22"/>
          <w:lang w:val="zh-CN" w:eastAsia="zh-CN"/>
        </w:rPr>
        <w:t>一、 持仓限额</w:t>
      </w:r>
      <w:r>
        <w:rPr>
          <w:rFonts w:eastAsia="仿宋"/>
          <w:bCs/>
          <w:smallCaps/>
          <w:color w:val="000000"/>
          <w:kern w:val="0"/>
          <w:sz w:val="22"/>
          <w:szCs w:val="22"/>
          <w:lang w:val="zh-CN" w:eastAsia="zh-CN"/>
        </w:rPr>
        <w:tab/>
      </w:r>
      <w:r>
        <w:rPr>
          <w:rFonts w:eastAsia="仿宋"/>
          <w:bCs/>
          <w:smallCaps/>
          <w:color w:val="000000"/>
          <w:kern w:val="0"/>
          <w:sz w:val="22"/>
          <w:szCs w:val="22"/>
          <w:lang w:val="zh-CN" w:eastAsia="zh-CN"/>
        </w:rPr>
        <w:fldChar w:fldCharType="begin"/>
      </w:r>
      <w:r>
        <w:rPr>
          <w:rFonts w:eastAsia="仿宋"/>
          <w:bCs/>
          <w:smallCaps/>
          <w:color w:val="000000"/>
          <w:kern w:val="0"/>
          <w:sz w:val="22"/>
          <w:szCs w:val="22"/>
          <w:lang w:val="zh-CN" w:eastAsia="zh-CN"/>
        </w:rPr>
        <w:instrText xml:space="preserve"> PAGEREF _Toc25841996 \h </w:instrText>
      </w:r>
      <w:r>
        <w:rPr>
          <w:rFonts w:eastAsia="仿宋"/>
          <w:bCs/>
          <w:smallCaps/>
          <w:color w:val="000000"/>
          <w:kern w:val="0"/>
          <w:sz w:val="22"/>
          <w:szCs w:val="22"/>
          <w:lang w:val="zh-CN" w:eastAsia="zh-CN"/>
        </w:rPr>
        <w:fldChar w:fldCharType="separate"/>
      </w:r>
      <w:r>
        <w:rPr>
          <w:rFonts w:eastAsia="仿宋"/>
          <w:bCs/>
          <w:smallCaps/>
          <w:color w:val="000000"/>
          <w:kern w:val="0"/>
          <w:sz w:val="22"/>
          <w:szCs w:val="22"/>
          <w:lang w:val="zh-CN" w:eastAsia="zh-CN"/>
        </w:rPr>
        <w:t>33</w:t>
      </w:r>
      <w:r>
        <w:rPr>
          <w:rFonts w:eastAsia="仿宋"/>
          <w:bCs/>
          <w:smallCaps/>
          <w:color w:val="000000"/>
          <w:kern w:val="0"/>
          <w:sz w:val="22"/>
          <w:szCs w:val="22"/>
          <w:lang w:val="zh-CN" w:eastAsia="zh-CN"/>
        </w:rPr>
        <w:fldChar w:fldCharType="end"/>
      </w:r>
      <w:r>
        <w:rPr>
          <w:rFonts w:eastAsia="仿宋"/>
          <w:bCs/>
          <w:smallCaps/>
          <w:color w:val="000000"/>
          <w:kern w:val="0"/>
          <w:sz w:val="22"/>
          <w:szCs w:val="22"/>
          <w:lang w:val="zh-CN" w:eastAsia="zh-CN"/>
        </w:rPr>
        <w:fldChar w:fldCharType="end"/>
      </w:r>
    </w:p>
    <w:p>
      <w:pPr>
        <w:tabs>
          <w:tab w:val="right" w:leader="dot" w:pos="8296"/>
        </w:tabs>
        <w:spacing w:line="360" w:lineRule="exact"/>
        <w:ind w:left="210"/>
        <w:jc w:val="left"/>
        <w:rPr>
          <w:color w:val="000000"/>
          <w:szCs w:val="22"/>
        </w:rPr>
      </w:pPr>
      <w:r>
        <w:fldChar w:fldCharType="begin"/>
      </w:r>
      <w:r>
        <w:instrText xml:space="preserve"> HYPERLINK \l "_Toc25841997" </w:instrText>
      </w:r>
      <w:r>
        <w:fldChar w:fldCharType="separate"/>
      </w:r>
      <w:r>
        <w:rPr>
          <w:rFonts w:eastAsia="仿宋_GB2312"/>
          <w:bCs/>
          <w:smallCaps/>
          <w:color w:val="000000"/>
          <w:kern w:val="0"/>
          <w:sz w:val="22"/>
          <w:szCs w:val="22"/>
          <w:lang w:val="zh-CN" w:eastAsia="zh-CN"/>
        </w:rPr>
        <w:t>二、 客户买入额度管理（限购）</w:t>
      </w:r>
      <w:r>
        <w:rPr>
          <w:rFonts w:eastAsia="仿宋"/>
          <w:bCs/>
          <w:smallCaps/>
          <w:color w:val="000000"/>
          <w:kern w:val="0"/>
          <w:sz w:val="22"/>
          <w:szCs w:val="22"/>
          <w:lang w:val="zh-CN" w:eastAsia="zh-CN"/>
        </w:rPr>
        <w:tab/>
      </w:r>
      <w:r>
        <w:rPr>
          <w:rFonts w:eastAsia="仿宋"/>
          <w:bCs/>
          <w:smallCaps/>
          <w:color w:val="000000"/>
          <w:kern w:val="0"/>
          <w:sz w:val="22"/>
          <w:szCs w:val="22"/>
          <w:lang w:val="zh-CN" w:eastAsia="zh-CN"/>
        </w:rPr>
        <w:fldChar w:fldCharType="begin"/>
      </w:r>
      <w:r>
        <w:rPr>
          <w:rFonts w:eastAsia="仿宋"/>
          <w:bCs/>
          <w:smallCaps/>
          <w:color w:val="000000"/>
          <w:kern w:val="0"/>
          <w:sz w:val="22"/>
          <w:szCs w:val="22"/>
          <w:lang w:val="zh-CN" w:eastAsia="zh-CN"/>
        </w:rPr>
        <w:instrText xml:space="preserve"> PAGEREF _Toc25841997 \h </w:instrText>
      </w:r>
      <w:r>
        <w:rPr>
          <w:rFonts w:eastAsia="仿宋"/>
          <w:bCs/>
          <w:smallCaps/>
          <w:color w:val="000000"/>
          <w:kern w:val="0"/>
          <w:sz w:val="22"/>
          <w:szCs w:val="22"/>
          <w:lang w:val="zh-CN" w:eastAsia="zh-CN"/>
        </w:rPr>
        <w:fldChar w:fldCharType="separate"/>
      </w:r>
      <w:r>
        <w:rPr>
          <w:rFonts w:eastAsia="仿宋"/>
          <w:bCs/>
          <w:smallCaps/>
          <w:color w:val="000000"/>
          <w:kern w:val="0"/>
          <w:sz w:val="22"/>
          <w:szCs w:val="22"/>
          <w:lang w:val="zh-CN" w:eastAsia="zh-CN"/>
        </w:rPr>
        <w:t>39</w:t>
      </w:r>
      <w:r>
        <w:rPr>
          <w:rFonts w:eastAsia="仿宋"/>
          <w:bCs/>
          <w:smallCaps/>
          <w:color w:val="000000"/>
          <w:kern w:val="0"/>
          <w:sz w:val="22"/>
          <w:szCs w:val="22"/>
          <w:lang w:val="zh-CN" w:eastAsia="zh-CN"/>
        </w:rPr>
        <w:fldChar w:fldCharType="end"/>
      </w:r>
      <w:r>
        <w:rPr>
          <w:rFonts w:eastAsia="仿宋"/>
          <w:bCs/>
          <w:smallCaps/>
          <w:color w:val="000000"/>
          <w:kern w:val="0"/>
          <w:sz w:val="22"/>
          <w:szCs w:val="22"/>
          <w:lang w:val="zh-CN" w:eastAsia="zh-CN"/>
        </w:rPr>
        <w:fldChar w:fldCharType="end"/>
      </w:r>
    </w:p>
    <w:p>
      <w:pPr>
        <w:tabs>
          <w:tab w:val="right" w:leader="dot" w:pos="8296"/>
        </w:tabs>
        <w:spacing w:line="360" w:lineRule="exact"/>
        <w:ind w:left="210"/>
        <w:jc w:val="left"/>
        <w:rPr>
          <w:color w:val="000000"/>
          <w:szCs w:val="22"/>
        </w:rPr>
      </w:pPr>
      <w:r>
        <w:fldChar w:fldCharType="begin"/>
      </w:r>
      <w:r>
        <w:instrText xml:space="preserve"> HYPERLINK \l "_Toc25841998" </w:instrText>
      </w:r>
      <w:r>
        <w:fldChar w:fldCharType="separate"/>
      </w:r>
      <w:r>
        <w:rPr>
          <w:rFonts w:eastAsia="仿宋_GB2312"/>
          <w:bCs/>
          <w:smallCaps/>
          <w:color w:val="000000"/>
          <w:kern w:val="0"/>
          <w:sz w:val="22"/>
          <w:szCs w:val="22"/>
          <w:lang w:val="zh-CN" w:eastAsia="zh-CN"/>
        </w:rPr>
        <w:t>三、 投资者套期保值额度申请</w:t>
      </w:r>
      <w:r>
        <w:rPr>
          <w:rFonts w:eastAsia="仿宋"/>
          <w:bCs/>
          <w:smallCaps/>
          <w:color w:val="000000"/>
          <w:kern w:val="0"/>
          <w:sz w:val="22"/>
          <w:szCs w:val="22"/>
          <w:lang w:val="zh-CN" w:eastAsia="zh-CN"/>
        </w:rPr>
        <w:tab/>
      </w:r>
      <w:r>
        <w:rPr>
          <w:rFonts w:eastAsia="仿宋"/>
          <w:bCs/>
          <w:smallCaps/>
          <w:color w:val="000000"/>
          <w:kern w:val="0"/>
          <w:sz w:val="22"/>
          <w:szCs w:val="22"/>
          <w:lang w:val="zh-CN" w:eastAsia="zh-CN"/>
        </w:rPr>
        <w:fldChar w:fldCharType="begin"/>
      </w:r>
      <w:r>
        <w:rPr>
          <w:rFonts w:eastAsia="仿宋"/>
          <w:bCs/>
          <w:smallCaps/>
          <w:color w:val="000000"/>
          <w:kern w:val="0"/>
          <w:sz w:val="22"/>
          <w:szCs w:val="22"/>
          <w:lang w:val="zh-CN" w:eastAsia="zh-CN"/>
        </w:rPr>
        <w:instrText xml:space="preserve"> PAGEREF _Toc25841998 \h </w:instrText>
      </w:r>
      <w:r>
        <w:rPr>
          <w:rFonts w:eastAsia="仿宋"/>
          <w:bCs/>
          <w:smallCaps/>
          <w:color w:val="000000"/>
          <w:kern w:val="0"/>
          <w:sz w:val="22"/>
          <w:szCs w:val="22"/>
          <w:lang w:val="zh-CN" w:eastAsia="zh-CN"/>
        </w:rPr>
        <w:fldChar w:fldCharType="separate"/>
      </w:r>
      <w:r>
        <w:rPr>
          <w:rFonts w:eastAsia="仿宋"/>
          <w:bCs/>
          <w:smallCaps/>
          <w:color w:val="000000"/>
          <w:kern w:val="0"/>
          <w:sz w:val="22"/>
          <w:szCs w:val="22"/>
          <w:lang w:val="zh-CN" w:eastAsia="zh-CN"/>
        </w:rPr>
        <w:t>42</w:t>
      </w:r>
      <w:r>
        <w:rPr>
          <w:rFonts w:eastAsia="仿宋"/>
          <w:bCs/>
          <w:smallCaps/>
          <w:color w:val="000000"/>
          <w:kern w:val="0"/>
          <w:sz w:val="22"/>
          <w:szCs w:val="22"/>
          <w:lang w:val="zh-CN" w:eastAsia="zh-CN"/>
        </w:rPr>
        <w:fldChar w:fldCharType="end"/>
      </w:r>
      <w:r>
        <w:rPr>
          <w:rFonts w:eastAsia="仿宋"/>
          <w:bCs/>
          <w:smallCaps/>
          <w:color w:val="000000"/>
          <w:kern w:val="0"/>
          <w:sz w:val="22"/>
          <w:szCs w:val="22"/>
          <w:lang w:val="zh-CN" w:eastAsia="zh-CN"/>
        </w:rPr>
        <w:fldChar w:fldCharType="end"/>
      </w:r>
    </w:p>
    <w:p>
      <w:pPr>
        <w:tabs>
          <w:tab w:val="right" w:leader="dot" w:pos="8296"/>
        </w:tabs>
        <w:spacing w:line="360" w:lineRule="exact"/>
        <w:ind w:left="210"/>
        <w:jc w:val="left"/>
        <w:rPr>
          <w:color w:val="000000"/>
          <w:szCs w:val="22"/>
        </w:rPr>
      </w:pPr>
      <w:r>
        <w:fldChar w:fldCharType="begin"/>
      </w:r>
      <w:r>
        <w:instrText xml:space="preserve"> HYPERLINK \l "_Toc25841999" </w:instrText>
      </w:r>
      <w:r>
        <w:fldChar w:fldCharType="separate"/>
      </w:r>
      <w:r>
        <w:rPr>
          <w:rFonts w:eastAsia="仿宋_GB2312"/>
          <w:bCs/>
          <w:smallCaps/>
          <w:color w:val="000000"/>
          <w:kern w:val="0"/>
          <w:sz w:val="22"/>
          <w:szCs w:val="22"/>
          <w:lang w:val="zh-CN" w:eastAsia="zh-CN"/>
        </w:rPr>
        <w:t>四、 经纪业务总持仓限额申请</w:t>
      </w:r>
      <w:r>
        <w:rPr>
          <w:rFonts w:eastAsia="仿宋"/>
          <w:bCs/>
          <w:smallCaps/>
          <w:color w:val="000000"/>
          <w:kern w:val="0"/>
          <w:sz w:val="22"/>
          <w:szCs w:val="22"/>
          <w:lang w:val="zh-CN" w:eastAsia="zh-CN"/>
        </w:rPr>
        <w:tab/>
      </w:r>
      <w:r>
        <w:rPr>
          <w:rFonts w:eastAsia="仿宋"/>
          <w:bCs/>
          <w:smallCaps/>
          <w:color w:val="000000"/>
          <w:kern w:val="0"/>
          <w:sz w:val="22"/>
          <w:szCs w:val="22"/>
          <w:lang w:val="zh-CN" w:eastAsia="zh-CN"/>
        </w:rPr>
        <w:fldChar w:fldCharType="begin"/>
      </w:r>
      <w:r>
        <w:rPr>
          <w:rFonts w:eastAsia="仿宋"/>
          <w:bCs/>
          <w:smallCaps/>
          <w:color w:val="000000"/>
          <w:kern w:val="0"/>
          <w:sz w:val="22"/>
          <w:szCs w:val="22"/>
          <w:lang w:val="zh-CN" w:eastAsia="zh-CN"/>
        </w:rPr>
        <w:instrText xml:space="preserve"> PAGEREF _Toc25841999 \h </w:instrText>
      </w:r>
      <w:r>
        <w:rPr>
          <w:rFonts w:eastAsia="仿宋"/>
          <w:bCs/>
          <w:smallCaps/>
          <w:color w:val="000000"/>
          <w:kern w:val="0"/>
          <w:sz w:val="22"/>
          <w:szCs w:val="22"/>
          <w:lang w:val="zh-CN" w:eastAsia="zh-CN"/>
        </w:rPr>
        <w:fldChar w:fldCharType="separate"/>
      </w:r>
      <w:r>
        <w:rPr>
          <w:rFonts w:eastAsia="仿宋"/>
          <w:bCs/>
          <w:smallCaps/>
          <w:color w:val="000000"/>
          <w:kern w:val="0"/>
          <w:sz w:val="22"/>
          <w:szCs w:val="22"/>
          <w:lang w:val="zh-CN" w:eastAsia="zh-CN"/>
        </w:rPr>
        <w:t>45</w:t>
      </w:r>
      <w:r>
        <w:rPr>
          <w:rFonts w:eastAsia="仿宋"/>
          <w:bCs/>
          <w:smallCaps/>
          <w:color w:val="000000"/>
          <w:kern w:val="0"/>
          <w:sz w:val="22"/>
          <w:szCs w:val="22"/>
          <w:lang w:val="zh-CN" w:eastAsia="zh-CN"/>
        </w:rPr>
        <w:fldChar w:fldCharType="end"/>
      </w:r>
      <w:r>
        <w:rPr>
          <w:rFonts w:eastAsia="仿宋"/>
          <w:bCs/>
          <w:smallCaps/>
          <w:color w:val="000000"/>
          <w:kern w:val="0"/>
          <w:sz w:val="22"/>
          <w:szCs w:val="22"/>
          <w:lang w:val="zh-CN" w:eastAsia="zh-CN"/>
        </w:rPr>
        <w:fldChar w:fldCharType="end"/>
      </w:r>
    </w:p>
    <w:p>
      <w:pPr>
        <w:tabs>
          <w:tab w:val="right" w:leader="dot" w:pos="8296"/>
        </w:tabs>
        <w:spacing w:line="360" w:lineRule="exact"/>
        <w:ind w:left="210"/>
        <w:jc w:val="left"/>
        <w:rPr>
          <w:color w:val="000000"/>
          <w:szCs w:val="22"/>
        </w:rPr>
      </w:pPr>
      <w:r>
        <w:fldChar w:fldCharType="begin"/>
      </w:r>
      <w:r>
        <w:instrText xml:space="preserve"> HYPERLINK \l "_Toc25842000" </w:instrText>
      </w:r>
      <w:r>
        <w:fldChar w:fldCharType="separate"/>
      </w:r>
      <w:r>
        <w:rPr>
          <w:rFonts w:eastAsia="仿宋_GB2312"/>
          <w:bCs/>
          <w:smallCaps/>
          <w:color w:val="000000"/>
          <w:kern w:val="0"/>
          <w:sz w:val="22"/>
          <w:szCs w:val="22"/>
          <w:lang w:val="zh-CN" w:eastAsia="zh-CN"/>
        </w:rPr>
        <w:t>五、 特定产品持仓限额申请</w:t>
      </w:r>
      <w:r>
        <w:rPr>
          <w:rFonts w:eastAsia="仿宋"/>
          <w:bCs/>
          <w:smallCaps/>
          <w:color w:val="000000"/>
          <w:kern w:val="0"/>
          <w:sz w:val="22"/>
          <w:szCs w:val="22"/>
          <w:lang w:val="zh-CN" w:eastAsia="zh-CN"/>
        </w:rPr>
        <w:tab/>
      </w:r>
      <w:r>
        <w:rPr>
          <w:rFonts w:eastAsia="仿宋"/>
          <w:bCs/>
          <w:smallCaps/>
          <w:color w:val="000000"/>
          <w:kern w:val="0"/>
          <w:sz w:val="22"/>
          <w:szCs w:val="22"/>
          <w:lang w:val="zh-CN" w:eastAsia="zh-CN"/>
        </w:rPr>
        <w:fldChar w:fldCharType="begin"/>
      </w:r>
      <w:r>
        <w:rPr>
          <w:rFonts w:eastAsia="仿宋"/>
          <w:bCs/>
          <w:smallCaps/>
          <w:color w:val="000000"/>
          <w:kern w:val="0"/>
          <w:sz w:val="22"/>
          <w:szCs w:val="22"/>
          <w:lang w:val="zh-CN" w:eastAsia="zh-CN"/>
        </w:rPr>
        <w:instrText xml:space="preserve"> PAGEREF _Toc25842000 \h </w:instrText>
      </w:r>
      <w:r>
        <w:rPr>
          <w:rFonts w:eastAsia="仿宋"/>
          <w:bCs/>
          <w:smallCaps/>
          <w:color w:val="000000"/>
          <w:kern w:val="0"/>
          <w:sz w:val="22"/>
          <w:szCs w:val="22"/>
          <w:lang w:val="zh-CN" w:eastAsia="zh-CN"/>
        </w:rPr>
        <w:fldChar w:fldCharType="separate"/>
      </w:r>
      <w:r>
        <w:rPr>
          <w:rFonts w:eastAsia="仿宋"/>
          <w:bCs/>
          <w:smallCaps/>
          <w:color w:val="000000"/>
          <w:kern w:val="0"/>
          <w:sz w:val="22"/>
          <w:szCs w:val="22"/>
          <w:lang w:val="zh-CN" w:eastAsia="zh-CN"/>
        </w:rPr>
        <w:t>46</w:t>
      </w:r>
      <w:r>
        <w:rPr>
          <w:rFonts w:eastAsia="仿宋"/>
          <w:bCs/>
          <w:smallCaps/>
          <w:color w:val="000000"/>
          <w:kern w:val="0"/>
          <w:sz w:val="22"/>
          <w:szCs w:val="22"/>
          <w:lang w:val="zh-CN" w:eastAsia="zh-CN"/>
        </w:rPr>
        <w:fldChar w:fldCharType="end"/>
      </w:r>
      <w:r>
        <w:rPr>
          <w:rFonts w:eastAsia="仿宋"/>
          <w:bCs/>
          <w:smallCaps/>
          <w:color w:val="000000"/>
          <w:kern w:val="0"/>
          <w:sz w:val="22"/>
          <w:szCs w:val="22"/>
          <w:lang w:val="zh-CN" w:eastAsia="zh-CN"/>
        </w:rPr>
        <w:fldChar w:fldCharType="end"/>
      </w:r>
    </w:p>
    <w:p>
      <w:pPr>
        <w:tabs>
          <w:tab w:val="right" w:leader="dot" w:pos="8296"/>
        </w:tabs>
        <w:spacing w:line="360" w:lineRule="exact"/>
        <w:jc w:val="left"/>
        <w:rPr>
          <w:color w:val="000000"/>
          <w:szCs w:val="22"/>
        </w:rPr>
      </w:pPr>
      <w:r>
        <w:fldChar w:fldCharType="begin"/>
      </w:r>
      <w:r>
        <w:instrText xml:space="preserve"> HYPERLINK \l "_Toc25842001" </w:instrText>
      </w:r>
      <w:r>
        <w:fldChar w:fldCharType="separate"/>
      </w:r>
      <w:r>
        <w:rPr>
          <w:rFonts w:eastAsia="黑体"/>
          <w:bCs/>
          <w:caps/>
          <w:color w:val="000000"/>
          <w:sz w:val="22"/>
          <w:szCs w:val="22"/>
        </w:rPr>
        <w:t>第六章 保证金管理</w:t>
      </w:r>
      <w:r>
        <w:rPr>
          <w:rFonts w:eastAsia="黑体"/>
          <w:bCs/>
          <w:caps/>
          <w:color w:val="000000"/>
          <w:sz w:val="22"/>
          <w:szCs w:val="22"/>
        </w:rPr>
        <w:tab/>
      </w:r>
      <w:r>
        <w:rPr>
          <w:rFonts w:eastAsia="黑体"/>
          <w:bCs/>
          <w:caps/>
          <w:color w:val="000000"/>
          <w:sz w:val="22"/>
          <w:szCs w:val="22"/>
        </w:rPr>
        <w:fldChar w:fldCharType="begin"/>
      </w:r>
      <w:r>
        <w:rPr>
          <w:rFonts w:eastAsia="黑体"/>
          <w:bCs/>
          <w:caps/>
          <w:color w:val="000000"/>
          <w:sz w:val="22"/>
          <w:szCs w:val="22"/>
        </w:rPr>
        <w:instrText xml:space="preserve"> PAGEREF _Toc25842001 \h </w:instrText>
      </w:r>
      <w:r>
        <w:rPr>
          <w:rFonts w:eastAsia="黑体"/>
          <w:bCs/>
          <w:caps/>
          <w:color w:val="000000"/>
          <w:sz w:val="22"/>
          <w:szCs w:val="22"/>
        </w:rPr>
        <w:fldChar w:fldCharType="separate"/>
      </w:r>
      <w:r>
        <w:rPr>
          <w:rFonts w:eastAsia="黑体"/>
          <w:bCs/>
          <w:caps/>
          <w:color w:val="000000"/>
          <w:sz w:val="22"/>
          <w:szCs w:val="22"/>
        </w:rPr>
        <w:t>48</w:t>
      </w:r>
      <w:r>
        <w:rPr>
          <w:rFonts w:eastAsia="黑体"/>
          <w:bCs/>
          <w:caps/>
          <w:color w:val="000000"/>
          <w:sz w:val="22"/>
          <w:szCs w:val="22"/>
        </w:rPr>
        <w:fldChar w:fldCharType="end"/>
      </w:r>
      <w:r>
        <w:rPr>
          <w:rFonts w:eastAsia="黑体"/>
          <w:bCs/>
          <w:caps/>
          <w:color w:val="000000"/>
          <w:sz w:val="22"/>
          <w:szCs w:val="22"/>
        </w:rPr>
        <w:fldChar w:fldCharType="end"/>
      </w:r>
    </w:p>
    <w:p>
      <w:pPr>
        <w:tabs>
          <w:tab w:val="right" w:leader="dot" w:pos="8296"/>
        </w:tabs>
        <w:spacing w:line="360" w:lineRule="exact"/>
        <w:ind w:left="210"/>
        <w:jc w:val="left"/>
        <w:rPr>
          <w:color w:val="000000"/>
          <w:szCs w:val="22"/>
        </w:rPr>
      </w:pPr>
      <w:r>
        <w:fldChar w:fldCharType="begin"/>
      </w:r>
      <w:r>
        <w:instrText xml:space="preserve"> HYPERLINK \l "_Toc25842002" </w:instrText>
      </w:r>
      <w:r>
        <w:fldChar w:fldCharType="separate"/>
      </w:r>
      <w:r>
        <w:rPr>
          <w:rFonts w:eastAsia="仿宋_GB2312"/>
          <w:bCs/>
          <w:smallCaps/>
          <w:color w:val="000000"/>
          <w:kern w:val="0"/>
          <w:sz w:val="22"/>
          <w:szCs w:val="22"/>
          <w:lang w:val="zh-CN" w:eastAsia="zh-CN"/>
        </w:rPr>
        <w:t>一、 客户保证金管理</w:t>
      </w:r>
      <w:r>
        <w:rPr>
          <w:rFonts w:eastAsia="仿宋"/>
          <w:bCs/>
          <w:smallCaps/>
          <w:color w:val="000000"/>
          <w:kern w:val="0"/>
          <w:sz w:val="22"/>
          <w:szCs w:val="22"/>
          <w:lang w:val="zh-CN" w:eastAsia="zh-CN"/>
        </w:rPr>
        <w:tab/>
      </w:r>
      <w:r>
        <w:rPr>
          <w:rFonts w:eastAsia="仿宋"/>
          <w:bCs/>
          <w:smallCaps/>
          <w:color w:val="000000"/>
          <w:kern w:val="0"/>
          <w:sz w:val="22"/>
          <w:szCs w:val="22"/>
          <w:lang w:val="zh-CN" w:eastAsia="zh-CN"/>
        </w:rPr>
        <w:fldChar w:fldCharType="begin"/>
      </w:r>
      <w:r>
        <w:rPr>
          <w:rFonts w:eastAsia="仿宋"/>
          <w:bCs/>
          <w:smallCaps/>
          <w:color w:val="000000"/>
          <w:kern w:val="0"/>
          <w:sz w:val="22"/>
          <w:szCs w:val="22"/>
          <w:lang w:val="zh-CN" w:eastAsia="zh-CN"/>
        </w:rPr>
        <w:instrText xml:space="preserve"> PAGEREF _Toc25842002 \h </w:instrText>
      </w:r>
      <w:r>
        <w:rPr>
          <w:rFonts w:eastAsia="仿宋"/>
          <w:bCs/>
          <w:smallCaps/>
          <w:color w:val="000000"/>
          <w:kern w:val="0"/>
          <w:sz w:val="22"/>
          <w:szCs w:val="22"/>
          <w:lang w:val="zh-CN" w:eastAsia="zh-CN"/>
        </w:rPr>
        <w:fldChar w:fldCharType="separate"/>
      </w:r>
      <w:r>
        <w:rPr>
          <w:rFonts w:eastAsia="仿宋"/>
          <w:bCs/>
          <w:smallCaps/>
          <w:color w:val="000000"/>
          <w:kern w:val="0"/>
          <w:sz w:val="22"/>
          <w:szCs w:val="22"/>
          <w:lang w:val="zh-CN" w:eastAsia="zh-CN"/>
        </w:rPr>
        <w:t>48</w:t>
      </w:r>
      <w:r>
        <w:rPr>
          <w:rFonts w:eastAsia="仿宋"/>
          <w:bCs/>
          <w:smallCaps/>
          <w:color w:val="000000"/>
          <w:kern w:val="0"/>
          <w:sz w:val="22"/>
          <w:szCs w:val="22"/>
          <w:lang w:val="zh-CN" w:eastAsia="zh-CN"/>
        </w:rPr>
        <w:fldChar w:fldCharType="end"/>
      </w:r>
      <w:r>
        <w:rPr>
          <w:rFonts w:eastAsia="仿宋"/>
          <w:bCs/>
          <w:smallCaps/>
          <w:color w:val="000000"/>
          <w:kern w:val="0"/>
          <w:sz w:val="22"/>
          <w:szCs w:val="22"/>
          <w:lang w:val="zh-CN" w:eastAsia="zh-CN"/>
        </w:rPr>
        <w:fldChar w:fldCharType="end"/>
      </w:r>
    </w:p>
    <w:p>
      <w:pPr>
        <w:tabs>
          <w:tab w:val="right" w:leader="dot" w:pos="8296"/>
        </w:tabs>
        <w:spacing w:line="360" w:lineRule="exact"/>
        <w:ind w:left="210"/>
        <w:jc w:val="left"/>
        <w:rPr>
          <w:color w:val="000000"/>
          <w:szCs w:val="22"/>
        </w:rPr>
      </w:pPr>
      <w:r>
        <w:fldChar w:fldCharType="begin"/>
      </w:r>
      <w:r>
        <w:instrText xml:space="preserve"> HYPERLINK \l "_Toc25842003" </w:instrText>
      </w:r>
      <w:r>
        <w:fldChar w:fldCharType="separate"/>
      </w:r>
      <w:r>
        <w:rPr>
          <w:rFonts w:eastAsia="仿宋_GB2312"/>
          <w:bCs/>
          <w:smallCaps/>
          <w:color w:val="000000"/>
          <w:kern w:val="0"/>
          <w:sz w:val="22"/>
          <w:szCs w:val="22"/>
          <w:lang w:val="zh-CN" w:eastAsia="zh-CN"/>
        </w:rPr>
        <w:t>二、 备兑开仓客户保证金管理</w:t>
      </w:r>
      <w:r>
        <w:rPr>
          <w:rFonts w:eastAsia="仿宋"/>
          <w:bCs/>
          <w:smallCaps/>
          <w:color w:val="000000"/>
          <w:kern w:val="0"/>
          <w:sz w:val="22"/>
          <w:szCs w:val="22"/>
          <w:lang w:val="zh-CN" w:eastAsia="zh-CN"/>
        </w:rPr>
        <w:tab/>
      </w:r>
      <w:r>
        <w:rPr>
          <w:rFonts w:eastAsia="仿宋"/>
          <w:bCs/>
          <w:smallCaps/>
          <w:color w:val="000000"/>
          <w:kern w:val="0"/>
          <w:sz w:val="22"/>
          <w:szCs w:val="22"/>
          <w:lang w:val="zh-CN" w:eastAsia="zh-CN"/>
        </w:rPr>
        <w:fldChar w:fldCharType="begin"/>
      </w:r>
      <w:r>
        <w:rPr>
          <w:rFonts w:eastAsia="仿宋"/>
          <w:bCs/>
          <w:smallCaps/>
          <w:color w:val="000000"/>
          <w:kern w:val="0"/>
          <w:sz w:val="22"/>
          <w:szCs w:val="22"/>
          <w:lang w:val="zh-CN" w:eastAsia="zh-CN"/>
        </w:rPr>
        <w:instrText xml:space="preserve"> PAGEREF _Toc25842003 \h </w:instrText>
      </w:r>
      <w:r>
        <w:rPr>
          <w:rFonts w:eastAsia="仿宋"/>
          <w:bCs/>
          <w:smallCaps/>
          <w:color w:val="000000"/>
          <w:kern w:val="0"/>
          <w:sz w:val="22"/>
          <w:szCs w:val="22"/>
          <w:lang w:val="zh-CN" w:eastAsia="zh-CN"/>
        </w:rPr>
        <w:fldChar w:fldCharType="separate"/>
      </w:r>
      <w:r>
        <w:rPr>
          <w:rFonts w:eastAsia="仿宋"/>
          <w:bCs/>
          <w:smallCaps/>
          <w:color w:val="000000"/>
          <w:kern w:val="0"/>
          <w:sz w:val="22"/>
          <w:szCs w:val="22"/>
          <w:lang w:val="zh-CN" w:eastAsia="zh-CN"/>
        </w:rPr>
        <w:t>59</w:t>
      </w:r>
      <w:r>
        <w:rPr>
          <w:rFonts w:eastAsia="仿宋"/>
          <w:bCs/>
          <w:smallCaps/>
          <w:color w:val="000000"/>
          <w:kern w:val="0"/>
          <w:sz w:val="22"/>
          <w:szCs w:val="22"/>
          <w:lang w:val="zh-CN" w:eastAsia="zh-CN"/>
        </w:rPr>
        <w:fldChar w:fldCharType="end"/>
      </w:r>
      <w:r>
        <w:rPr>
          <w:rFonts w:eastAsia="仿宋"/>
          <w:bCs/>
          <w:smallCaps/>
          <w:color w:val="000000"/>
          <w:kern w:val="0"/>
          <w:sz w:val="22"/>
          <w:szCs w:val="22"/>
          <w:lang w:val="zh-CN" w:eastAsia="zh-CN"/>
        </w:rPr>
        <w:fldChar w:fldCharType="end"/>
      </w:r>
    </w:p>
    <w:p>
      <w:pPr>
        <w:tabs>
          <w:tab w:val="right" w:leader="dot" w:pos="8296"/>
        </w:tabs>
        <w:spacing w:line="360" w:lineRule="exact"/>
        <w:ind w:left="210"/>
        <w:jc w:val="left"/>
        <w:rPr>
          <w:color w:val="000000"/>
          <w:szCs w:val="22"/>
        </w:rPr>
      </w:pPr>
      <w:r>
        <w:fldChar w:fldCharType="begin"/>
      </w:r>
      <w:r>
        <w:instrText xml:space="preserve"> HYPERLINK \l "_Toc25842004" </w:instrText>
      </w:r>
      <w:r>
        <w:fldChar w:fldCharType="separate"/>
      </w:r>
      <w:r>
        <w:rPr>
          <w:rFonts w:eastAsia="仿宋_GB2312"/>
          <w:bCs/>
          <w:smallCaps/>
          <w:color w:val="000000"/>
          <w:kern w:val="0"/>
          <w:sz w:val="22"/>
          <w:szCs w:val="22"/>
          <w:lang w:val="zh-CN" w:eastAsia="zh-CN"/>
        </w:rPr>
        <w:t>三、 组合策略保证金管理</w:t>
      </w:r>
      <w:r>
        <w:rPr>
          <w:rFonts w:eastAsia="仿宋"/>
          <w:bCs/>
          <w:smallCaps/>
          <w:color w:val="000000"/>
          <w:kern w:val="0"/>
          <w:sz w:val="22"/>
          <w:szCs w:val="22"/>
          <w:lang w:val="zh-CN" w:eastAsia="zh-CN"/>
        </w:rPr>
        <w:tab/>
      </w:r>
      <w:r>
        <w:rPr>
          <w:rFonts w:eastAsia="仿宋"/>
          <w:bCs/>
          <w:smallCaps/>
          <w:color w:val="000000"/>
          <w:kern w:val="0"/>
          <w:sz w:val="22"/>
          <w:szCs w:val="22"/>
          <w:lang w:val="zh-CN" w:eastAsia="zh-CN"/>
        </w:rPr>
        <w:fldChar w:fldCharType="begin"/>
      </w:r>
      <w:r>
        <w:rPr>
          <w:rFonts w:eastAsia="仿宋"/>
          <w:bCs/>
          <w:smallCaps/>
          <w:color w:val="000000"/>
          <w:kern w:val="0"/>
          <w:sz w:val="22"/>
          <w:szCs w:val="22"/>
          <w:lang w:val="zh-CN" w:eastAsia="zh-CN"/>
        </w:rPr>
        <w:instrText xml:space="preserve"> PAGEREF _Toc25842004 \h </w:instrText>
      </w:r>
      <w:r>
        <w:rPr>
          <w:rFonts w:eastAsia="仿宋"/>
          <w:bCs/>
          <w:smallCaps/>
          <w:color w:val="000000"/>
          <w:kern w:val="0"/>
          <w:sz w:val="22"/>
          <w:szCs w:val="22"/>
          <w:lang w:val="zh-CN" w:eastAsia="zh-CN"/>
        </w:rPr>
        <w:fldChar w:fldCharType="separate"/>
      </w:r>
      <w:r>
        <w:rPr>
          <w:rFonts w:eastAsia="仿宋"/>
          <w:bCs/>
          <w:smallCaps/>
          <w:color w:val="000000"/>
          <w:kern w:val="0"/>
          <w:sz w:val="22"/>
          <w:szCs w:val="22"/>
          <w:lang w:val="zh-CN" w:eastAsia="zh-CN"/>
        </w:rPr>
        <w:t>61</w:t>
      </w:r>
      <w:r>
        <w:rPr>
          <w:rFonts w:eastAsia="仿宋"/>
          <w:bCs/>
          <w:smallCaps/>
          <w:color w:val="000000"/>
          <w:kern w:val="0"/>
          <w:sz w:val="22"/>
          <w:szCs w:val="22"/>
          <w:lang w:val="zh-CN" w:eastAsia="zh-CN"/>
        </w:rPr>
        <w:fldChar w:fldCharType="end"/>
      </w:r>
      <w:r>
        <w:rPr>
          <w:rFonts w:eastAsia="仿宋"/>
          <w:bCs/>
          <w:smallCaps/>
          <w:color w:val="000000"/>
          <w:kern w:val="0"/>
          <w:sz w:val="22"/>
          <w:szCs w:val="22"/>
          <w:lang w:val="zh-CN" w:eastAsia="zh-CN"/>
        </w:rPr>
        <w:fldChar w:fldCharType="end"/>
      </w:r>
    </w:p>
    <w:p>
      <w:pPr>
        <w:tabs>
          <w:tab w:val="right" w:leader="dot" w:pos="8296"/>
        </w:tabs>
        <w:spacing w:line="360" w:lineRule="exact"/>
        <w:jc w:val="left"/>
        <w:rPr>
          <w:color w:val="000000"/>
          <w:szCs w:val="22"/>
        </w:rPr>
      </w:pPr>
      <w:r>
        <w:fldChar w:fldCharType="begin"/>
      </w:r>
      <w:r>
        <w:instrText xml:space="preserve"> HYPERLINK \l "_Toc25842005" </w:instrText>
      </w:r>
      <w:r>
        <w:fldChar w:fldCharType="separate"/>
      </w:r>
      <w:r>
        <w:rPr>
          <w:rFonts w:eastAsia="黑体"/>
          <w:bCs/>
          <w:caps/>
          <w:color w:val="000000"/>
          <w:sz w:val="22"/>
          <w:szCs w:val="22"/>
        </w:rPr>
        <w:t>第七章 资金风险管理</w:t>
      </w:r>
      <w:r>
        <w:rPr>
          <w:rFonts w:eastAsia="黑体"/>
          <w:bCs/>
          <w:caps/>
          <w:color w:val="000000"/>
          <w:sz w:val="22"/>
          <w:szCs w:val="22"/>
        </w:rPr>
        <w:tab/>
      </w:r>
      <w:r>
        <w:rPr>
          <w:rFonts w:eastAsia="黑体"/>
          <w:bCs/>
          <w:caps/>
          <w:color w:val="000000"/>
          <w:sz w:val="22"/>
          <w:szCs w:val="22"/>
        </w:rPr>
        <w:fldChar w:fldCharType="begin"/>
      </w:r>
      <w:r>
        <w:rPr>
          <w:rFonts w:eastAsia="黑体"/>
          <w:bCs/>
          <w:caps/>
          <w:color w:val="000000"/>
          <w:sz w:val="22"/>
          <w:szCs w:val="22"/>
        </w:rPr>
        <w:instrText xml:space="preserve"> PAGEREF _Toc25842005 \h </w:instrText>
      </w:r>
      <w:r>
        <w:rPr>
          <w:rFonts w:eastAsia="黑体"/>
          <w:bCs/>
          <w:caps/>
          <w:color w:val="000000"/>
          <w:sz w:val="22"/>
          <w:szCs w:val="22"/>
        </w:rPr>
        <w:fldChar w:fldCharType="separate"/>
      </w:r>
      <w:r>
        <w:rPr>
          <w:rFonts w:eastAsia="黑体"/>
          <w:bCs/>
          <w:caps/>
          <w:color w:val="000000"/>
          <w:sz w:val="22"/>
          <w:szCs w:val="22"/>
        </w:rPr>
        <w:t>64</w:t>
      </w:r>
      <w:r>
        <w:rPr>
          <w:rFonts w:eastAsia="黑体"/>
          <w:bCs/>
          <w:caps/>
          <w:color w:val="000000"/>
          <w:sz w:val="22"/>
          <w:szCs w:val="22"/>
        </w:rPr>
        <w:fldChar w:fldCharType="end"/>
      </w:r>
      <w:r>
        <w:rPr>
          <w:rFonts w:eastAsia="黑体"/>
          <w:bCs/>
          <w:caps/>
          <w:color w:val="000000"/>
          <w:sz w:val="22"/>
          <w:szCs w:val="22"/>
        </w:rPr>
        <w:fldChar w:fldCharType="end"/>
      </w:r>
    </w:p>
    <w:p>
      <w:pPr>
        <w:tabs>
          <w:tab w:val="right" w:leader="dot" w:pos="8296"/>
        </w:tabs>
        <w:spacing w:line="360" w:lineRule="exact"/>
        <w:ind w:left="210"/>
        <w:jc w:val="left"/>
        <w:rPr>
          <w:color w:val="000000"/>
          <w:szCs w:val="22"/>
        </w:rPr>
      </w:pPr>
      <w:r>
        <w:fldChar w:fldCharType="begin"/>
      </w:r>
      <w:r>
        <w:instrText xml:space="preserve"> HYPERLINK \l "_Toc25842006" </w:instrText>
      </w:r>
      <w:r>
        <w:fldChar w:fldCharType="separate"/>
      </w:r>
      <w:r>
        <w:rPr>
          <w:rFonts w:eastAsia="仿宋_GB2312"/>
          <w:bCs/>
          <w:smallCaps/>
          <w:color w:val="000000"/>
          <w:kern w:val="0"/>
          <w:sz w:val="22"/>
          <w:szCs w:val="22"/>
          <w:lang w:val="zh-CN" w:eastAsia="zh-CN"/>
        </w:rPr>
        <w:t>一、 资金盯市管理</w:t>
      </w:r>
      <w:r>
        <w:rPr>
          <w:rFonts w:eastAsia="仿宋"/>
          <w:bCs/>
          <w:smallCaps/>
          <w:color w:val="000000"/>
          <w:kern w:val="0"/>
          <w:sz w:val="22"/>
          <w:szCs w:val="22"/>
          <w:lang w:val="zh-CN" w:eastAsia="zh-CN"/>
        </w:rPr>
        <w:tab/>
      </w:r>
      <w:r>
        <w:rPr>
          <w:rFonts w:eastAsia="仿宋"/>
          <w:bCs/>
          <w:smallCaps/>
          <w:color w:val="000000"/>
          <w:kern w:val="0"/>
          <w:sz w:val="22"/>
          <w:szCs w:val="22"/>
          <w:lang w:val="zh-CN" w:eastAsia="zh-CN"/>
        </w:rPr>
        <w:fldChar w:fldCharType="begin"/>
      </w:r>
      <w:r>
        <w:rPr>
          <w:rFonts w:eastAsia="仿宋"/>
          <w:bCs/>
          <w:smallCaps/>
          <w:color w:val="000000"/>
          <w:kern w:val="0"/>
          <w:sz w:val="22"/>
          <w:szCs w:val="22"/>
          <w:lang w:val="zh-CN" w:eastAsia="zh-CN"/>
        </w:rPr>
        <w:instrText xml:space="preserve"> PAGEREF _Toc25842006 \h </w:instrText>
      </w:r>
      <w:r>
        <w:rPr>
          <w:rFonts w:eastAsia="仿宋"/>
          <w:bCs/>
          <w:smallCaps/>
          <w:color w:val="000000"/>
          <w:kern w:val="0"/>
          <w:sz w:val="22"/>
          <w:szCs w:val="22"/>
          <w:lang w:val="zh-CN" w:eastAsia="zh-CN"/>
        </w:rPr>
        <w:fldChar w:fldCharType="separate"/>
      </w:r>
      <w:r>
        <w:rPr>
          <w:rFonts w:eastAsia="仿宋"/>
          <w:bCs/>
          <w:smallCaps/>
          <w:color w:val="000000"/>
          <w:kern w:val="0"/>
          <w:sz w:val="22"/>
          <w:szCs w:val="22"/>
          <w:lang w:val="zh-CN" w:eastAsia="zh-CN"/>
        </w:rPr>
        <w:t>64</w:t>
      </w:r>
      <w:r>
        <w:rPr>
          <w:rFonts w:eastAsia="仿宋"/>
          <w:bCs/>
          <w:smallCaps/>
          <w:color w:val="000000"/>
          <w:kern w:val="0"/>
          <w:sz w:val="22"/>
          <w:szCs w:val="22"/>
          <w:lang w:val="zh-CN" w:eastAsia="zh-CN"/>
        </w:rPr>
        <w:fldChar w:fldCharType="end"/>
      </w:r>
      <w:r>
        <w:rPr>
          <w:rFonts w:eastAsia="仿宋"/>
          <w:bCs/>
          <w:smallCaps/>
          <w:color w:val="000000"/>
          <w:kern w:val="0"/>
          <w:sz w:val="22"/>
          <w:szCs w:val="22"/>
          <w:lang w:val="zh-CN" w:eastAsia="zh-CN"/>
        </w:rPr>
        <w:fldChar w:fldCharType="end"/>
      </w:r>
    </w:p>
    <w:p>
      <w:pPr>
        <w:tabs>
          <w:tab w:val="right" w:leader="dot" w:pos="8296"/>
        </w:tabs>
        <w:spacing w:line="360" w:lineRule="exact"/>
        <w:ind w:left="210"/>
        <w:jc w:val="left"/>
        <w:rPr>
          <w:color w:val="000000"/>
          <w:szCs w:val="22"/>
        </w:rPr>
      </w:pPr>
      <w:r>
        <w:fldChar w:fldCharType="begin"/>
      </w:r>
      <w:r>
        <w:instrText xml:space="preserve"> HYPERLINK \l "_Toc25842007" </w:instrText>
      </w:r>
      <w:r>
        <w:fldChar w:fldCharType="separate"/>
      </w:r>
      <w:r>
        <w:rPr>
          <w:rFonts w:eastAsia="仿宋_GB2312"/>
          <w:bCs/>
          <w:smallCaps/>
          <w:color w:val="000000"/>
          <w:kern w:val="0"/>
          <w:sz w:val="22"/>
          <w:szCs w:val="22"/>
          <w:lang w:val="zh-CN" w:eastAsia="zh-CN"/>
        </w:rPr>
        <w:t>二、 资金划拨应急处理</w:t>
      </w:r>
      <w:r>
        <w:rPr>
          <w:rFonts w:eastAsia="仿宋"/>
          <w:bCs/>
          <w:smallCaps/>
          <w:color w:val="000000"/>
          <w:kern w:val="0"/>
          <w:sz w:val="22"/>
          <w:szCs w:val="22"/>
          <w:lang w:val="zh-CN" w:eastAsia="zh-CN"/>
        </w:rPr>
        <w:tab/>
      </w:r>
      <w:r>
        <w:rPr>
          <w:rFonts w:eastAsia="仿宋"/>
          <w:bCs/>
          <w:smallCaps/>
          <w:color w:val="000000"/>
          <w:kern w:val="0"/>
          <w:sz w:val="22"/>
          <w:szCs w:val="22"/>
          <w:lang w:val="zh-CN" w:eastAsia="zh-CN"/>
        </w:rPr>
        <w:fldChar w:fldCharType="begin"/>
      </w:r>
      <w:r>
        <w:rPr>
          <w:rFonts w:eastAsia="仿宋"/>
          <w:bCs/>
          <w:smallCaps/>
          <w:color w:val="000000"/>
          <w:kern w:val="0"/>
          <w:sz w:val="22"/>
          <w:szCs w:val="22"/>
          <w:lang w:val="zh-CN" w:eastAsia="zh-CN"/>
        </w:rPr>
        <w:instrText xml:space="preserve"> PAGEREF _Toc25842007 \h </w:instrText>
      </w:r>
      <w:r>
        <w:rPr>
          <w:rFonts w:eastAsia="仿宋"/>
          <w:bCs/>
          <w:smallCaps/>
          <w:color w:val="000000"/>
          <w:kern w:val="0"/>
          <w:sz w:val="22"/>
          <w:szCs w:val="22"/>
          <w:lang w:val="zh-CN" w:eastAsia="zh-CN"/>
        </w:rPr>
        <w:fldChar w:fldCharType="separate"/>
      </w:r>
      <w:r>
        <w:rPr>
          <w:rFonts w:eastAsia="仿宋"/>
          <w:bCs/>
          <w:smallCaps/>
          <w:color w:val="000000"/>
          <w:kern w:val="0"/>
          <w:sz w:val="22"/>
          <w:szCs w:val="22"/>
          <w:lang w:val="zh-CN" w:eastAsia="zh-CN"/>
        </w:rPr>
        <w:t>68</w:t>
      </w:r>
      <w:r>
        <w:rPr>
          <w:rFonts w:eastAsia="仿宋"/>
          <w:bCs/>
          <w:smallCaps/>
          <w:color w:val="000000"/>
          <w:kern w:val="0"/>
          <w:sz w:val="22"/>
          <w:szCs w:val="22"/>
          <w:lang w:val="zh-CN" w:eastAsia="zh-CN"/>
        </w:rPr>
        <w:fldChar w:fldCharType="end"/>
      </w:r>
      <w:r>
        <w:rPr>
          <w:rFonts w:eastAsia="仿宋"/>
          <w:bCs/>
          <w:smallCaps/>
          <w:color w:val="000000"/>
          <w:kern w:val="0"/>
          <w:sz w:val="22"/>
          <w:szCs w:val="22"/>
          <w:lang w:val="zh-CN" w:eastAsia="zh-CN"/>
        </w:rPr>
        <w:fldChar w:fldCharType="end"/>
      </w:r>
    </w:p>
    <w:p>
      <w:pPr>
        <w:tabs>
          <w:tab w:val="right" w:leader="dot" w:pos="8296"/>
        </w:tabs>
        <w:spacing w:line="360" w:lineRule="exact"/>
        <w:jc w:val="left"/>
        <w:rPr>
          <w:color w:val="000000"/>
          <w:szCs w:val="22"/>
        </w:rPr>
      </w:pPr>
      <w:r>
        <w:fldChar w:fldCharType="begin"/>
      </w:r>
      <w:r>
        <w:instrText xml:space="preserve"> HYPERLINK \l "_Toc25842008" </w:instrText>
      </w:r>
      <w:r>
        <w:fldChar w:fldCharType="separate"/>
      </w:r>
      <w:r>
        <w:rPr>
          <w:rFonts w:eastAsia="黑体"/>
          <w:bCs/>
          <w:caps/>
          <w:color w:val="000000"/>
          <w:sz w:val="22"/>
          <w:szCs w:val="22"/>
        </w:rPr>
        <w:t>第八章 强行平仓管理</w:t>
      </w:r>
      <w:r>
        <w:rPr>
          <w:rFonts w:eastAsia="黑体"/>
          <w:bCs/>
          <w:caps/>
          <w:color w:val="000000"/>
          <w:sz w:val="22"/>
          <w:szCs w:val="22"/>
        </w:rPr>
        <w:tab/>
      </w:r>
      <w:r>
        <w:rPr>
          <w:rFonts w:eastAsia="黑体"/>
          <w:bCs/>
          <w:caps/>
          <w:color w:val="000000"/>
          <w:sz w:val="22"/>
          <w:szCs w:val="22"/>
        </w:rPr>
        <w:fldChar w:fldCharType="begin"/>
      </w:r>
      <w:r>
        <w:rPr>
          <w:rFonts w:eastAsia="黑体"/>
          <w:bCs/>
          <w:caps/>
          <w:color w:val="000000"/>
          <w:sz w:val="22"/>
          <w:szCs w:val="22"/>
        </w:rPr>
        <w:instrText xml:space="preserve"> PAGEREF _Toc25842008 \h </w:instrText>
      </w:r>
      <w:r>
        <w:rPr>
          <w:rFonts w:eastAsia="黑体"/>
          <w:bCs/>
          <w:caps/>
          <w:color w:val="000000"/>
          <w:sz w:val="22"/>
          <w:szCs w:val="22"/>
        </w:rPr>
        <w:fldChar w:fldCharType="separate"/>
      </w:r>
      <w:r>
        <w:rPr>
          <w:rFonts w:eastAsia="黑体"/>
          <w:bCs/>
          <w:caps/>
          <w:color w:val="000000"/>
          <w:sz w:val="22"/>
          <w:szCs w:val="22"/>
        </w:rPr>
        <w:t>69</w:t>
      </w:r>
      <w:r>
        <w:rPr>
          <w:rFonts w:eastAsia="黑体"/>
          <w:bCs/>
          <w:caps/>
          <w:color w:val="000000"/>
          <w:sz w:val="22"/>
          <w:szCs w:val="22"/>
        </w:rPr>
        <w:fldChar w:fldCharType="end"/>
      </w:r>
      <w:r>
        <w:rPr>
          <w:rFonts w:eastAsia="黑体"/>
          <w:bCs/>
          <w:caps/>
          <w:color w:val="000000"/>
          <w:sz w:val="22"/>
          <w:szCs w:val="22"/>
        </w:rPr>
        <w:fldChar w:fldCharType="end"/>
      </w:r>
    </w:p>
    <w:p>
      <w:pPr>
        <w:tabs>
          <w:tab w:val="right" w:leader="dot" w:pos="8296"/>
        </w:tabs>
        <w:spacing w:line="360" w:lineRule="exact"/>
        <w:ind w:left="210"/>
        <w:jc w:val="left"/>
        <w:rPr>
          <w:color w:val="000000"/>
          <w:szCs w:val="22"/>
        </w:rPr>
      </w:pPr>
      <w:r>
        <w:fldChar w:fldCharType="begin"/>
      </w:r>
      <w:r>
        <w:instrText xml:space="preserve"> HYPERLINK \l "_Toc25842009" </w:instrText>
      </w:r>
      <w:r>
        <w:fldChar w:fldCharType="separate"/>
      </w:r>
      <w:r>
        <w:rPr>
          <w:rFonts w:eastAsia="仿宋_GB2312"/>
          <w:bCs/>
          <w:smallCaps/>
          <w:color w:val="000000"/>
          <w:kern w:val="0"/>
          <w:sz w:val="22"/>
          <w:szCs w:val="22"/>
          <w:lang w:val="zh-CN" w:eastAsia="zh-CN"/>
        </w:rPr>
        <w:t>一、 保证金不足强行平仓</w:t>
      </w:r>
      <w:r>
        <w:rPr>
          <w:rFonts w:eastAsia="仿宋"/>
          <w:bCs/>
          <w:smallCaps/>
          <w:color w:val="000000"/>
          <w:kern w:val="0"/>
          <w:sz w:val="22"/>
          <w:szCs w:val="22"/>
          <w:lang w:val="zh-CN" w:eastAsia="zh-CN"/>
        </w:rPr>
        <w:tab/>
      </w:r>
      <w:r>
        <w:rPr>
          <w:rFonts w:eastAsia="仿宋"/>
          <w:bCs/>
          <w:smallCaps/>
          <w:color w:val="000000"/>
          <w:kern w:val="0"/>
          <w:sz w:val="22"/>
          <w:szCs w:val="22"/>
          <w:lang w:val="zh-CN" w:eastAsia="zh-CN"/>
        </w:rPr>
        <w:fldChar w:fldCharType="begin"/>
      </w:r>
      <w:r>
        <w:rPr>
          <w:rFonts w:eastAsia="仿宋"/>
          <w:bCs/>
          <w:smallCaps/>
          <w:color w:val="000000"/>
          <w:kern w:val="0"/>
          <w:sz w:val="22"/>
          <w:szCs w:val="22"/>
          <w:lang w:val="zh-CN" w:eastAsia="zh-CN"/>
        </w:rPr>
        <w:instrText xml:space="preserve"> PAGEREF _Toc25842009 \h </w:instrText>
      </w:r>
      <w:r>
        <w:rPr>
          <w:rFonts w:eastAsia="仿宋"/>
          <w:bCs/>
          <w:smallCaps/>
          <w:color w:val="000000"/>
          <w:kern w:val="0"/>
          <w:sz w:val="22"/>
          <w:szCs w:val="22"/>
          <w:lang w:val="zh-CN" w:eastAsia="zh-CN"/>
        </w:rPr>
        <w:fldChar w:fldCharType="separate"/>
      </w:r>
      <w:r>
        <w:rPr>
          <w:rFonts w:eastAsia="仿宋"/>
          <w:bCs/>
          <w:smallCaps/>
          <w:color w:val="000000"/>
          <w:kern w:val="0"/>
          <w:sz w:val="22"/>
          <w:szCs w:val="22"/>
          <w:lang w:val="zh-CN" w:eastAsia="zh-CN"/>
        </w:rPr>
        <w:t>69</w:t>
      </w:r>
      <w:r>
        <w:rPr>
          <w:rFonts w:eastAsia="仿宋"/>
          <w:bCs/>
          <w:smallCaps/>
          <w:color w:val="000000"/>
          <w:kern w:val="0"/>
          <w:sz w:val="22"/>
          <w:szCs w:val="22"/>
          <w:lang w:val="zh-CN" w:eastAsia="zh-CN"/>
        </w:rPr>
        <w:fldChar w:fldCharType="end"/>
      </w:r>
      <w:r>
        <w:rPr>
          <w:rFonts w:eastAsia="仿宋"/>
          <w:bCs/>
          <w:smallCaps/>
          <w:color w:val="000000"/>
          <w:kern w:val="0"/>
          <w:sz w:val="22"/>
          <w:szCs w:val="22"/>
          <w:lang w:val="zh-CN" w:eastAsia="zh-CN"/>
        </w:rPr>
        <w:fldChar w:fldCharType="end"/>
      </w:r>
    </w:p>
    <w:p>
      <w:pPr>
        <w:tabs>
          <w:tab w:val="right" w:leader="dot" w:pos="8296"/>
        </w:tabs>
        <w:spacing w:line="360" w:lineRule="exact"/>
        <w:ind w:left="210"/>
        <w:jc w:val="left"/>
        <w:rPr>
          <w:color w:val="000000"/>
          <w:szCs w:val="22"/>
        </w:rPr>
      </w:pPr>
      <w:r>
        <w:fldChar w:fldCharType="begin"/>
      </w:r>
      <w:r>
        <w:instrText xml:space="preserve"> HYPERLINK \l "_Toc25842010" </w:instrText>
      </w:r>
      <w:r>
        <w:fldChar w:fldCharType="separate"/>
      </w:r>
      <w:r>
        <w:rPr>
          <w:rFonts w:eastAsia="仿宋_GB2312"/>
          <w:bCs/>
          <w:smallCaps/>
          <w:color w:val="000000"/>
          <w:kern w:val="0"/>
          <w:sz w:val="22"/>
          <w:szCs w:val="22"/>
          <w:lang w:val="zh-CN" w:eastAsia="zh-CN"/>
        </w:rPr>
        <w:t>二、 备兑不足转普通仓的强行平仓</w:t>
      </w:r>
      <w:r>
        <w:rPr>
          <w:rFonts w:eastAsia="仿宋"/>
          <w:bCs/>
          <w:smallCaps/>
          <w:color w:val="000000"/>
          <w:kern w:val="0"/>
          <w:sz w:val="22"/>
          <w:szCs w:val="22"/>
          <w:lang w:val="zh-CN" w:eastAsia="zh-CN"/>
        </w:rPr>
        <w:tab/>
      </w:r>
      <w:r>
        <w:rPr>
          <w:rFonts w:eastAsia="仿宋"/>
          <w:bCs/>
          <w:smallCaps/>
          <w:color w:val="000000"/>
          <w:kern w:val="0"/>
          <w:sz w:val="22"/>
          <w:szCs w:val="22"/>
          <w:lang w:val="zh-CN" w:eastAsia="zh-CN"/>
        </w:rPr>
        <w:fldChar w:fldCharType="begin"/>
      </w:r>
      <w:r>
        <w:rPr>
          <w:rFonts w:eastAsia="仿宋"/>
          <w:bCs/>
          <w:smallCaps/>
          <w:color w:val="000000"/>
          <w:kern w:val="0"/>
          <w:sz w:val="22"/>
          <w:szCs w:val="22"/>
          <w:lang w:val="zh-CN" w:eastAsia="zh-CN"/>
        </w:rPr>
        <w:instrText xml:space="preserve"> PAGEREF _Toc25842010 \h </w:instrText>
      </w:r>
      <w:r>
        <w:rPr>
          <w:rFonts w:eastAsia="仿宋"/>
          <w:bCs/>
          <w:smallCaps/>
          <w:color w:val="000000"/>
          <w:kern w:val="0"/>
          <w:sz w:val="22"/>
          <w:szCs w:val="22"/>
          <w:lang w:val="zh-CN" w:eastAsia="zh-CN"/>
        </w:rPr>
        <w:fldChar w:fldCharType="separate"/>
      </w:r>
      <w:r>
        <w:rPr>
          <w:rFonts w:eastAsia="仿宋"/>
          <w:bCs/>
          <w:smallCaps/>
          <w:color w:val="000000"/>
          <w:kern w:val="0"/>
          <w:sz w:val="22"/>
          <w:szCs w:val="22"/>
          <w:lang w:val="zh-CN" w:eastAsia="zh-CN"/>
        </w:rPr>
        <w:t>72</w:t>
      </w:r>
      <w:r>
        <w:rPr>
          <w:rFonts w:eastAsia="仿宋"/>
          <w:bCs/>
          <w:smallCaps/>
          <w:color w:val="000000"/>
          <w:kern w:val="0"/>
          <w:sz w:val="22"/>
          <w:szCs w:val="22"/>
          <w:lang w:val="zh-CN" w:eastAsia="zh-CN"/>
        </w:rPr>
        <w:fldChar w:fldCharType="end"/>
      </w:r>
      <w:r>
        <w:rPr>
          <w:rFonts w:eastAsia="仿宋"/>
          <w:bCs/>
          <w:smallCaps/>
          <w:color w:val="000000"/>
          <w:kern w:val="0"/>
          <w:sz w:val="22"/>
          <w:szCs w:val="22"/>
          <w:lang w:val="zh-CN" w:eastAsia="zh-CN"/>
        </w:rPr>
        <w:fldChar w:fldCharType="end"/>
      </w:r>
    </w:p>
    <w:p>
      <w:pPr>
        <w:tabs>
          <w:tab w:val="right" w:leader="dot" w:pos="8296"/>
        </w:tabs>
        <w:spacing w:line="360" w:lineRule="exact"/>
        <w:ind w:left="210"/>
        <w:jc w:val="left"/>
        <w:rPr>
          <w:color w:val="000000"/>
          <w:szCs w:val="22"/>
        </w:rPr>
      </w:pPr>
      <w:r>
        <w:fldChar w:fldCharType="begin"/>
      </w:r>
      <w:r>
        <w:instrText xml:space="preserve"> HYPERLINK \l "_Toc25842011" </w:instrText>
      </w:r>
      <w:r>
        <w:fldChar w:fldCharType="separate"/>
      </w:r>
      <w:r>
        <w:rPr>
          <w:rFonts w:eastAsia="仿宋_GB2312"/>
          <w:bCs/>
          <w:smallCaps/>
          <w:color w:val="000000"/>
          <w:kern w:val="0"/>
          <w:sz w:val="22"/>
          <w:szCs w:val="22"/>
          <w:lang w:val="zh-CN" w:eastAsia="zh-CN"/>
        </w:rPr>
        <w:t>三、 持仓超限平仓</w:t>
      </w:r>
      <w:r>
        <w:rPr>
          <w:rFonts w:eastAsia="仿宋"/>
          <w:bCs/>
          <w:smallCaps/>
          <w:color w:val="000000"/>
          <w:kern w:val="0"/>
          <w:sz w:val="22"/>
          <w:szCs w:val="22"/>
          <w:lang w:val="zh-CN" w:eastAsia="zh-CN"/>
        </w:rPr>
        <w:tab/>
      </w:r>
      <w:r>
        <w:rPr>
          <w:rFonts w:eastAsia="仿宋"/>
          <w:bCs/>
          <w:smallCaps/>
          <w:color w:val="000000"/>
          <w:kern w:val="0"/>
          <w:sz w:val="22"/>
          <w:szCs w:val="22"/>
          <w:lang w:val="zh-CN" w:eastAsia="zh-CN"/>
        </w:rPr>
        <w:fldChar w:fldCharType="begin"/>
      </w:r>
      <w:r>
        <w:rPr>
          <w:rFonts w:eastAsia="仿宋"/>
          <w:bCs/>
          <w:smallCaps/>
          <w:color w:val="000000"/>
          <w:kern w:val="0"/>
          <w:sz w:val="22"/>
          <w:szCs w:val="22"/>
          <w:lang w:val="zh-CN" w:eastAsia="zh-CN"/>
        </w:rPr>
        <w:instrText xml:space="preserve"> PAGEREF _Toc25842011 \h </w:instrText>
      </w:r>
      <w:r>
        <w:rPr>
          <w:rFonts w:eastAsia="仿宋"/>
          <w:bCs/>
          <w:smallCaps/>
          <w:color w:val="000000"/>
          <w:kern w:val="0"/>
          <w:sz w:val="22"/>
          <w:szCs w:val="22"/>
          <w:lang w:val="zh-CN" w:eastAsia="zh-CN"/>
        </w:rPr>
        <w:fldChar w:fldCharType="separate"/>
      </w:r>
      <w:r>
        <w:rPr>
          <w:rFonts w:eastAsia="仿宋"/>
          <w:bCs/>
          <w:smallCaps/>
          <w:color w:val="000000"/>
          <w:kern w:val="0"/>
          <w:sz w:val="22"/>
          <w:szCs w:val="22"/>
          <w:lang w:val="zh-CN" w:eastAsia="zh-CN"/>
        </w:rPr>
        <w:t>73</w:t>
      </w:r>
      <w:r>
        <w:rPr>
          <w:rFonts w:eastAsia="仿宋"/>
          <w:bCs/>
          <w:smallCaps/>
          <w:color w:val="000000"/>
          <w:kern w:val="0"/>
          <w:sz w:val="22"/>
          <w:szCs w:val="22"/>
          <w:lang w:val="zh-CN" w:eastAsia="zh-CN"/>
        </w:rPr>
        <w:fldChar w:fldCharType="end"/>
      </w:r>
      <w:r>
        <w:rPr>
          <w:rFonts w:eastAsia="仿宋"/>
          <w:bCs/>
          <w:smallCaps/>
          <w:color w:val="000000"/>
          <w:kern w:val="0"/>
          <w:sz w:val="22"/>
          <w:szCs w:val="22"/>
          <w:lang w:val="zh-CN" w:eastAsia="zh-CN"/>
        </w:rPr>
        <w:fldChar w:fldCharType="end"/>
      </w:r>
    </w:p>
    <w:p>
      <w:pPr>
        <w:tabs>
          <w:tab w:val="right" w:leader="dot" w:pos="8296"/>
        </w:tabs>
        <w:spacing w:line="360" w:lineRule="exact"/>
        <w:ind w:left="210"/>
        <w:jc w:val="left"/>
        <w:rPr>
          <w:color w:val="000000"/>
          <w:szCs w:val="22"/>
        </w:rPr>
      </w:pPr>
      <w:r>
        <w:fldChar w:fldCharType="begin"/>
      </w:r>
      <w:r>
        <w:instrText xml:space="preserve"> HYPERLINK \l "_Toc25842012" </w:instrText>
      </w:r>
      <w:r>
        <w:fldChar w:fldCharType="separate"/>
      </w:r>
      <w:r>
        <w:rPr>
          <w:rFonts w:eastAsia="仿宋_GB2312"/>
          <w:bCs/>
          <w:smallCaps/>
          <w:color w:val="000000"/>
          <w:kern w:val="0"/>
          <w:sz w:val="22"/>
          <w:szCs w:val="22"/>
          <w:lang w:val="zh-CN" w:eastAsia="zh-CN"/>
        </w:rPr>
        <w:t>四、 强行平仓申报订单指令</w:t>
      </w:r>
      <w:r>
        <w:rPr>
          <w:rFonts w:eastAsia="仿宋"/>
          <w:bCs/>
          <w:smallCaps/>
          <w:color w:val="000000"/>
          <w:kern w:val="0"/>
          <w:sz w:val="22"/>
          <w:szCs w:val="22"/>
          <w:lang w:val="zh-CN" w:eastAsia="zh-CN"/>
        </w:rPr>
        <w:tab/>
      </w:r>
      <w:r>
        <w:rPr>
          <w:rFonts w:eastAsia="仿宋"/>
          <w:bCs/>
          <w:smallCaps/>
          <w:color w:val="000000"/>
          <w:kern w:val="0"/>
          <w:sz w:val="22"/>
          <w:szCs w:val="22"/>
          <w:lang w:val="zh-CN" w:eastAsia="zh-CN"/>
        </w:rPr>
        <w:fldChar w:fldCharType="begin"/>
      </w:r>
      <w:r>
        <w:rPr>
          <w:rFonts w:eastAsia="仿宋"/>
          <w:bCs/>
          <w:smallCaps/>
          <w:color w:val="000000"/>
          <w:kern w:val="0"/>
          <w:sz w:val="22"/>
          <w:szCs w:val="22"/>
          <w:lang w:val="zh-CN" w:eastAsia="zh-CN"/>
        </w:rPr>
        <w:instrText xml:space="preserve"> PAGEREF _Toc25842012 \h </w:instrText>
      </w:r>
      <w:r>
        <w:rPr>
          <w:rFonts w:eastAsia="仿宋"/>
          <w:bCs/>
          <w:smallCaps/>
          <w:color w:val="000000"/>
          <w:kern w:val="0"/>
          <w:sz w:val="22"/>
          <w:szCs w:val="22"/>
          <w:lang w:val="zh-CN" w:eastAsia="zh-CN"/>
        </w:rPr>
        <w:fldChar w:fldCharType="separate"/>
      </w:r>
      <w:r>
        <w:rPr>
          <w:rFonts w:eastAsia="仿宋"/>
          <w:bCs/>
          <w:smallCaps/>
          <w:color w:val="000000"/>
          <w:kern w:val="0"/>
          <w:sz w:val="22"/>
          <w:szCs w:val="22"/>
          <w:lang w:val="zh-CN" w:eastAsia="zh-CN"/>
        </w:rPr>
        <w:t>75</w:t>
      </w:r>
      <w:r>
        <w:rPr>
          <w:rFonts w:eastAsia="仿宋"/>
          <w:bCs/>
          <w:smallCaps/>
          <w:color w:val="000000"/>
          <w:kern w:val="0"/>
          <w:sz w:val="22"/>
          <w:szCs w:val="22"/>
          <w:lang w:val="zh-CN" w:eastAsia="zh-CN"/>
        </w:rPr>
        <w:fldChar w:fldCharType="end"/>
      </w:r>
      <w:r>
        <w:rPr>
          <w:rFonts w:eastAsia="仿宋"/>
          <w:bCs/>
          <w:smallCaps/>
          <w:color w:val="000000"/>
          <w:kern w:val="0"/>
          <w:sz w:val="22"/>
          <w:szCs w:val="22"/>
          <w:lang w:val="zh-CN" w:eastAsia="zh-CN"/>
        </w:rPr>
        <w:fldChar w:fldCharType="end"/>
      </w:r>
    </w:p>
    <w:p>
      <w:pPr>
        <w:tabs>
          <w:tab w:val="right" w:leader="dot" w:pos="8296"/>
        </w:tabs>
        <w:spacing w:line="360" w:lineRule="exact"/>
        <w:ind w:left="210"/>
        <w:jc w:val="left"/>
        <w:rPr>
          <w:color w:val="000000"/>
          <w:szCs w:val="22"/>
        </w:rPr>
      </w:pPr>
      <w:r>
        <w:fldChar w:fldCharType="begin"/>
      </w:r>
      <w:r>
        <w:instrText xml:space="preserve"> HYPERLINK \l "_Toc25842013" </w:instrText>
      </w:r>
      <w:r>
        <w:fldChar w:fldCharType="separate"/>
      </w:r>
      <w:r>
        <w:rPr>
          <w:rFonts w:eastAsia="仿宋_GB2312"/>
          <w:bCs/>
          <w:smallCaps/>
          <w:color w:val="000000"/>
          <w:kern w:val="0"/>
          <w:sz w:val="22"/>
          <w:szCs w:val="22"/>
          <w:lang w:val="zh-CN" w:eastAsia="zh-CN"/>
        </w:rPr>
        <w:t>五、 平仓操作顺序</w:t>
      </w:r>
      <w:r>
        <w:rPr>
          <w:rFonts w:eastAsia="仿宋"/>
          <w:bCs/>
          <w:smallCaps/>
          <w:color w:val="000000"/>
          <w:kern w:val="0"/>
          <w:sz w:val="22"/>
          <w:szCs w:val="22"/>
          <w:lang w:val="zh-CN" w:eastAsia="zh-CN"/>
        </w:rPr>
        <w:tab/>
      </w:r>
      <w:r>
        <w:rPr>
          <w:rFonts w:eastAsia="仿宋"/>
          <w:bCs/>
          <w:smallCaps/>
          <w:color w:val="000000"/>
          <w:kern w:val="0"/>
          <w:sz w:val="22"/>
          <w:szCs w:val="22"/>
          <w:lang w:val="zh-CN" w:eastAsia="zh-CN"/>
        </w:rPr>
        <w:fldChar w:fldCharType="begin"/>
      </w:r>
      <w:r>
        <w:rPr>
          <w:rFonts w:eastAsia="仿宋"/>
          <w:bCs/>
          <w:smallCaps/>
          <w:color w:val="000000"/>
          <w:kern w:val="0"/>
          <w:sz w:val="22"/>
          <w:szCs w:val="22"/>
          <w:lang w:val="zh-CN" w:eastAsia="zh-CN"/>
        </w:rPr>
        <w:instrText xml:space="preserve"> PAGEREF _Toc25842013 \h </w:instrText>
      </w:r>
      <w:r>
        <w:rPr>
          <w:rFonts w:eastAsia="仿宋"/>
          <w:bCs/>
          <w:smallCaps/>
          <w:color w:val="000000"/>
          <w:kern w:val="0"/>
          <w:sz w:val="22"/>
          <w:szCs w:val="22"/>
          <w:lang w:val="zh-CN" w:eastAsia="zh-CN"/>
        </w:rPr>
        <w:fldChar w:fldCharType="separate"/>
      </w:r>
      <w:r>
        <w:rPr>
          <w:rFonts w:eastAsia="仿宋"/>
          <w:bCs/>
          <w:smallCaps/>
          <w:color w:val="000000"/>
          <w:kern w:val="0"/>
          <w:sz w:val="22"/>
          <w:szCs w:val="22"/>
          <w:lang w:val="zh-CN" w:eastAsia="zh-CN"/>
        </w:rPr>
        <w:t>76</w:t>
      </w:r>
      <w:r>
        <w:rPr>
          <w:rFonts w:eastAsia="仿宋"/>
          <w:bCs/>
          <w:smallCaps/>
          <w:color w:val="000000"/>
          <w:kern w:val="0"/>
          <w:sz w:val="22"/>
          <w:szCs w:val="22"/>
          <w:lang w:val="zh-CN" w:eastAsia="zh-CN"/>
        </w:rPr>
        <w:fldChar w:fldCharType="end"/>
      </w:r>
      <w:r>
        <w:rPr>
          <w:rFonts w:eastAsia="仿宋"/>
          <w:bCs/>
          <w:smallCaps/>
          <w:color w:val="000000"/>
          <w:kern w:val="0"/>
          <w:sz w:val="22"/>
          <w:szCs w:val="22"/>
          <w:lang w:val="zh-CN" w:eastAsia="zh-CN"/>
        </w:rPr>
        <w:fldChar w:fldCharType="end"/>
      </w:r>
    </w:p>
    <w:p>
      <w:pPr>
        <w:tabs>
          <w:tab w:val="right" w:leader="dot" w:pos="8296"/>
        </w:tabs>
        <w:spacing w:line="360" w:lineRule="exact"/>
        <w:ind w:left="210"/>
        <w:jc w:val="left"/>
        <w:rPr>
          <w:color w:val="000000"/>
          <w:szCs w:val="22"/>
        </w:rPr>
      </w:pPr>
      <w:r>
        <w:fldChar w:fldCharType="begin"/>
      </w:r>
      <w:r>
        <w:instrText xml:space="preserve"> HYPERLINK \l "_Toc25842014" </w:instrText>
      </w:r>
      <w:r>
        <w:fldChar w:fldCharType="separate"/>
      </w:r>
      <w:r>
        <w:rPr>
          <w:rFonts w:eastAsia="仿宋_GB2312"/>
          <w:bCs/>
          <w:smallCaps/>
          <w:color w:val="000000"/>
          <w:kern w:val="0"/>
          <w:sz w:val="22"/>
          <w:szCs w:val="22"/>
          <w:lang w:val="zh-CN" w:eastAsia="zh-CN"/>
        </w:rPr>
        <w:t>六、 平仓有关的应急处理</w:t>
      </w:r>
      <w:r>
        <w:rPr>
          <w:rFonts w:eastAsia="仿宋"/>
          <w:bCs/>
          <w:smallCaps/>
          <w:color w:val="000000"/>
          <w:kern w:val="0"/>
          <w:sz w:val="22"/>
          <w:szCs w:val="22"/>
          <w:lang w:val="zh-CN" w:eastAsia="zh-CN"/>
        </w:rPr>
        <w:tab/>
      </w:r>
      <w:r>
        <w:rPr>
          <w:rFonts w:eastAsia="仿宋"/>
          <w:bCs/>
          <w:smallCaps/>
          <w:color w:val="000000"/>
          <w:kern w:val="0"/>
          <w:sz w:val="22"/>
          <w:szCs w:val="22"/>
          <w:lang w:val="zh-CN" w:eastAsia="zh-CN"/>
        </w:rPr>
        <w:fldChar w:fldCharType="begin"/>
      </w:r>
      <w:r>
        <w:rPr>
          <w:rFonts w:eastAsia="仿宋"/>
          <w:bCs/>
          <w:smallCaps/>
          <w:color w:val="000000"/>
          <w:kern w:val="0"/>
          <w:sz w:val="22"/>
          <w:szCs w:val="22"/>
          <w:lang w:val="zh-CN" w:eastAsia="zh-CN"/>
        </w:rPr>
        <w:instrText xml:space="preserve"> PAGEREF _Toc25842014 \h </w:instrText>
      </w:r>
      <w:r>
        <w:rPr>
          <w:rFonts w:eastAsia="仿宋"/>
          <w:bCs/>
          <w:smallCaps/>
          <w:color w:val="000000"/>
          <w:kern w:val="0"/>
          <w:sz w:val="22"/>
          <w:szCs w:val="22"/>
          <w:lang w:val="zh-CN" w:eastAsia="zh-CN"/>
        </w:rPr>
        <w:fldChar w:fldCharType="separate"/>
      </w:r>
      <w:r>
        <w:rPr>
          <w:rFonts w:eastAsia="仿宋"/>
          <w:bCs/>
          <w:smallCaps/>
          <w:color w:val="000000"/>
          <w:kern w:val="0"/>
          <w:sz w:val="22"/>
          <w:szCs w:val="22"/>
          <w:lang w:val="zh-CN" w:eastAsia="zh-CN"/>
        </w:rPr>
        <w:t>76</w:t>
      </w:r>
      <w:r>
        <w:rPr>
          <w:rFonts w:eastAsia="仿宋"/>
          <w:bCs/>
          <w:smallCaps/>
          <w:color w:val="000000"/>
          <w:kern w:val="0"/>
          <w:sz w:val="22"/>
          <w:szCs w:val="22"/>
          <w:lang w:val="zh-CN" w:eastAsia="zh-CN"/>
        </w:rPr>
        <w:fldChar w:fldCharType="end"/>
      </w:r>
      <w:r>
        <w:rPr>
          <w:rFonts w:eastAsia="仿宋"/>
          <w:bCs/>
          <w:smallCaps/>
          <w:color w:val="000000"/>
          <w:kern w:val="0"/>
          <w:sz w:val="22"/>
          <w:szCs w:val="22"/>
          <w:lang w:val="zh-CN" w:eastAsia="zh-CN"/>
        </w:rPr>
        <w:fldChar w:fldCharType="end"/>
      </w:r>
    </w:p>
    <w:p>
      <w:pPr>
        <w:tabs>
          <w:tab w:val="right" w:leader="dot" w:pos="8296"/>
        </w:tabs>
        <w:spacing w:line="360" w:lineRule="exact"/>
        <w:jc w:val="left"/>
        <w:rPr>
          <w:color w:val="000000"/>
          <w:szCs w:val="22"/>
        </w:rPr>
      </w:pPr>
      <w:r>
        <w:fldChar w:fldCharType="begin"/>
      </w:r>
      <w:r>
        <w:instrText xml:space="preserve"> HYPERLINK \l "_Toc25842015" </w:instrText>
      </w:r>
      <w:r>
        <w:fldChar w:fldCharType="separate"/>
      </w:r>
      <w:r>
        <w:rPr>
          <w:rFonts w:eastAsia="黑体"/>
          <w:bCs/>
          <w:caps/>
          <w:color w:val="000000"/>
          <w:sz w:val="22"/>
          <w:szCs w:val="22"/>
        </w:rPr>
        <w:t>第九章 行权交收管理</w:t>
      </w:r>
      <w:r>
        <w:rPr>
          <w:rFonts w:eastAsia="黑体"/>
          <w:bCs/>
          <w:caps/>
          <w:color w:val="000000"/>
          <w:sz w:val="22"/>
          <w:szCs w:val="22"/>
        </w:rPr>
        <w:tab/>
      </w:r>
      <w:r>
        <w:rPr>
          <w:rFonts w:eastAsia="黑体"/>
          <w:bCs/>
          <w:caps/>
          <w:color w:val="000000"/>
          <w:sz w:val="22"/>
          <w:szCs w:val="22"/>
        </w:rPr>
        <w:fldChar w:fldCharType="begin"/>
      </w:r>
      <w:r>
        <w:rPr>
          <w:rFonts w:eastAsia="黑体"/>
          <w:bCs/>
          <w:caps/>
          <w:color w:val="000000"/>
          <w:sz w:val="22"/>
          <w:szCs w:val="22"/>
        </w:rPr>
        <w:instrText xml:space="preserve"> PAGEREF _Toc25842015 \h </w:instrText>
      </w:r>
      <w:r>
        <w:rPr>
          <w:rFonts w:eastAsia="黑体"/>
          <w:bCs/>
          <w:caps/>
          <w:color w:val="000000"/>
          <w:sz w:val="22"/>
          <w:szCs w:val="22"/>
        </w:rPr>
        <w:fldChar w:fldCharType="separate"/>
      </w:r>
      <w:r>
        <w:rPr>
          <w:rFonts w:eastAsia="黑体"/>
          <w:bCs/>
          <w:caps/>
          <w:color w:val="000000"/>
          <w:sz w:val="22"/>
          <w:szCs w:val="22"/>
        </w:rPr>
        <w:t>77</w:t>
      </w:r>
      <w:r>
        <w:rPr>
          <w:rFonts w:eastAsia="黑体"/>
          <w:bCs/>
          <w:caps/>
          <w:color w:val="000000"/>
          <w:sz w:val="22"/>
          <w:szCs w:val="22"/>
        </w:rPr>
        <w:fldChar w:fldCharType="end"/>
      </w:r>
      <w:r>
        <w:rPr>
          <w:rFonts w:eastAsia="黑体"/>
          <w:bCs/>
          <w:caps/>
          <w:color w:val="000000"/>
          <w:sz w:val="22"/>
          <w:szCs w:val="22"/>
        </w:rPr>
        <w:fldChar w:fldCharType="end"/>
      </w:r>
    </w:p>
    <w:p>
      <w:pPr>
        <w:tabs>
          <w:tab w:val="right" w:leader="dot" w:pos="8296"/>
        </w:tabs>
        <w:spacing w:line="360" w:lineRule="exact"/>
        <w:ind w:left="210"/>
        <w:jc w:val="left"/>
        <w:rPr>
          <w:color w:val="000000"/>
          <w:szCs w:val="22"/>
        </w:rPr>
      </w:pPr>
      <w:r>
        <w:fldChar w:fldCharType="begin"/>
      </w:r>
      <w:r>
        <w:instrText xml:space="preserve"> HYPERLINK \l "_Toc25842016" </w:instrText>
      </w:r>
      <w:r>
        <w:fldChar w:fldCharType="separate"/>
      </w:r>
      <w:r>
        <w:rPr>
          <w:rFonts w:eastAsia="仿宋_GB2312"/>
          <w:bCs/>
          <w:smallCaps/>
          <w:color w:val="000000"/>
          <w:kern w:val="0"/>
          <w:sz w:val="22"/>
          <w:szCs w:val="22"/>
          <w:lang w:val="zh-CN" w:eastAsia="zh-CN"/>
        </w:rPr>
        <w:t>一、 投资者持仓合约的行权提醒</w:t>
      </w:r>
      <w:r>
        <w:rPr>
          <w:rFonts w:eastAsia="仿宋"/>
          <w:bCs/>
          <w:smallCaps/>
          <w:color w:val="000000"/>
          <w:kern w:val="0"/>
          <w:sz w:val="22"/>
          <w:szCs w:val="22"/>
          <w:lang w:val="zh-CN" w:eastAsia="zh-CN"/>
        </w:rPr>
        <w:tab/>
      </w:r>
      <w:r>
        <w:rPr>
          <w:rFonts w:eastAsia="仿宋"/>
          <w:bCs/>
          <w:smallCaps/>
          <w:color w:val="000000"/>
          <w:kern w:val="0"/>
          <w:sz w:val="22"/>
          <w:szCs w:val="22"/>
          <w:lang w:val="zh-CN" w:eastAsia="zh-CN"/>
        </w:rPr>
        <w:fldChar w:fldCharType="begin"/>
      </w:r>
      <w:r>
        <w:rPr>
          <w:rFonts w:eastAsia="仿宋"/>
          <w:bCs/>
          <w:smallCaps/>
          <w:color w:val="000000"/>
          <w:kern w:val="0"/>
          <w:sz w:val="22"/>
          <w:szCs w:val="22"/>
          <w:lang w:val="zh-CN" w:eastAsia="zh-CN"/>
        </w:rPr>
        <w:instrText xml:space="preserve"> PAGEREF _Toc25842016 \h </w:instrText>
      </w:r>
      <w:r>
        <w:rPr>
          <w:rFonts w:eastAsia="仿宋"/>
          <w:bCs/>
          <w:smallCaps/>
          <w:color w:val="000000"/>
          <w:kern w:val="0"/>
          <w:sz w:val="22"/>
          <w:szCs w:val="22"/>
          <w:lang w:val="zh-CN" w:eastAsia="zh-CN"/>
        </w:rPr>
        <w:fldChar w:fldCharType="separate"/>
      </w:r>
      <w:r>
        <w:rPr>
          <w:rFonts w:eastAsia="仿宋"/>
          <w:bCs/>
          <w:smallCaps/>
          <w:color w:val="000000"/>
          <w:kern w:val="0"/>
          <w:sz w:val="22"/>
          <w:szCs w:val="22"/>
          <w:lang w:val="zh-CN" w:eastAsia="zh-CN"/>
        </w:rPr>
        <w:t>77</w:t>
      </w:r>
      <w:r>
        <w:rPr>
          <w:rFonts w:eastAsia="仿宋"/>
          <w:bCs/>
          <w:smallCaps/>
          <w:color w:val="000000"/>
          <w:kern w:val="0"/>
          <w:sz w:val="22"/>
          <w:szCs w:val="22"/>
          <w:lang w:val="zh-CN" w:eastAsia="zh-CN"/>
        </w:rPr>
        <w:fldChar w:fldCharType="end"/>
      </w:r>
      <w:r>
        <w:rPr>
          <w:rFonts w:eastAsia="仿宋"/>
          <w:bCs/>
          <w:smallCaps/>
          <w:color w:val="000000"/>
          <w:kern w:val="0"/>
          <w:sz w:val="22"/>
          <w:szCs w:val="22"/>
          <w:lang w:val="zh-CN" w:eastAsia="zh-CN"/>
        </w:rPr>
        <w:fldChar w:fldCharType="end"/>
      </w:r>
    </w:p>
    <w:p>
      <w:pPr>
        <w:tabs>
          <w:tab w:val="right" w:leader="dot" w:pos="8296"/>
        </w:tabs>
        <w:spacing w:line="360" w:lineRule="exact"/>
        <w:ind w:left="210"/>
        <w:jc w:val="left"/>
        <w:rPr>
          <w:color w:val="000000"/>
          <w:szCs w:val="22"/>
        </w:rPr>
      </w:pPr>
      <w:r>
        <w:fldChar w:fldCharType="begin"/>
      </w:r>
      <w:r>
        <w:instrText xml:space="preserve"> HYPERLINK \l "_Toc25842017" </w:instrText>
      </w:r>
      <w:r>
        <w:fldChar w:fldCharType="separate"/>
      </w:r>
      <w:r>
        <w:rPr>
          <w:rFonts w:eastAsia="仿宋_GB2312"/>
          <w:bCs/>
          <w:smallCaps/>
          <w:color w:val="000000"/>
          <w:kern w:val="0"/>
          <w:sz w:val="22"/>
          <w:szCs w:val="22"/>
          <w:lang w:val="zh-CN" w:eastAsia="zh-CN"/>
        </w:rPr>
        <w:t>二、 投资者行权日风险管理</w:t>
      </w:r>
      <w:r>
        <w:rPr>
          <w:rFonts w:eastAsia="仿宋"/>
          <w:bCs/>
          <w:smallCaps/>
          <w:color w:val="000000"/>
          <w:kern w:val="0"/>
          <w:sz w:val="22"/>
          <w:szCs w:val="22"/>
          <w:lang w:val="zh-CN" w:eastAsia="zh-CN"/>
        </w:rPr>
        <w:tab/>
      </w:r>
      <w:r>
        <w:rPr>
          <w:rFonts w:eastAsia="仿宋"/>
          <w:bCs/>
          <w:smallCaps/>
          <w:color w:val="000000"/>
          <w:kern w:val="0"/>
          <w:sz w:val="22"/>
          <w:szCs w:val="22"/>
          <w:lang w:val="zh-CN" w:eastAsia="zh-CN"/>
        </w:rPr>
        <w:fldChar w:fldCharType="begin"/>
      </w:r>
      <w:r>
        <w:rPr>
          <w:rFonts w:eastAsia="仿宋"/>
          <w:bCs/>
          <w:smallCaps/>
          <w:color w:val="000000"/>
          <w:kern w:val="0"/>
          <w:sz w:val="22"/>
          <w:szCs w:val="22"/>
          <w:lang w:val="zh-CN" w:eastAsia="zh-CN"/>
        </w:rPr>
        <w:instrText xml:space="preserve"> PAGEREF _Toc25842017 \h </w:instrText>
      </w:r>
      <w:r>
        <w:rPr>
          <w:rFonts w:eastAsia="仿宋"/>
          <w:bCs/>
          <w:smallCaps/>
          <w:color w:val="000000"/>
          <w:kern w:val="0"/>
          <w:sz w:val="22"/>
          <w:szCs w:val="22"/>
          <w:lang w:val="zh-CN" w:eastAsia="zh-CN"/>
        </w:rPr>
        <w:fldChar w:fldCharType="separate"/>
      </w:r>
      <w:r>
        <w:rPr>
          <w:rFonts w:eastAsia="仿宋"/>
          <w:bCs/>
          <w:smallCaps/>
          <w:color w:val="000000"/>
          <w:kern w:val="0"/>
          <w:sz w:val="22"/>
          <w:szCs w:val="22"/>
          <w:lang w:val="zh-CN" w:eastAsia="zh-CN"/>
        </w:rPr>
        <w:t>77</w:t>
      </w:r>
      <w:r>
        <w:rPr>
          <w:rFonts w:eastAsia="仿宋"/>
          <w:bCs/>
          <w:smallCaps/>
          <w:color w:val="000000"/>
          <w:kern w:val="0"/>
          <w:sz w:val="22"/>
          <w:szCs w:val="22"/>
          <w:lang w:val="zh-CN" w:eastAsia="zh-CN"/>
        </w:rPr>
        <w:fldChar w:fldCharType="end"/>
      </w:r>
      <w:r>
        <w:rPr>
          <w:rFonts w:eastAsia="仿宋"/>
          <w:bCs/>
          <w:smallCaps/>
          <w:color w:val="000000"/>
          <w:kern w:val="0"/>
          <w:sz w:val="22"/>
          <w:szCs w:val="22"/>
          <w:lang w:val="zh-CN" w:eastAsia="zh-CN"/>
        </w:rPr>
        <w:fldChar w:fldCharType="end"/>
      </w:r>
    </w:p>
    <w:p>
      <w:pPr>
        <w:tabs>
          <w:tab w:val="right" w:leader="dot" w:pos="8296"/>
        </w:tabs>
        <w:spacing w:line="360" w:lineRule="exact"/>
        <w:ind w:left="210"/>
        <w:jc w:val="left"/>
        <w:rPr>
          <w:color w:val="000000"/>
          <w:szCs w:val="22"/>
        </w:rPr>
      </w:pPr>
      <w:r>
        <w:fldChar w:fldCharType="begin"/>
      </w:r>
      <w:r>
        <w:instrText xml:space="preserve"> HYPERLINK \l "_Toc25842018" </w:instrText>
      </w:r>
      <w:r>
        <w:fldChar w:fldCharType="separate"/>
      </w:r>
      <w:r>
        <w:rPr>
          <w:rFonts w:eastAsia="仿宋_GB2312"/>
          <w:bCs/>
          <w:smallCaps/>
          <w:color w:val="000000"/>
          <w:kern w:val="0"/>
          <w:sz w:val="22"/>
          <w:szCs w:val="22"/>
          <w:lang w:val="zh-CN" w:eastAsia="zh-CN"/>
        </w:rPr>
        <w:t>三、 投资者行权交收风险管理</w:t>
      </w:r>
      <w:r>
        <w:rPr>
          <w:rFonts w:eastAsia="仿宋"/>
          <w:bCs/>
          <w:smallCaps/>
          <w:color w:val="000000"/>
          <w:kern w:val="0"/>
          <w:sz w:val="22"/>
          <w:szCs w:val="22"/>
          <w:lang w:val="zh-CN" w:eastAsia="zh-CN"/>
        </w:rPr>
        <w:tab/>
      </w:r>
      <w:r>
        <w:rPr>
          <w:rFonts w:eastAsia="仿宋"/>
          <w:bCs/>
          <w:smallCaps/>
          <w:color w:val="000000"/>
          <w:kern w:val="0"/>
          <w:sz w:val="22"/>
          <w:szCs w:val="22"/>
          <w:lang w:val="zh-CN" w:eastAsia="zh-CN"/>
        </w:rPr>
        <w:fldChar w:fldCharType="begin"/>
      </w:r>
      <w:r>
        <w:rPr>
          <w:rFonts w:eastAsia="仿宋"/>
          <w:bCs/>
          <w:smallCaps/>
          <w:color w:val="000000"/>
          <w:kern w:val="0"/>
          <w:sz w:val="22"/>
          <w:szCs w:val="22"/>
          <w:lang w:val="zh-CN" w:eastAsia="zh-CN"/>
        </w:rPr>
        <w:instrText xml:space="preserve"> PAGEREF _Toc25842018 \h </w:instrText>
      </w:r>
      <w:r>
        <w:rPr>
          <w:rFonts w:eastAsia="仿宋"/>
          <w:bCs/>
          <w:smallCaps/>
          <w:color w:val="000000"/>
          <w:kern w:val="0"/>
          <w:sz w:val="22"/>
          <w:szCs w:val="22"/>
          <w:lang w:val="zh-CN" w:eastAsia="zh-CN"/>
        </w:rPr>
        <w:fldChar w:fldCharType="separate"/>
      </w:r>
      <w:r>
        <w:rPr>
          <w:rFonts w:eastAsia="仿宋"/>
          <w:bCs/>
          <w:smallCaps/>
          <w:color w:val="000000"/>
          <w:kern w:val="0"/>
          <w:sz w:val="22"/>
          <w:szCs w:val="22"/>
          <w:lang w:val="zh-CN" w:eastAsia="zh-CN"/>
        </w:rPr>
        <w:t>81</w:t>
      </w:r>
      <w:r>
        <w:rPr>
          <w:rFonts w:eastAsia="仿宋"/>
          <w:bCs/>
          <w:smallCaps/>
          <w:color w:val="000000"/>
          <w:kern w:val="0"/>
          <w:sz w:val="22"/>
          <w:szCs w:val="22"/>
          <w:lang w:val="zh-CN" w:eastAsia="zh-CN"/>
        </w:rPr>
        <w:fldChar w:fldCharType="end"/>
      </w:r>
      <w:r>
        <w:rPr>
          <w:rFonts w:eastAsia="仿宋"/>
          <w:bCs/>
          <w:smallCaps/>
          <w:color w:val="000000"/>
          <w:kern w:val="0"/>
          <w:sz w:val="22"/>
          <w:szCs w:val="22"/>
          <w:lang w:val="zh-CN" w:eastAsia="zh-CN"/>
        </w:rPr>
        <w:fldChar w:fldCharType="end"/>
      </w:r>
    </w:p>
    <w:p>
      <w:pPr>
        <w:tabs>
          <w:tab w:val="right" w:leader="dot" w:pos="8296"/>
        </w:tabs>
        <w:spacing w:line="360" w:lineRule="exact"/>
        <w:ind w:left="210"/>
        <w:jc w:val="left"/>
        <w:rPr>
          <w:color w:val="000000"/>
          <w:szCs w:val="22"/>
        </w:rPr>
      </w:pPr>
      <w:r>
        <w:fldChar w:fldCharType="begin"/>
      </w:r>
      <w:r>
        <w:instrText xml:space="preserve"> HYPERLINK \l "_Toc25842019" </w:instrText>
      </w:r>
      <w:r>
        <w:fldChar w:fldCharType="separate"/>
      </w:r>
      <w:r>
        <w:rPr>
          <w:rFonts w:eastAsia="仿宋_GB2312"/>
          <w:bCs/>
          <w:smallCaps/>
          <w:color w:val="000000"/>
          <w:kern w:val="0"/>
          <w:sz w:val="22"/>
          <w:szCs w:val="22"/>
          <w:lang w:val="zh-CN" w:eastAsia="zh-CN"/>
        </w:rPr>
        <w:t>四、 行权日前调整保证金参数水平提醒</w:t>
      </w:r>
      <w:r>
        <w:rPr>
          <w:rFonts w:eastAsia="仿宋"/>
          <w:bCs/>
          <w:smallCaps/>
          <w:color w:val="000000"/>
          <w:kern w:val="0"/>
          <w:sz w:val="22"/>
          <w:szCs w:val="22"/>
          <w:lang w:val="zh-CN" w:eastAsia="zh-CN"/>
        </w:rPr>
        <w:tab/>
      </w:r>
      <w:r>
        <w:rPr>
          <w:rFonts w:eastAsia="仿宋"/>
          <w:bCs/>
          <w:smallCaps/>
          <w:color w:val="000000"/>
          <w:kern w:val="0"/>
          <w:sz w:val="22"/>
          <w:szCs w:val="22"/>
          <w:lang w:val="zh-CN" w:eastAsia="zh-CN"/>
        </w:rPr>
        <w:fldChar w:fldCharType="begin"/>
      </w:r>
      <w:r>
        <w:rPr>
          <w:rFonts w:eastAsia="仿宋"/>
          <w:bCs/>
          <w:smallCaps/>
          <w:color w:val="000000"/>
          <w:kern w:val="0"/>
          <w:sz w:val="22"/>
          <w:szCs w:val="22"/>
          <w:lang w:val="zh-CN" w:eastAsia="zh-CN"/>
        </w:rPr>
        <w:instrText xml:space="preserve"> PAGEREF _Toc25842019 \h </w:instrText>
      </w:r>
      <w:r>
        <w:rPr>
          <w:rFonts w:eastAsia="仿宋"/>
          <w:bCs/>
          <w:smallCaps/>
          <w:color w:val="000000"/>
          <w:kern w:val="0"/>
          <w:sz w:val="22"/>
          <w:szCs w:val="22"/>
          <w:lang w:val="zh-CN" w:eastAsia="zh-CN"/>
        </w:rPr>
        <w:fldChar w:fldCharType="separate"/>
      </w:r>
      <w:r>
        <w:rPr>
          <w:rFonts w:eastAsia="仿宋"/>
          <w:bCs/>
          <w:smallCaps/>
          <w:color w:val="000000"/>
          <w:kern w:val="0"/>
          <w:sz w:val="22"/>
          <w:szCs w:val="22"/>
          <w:lang w:val="zh-CN" w:eastAsia="zh-CN"/>
        </w:rPr>
        <w:t>82</w:t>
      </w:r>
      <w:r>
        <w:rPr>
          <w:rFonts w:eastAsia="仿宋"/>
          <w:bCs/>
          <w:smallCaps/>
          <w:color w:val="000000"/>
          <w:kern w:val="0"/>
          <w:sz w:val="22"/>
          <w:szCs w:val="22"/>
          <w:lang w:val="zh-CN" w:eastAsia="zh-CN"/>
        </w:rPr>
        <w:fldChar w:fldCharType="end"/>
      </w:r>
      <w:r>
        <w:rPr>
          <w:rFonts w:eastAsia="仿宋"/>
          <w:bCs/>
          <w:smallCaps/>
          <w:color w:val="000000"/>
          <w:kern w:val="0"/>
          <w:sz w:val="22"/>
          <w:szCs w:val="22"/>
          <w:lang w:val="zh-CN" w:eastAsia="zh-CN"/>
        </w:rPr>
        <w:fldChar w:fldCharType="end"/>
      </w:r>
    </w:p>
    <w:p>
      <w:pPr>
        <w:tabs>
          <w:tab w:val="right" w:leader="dot" w:pos="8296"/>
        </w:tabs>
        <w:spacing w:line="360" w:lineRule="exact"/>
        <w:jc w:val="left"/>
        <w:rPr>
          <w:color w:val="000000"/>
          <w:szCs w:val="22"/>
        </w:rPr>
      </w:pPr>
      <w:r>
        <w:fldChar w:fldCharType="begin"/>
      </w:r>
      <w:r>
        <w:instrText xml:space="preserve"> HYPERLINK \l "_Toc25842020" </w:instrText>
      </w:r>
      <w:r>
        <w:fldChar w:fldCharType="separate"/>
      </w:r>
      <w:r>
        <w:rPr>
          <w:rFonts w:eastAsia="黑体"/>
          <w:bCs/>
          <w:caps/>
          <w:color w:val="000000"/>
          <w:sz w:val="22"/>
          <w:szCs w:val="22"/>
        </w:rPr>
        <w:t>第十章 协议行权</w:t>
      </w:r>
      <w:r>
        <w:rPr>
          <w:rFonts w:eastAsia="黑体"/>
          <w:bCs/>
          <w:caps/>
          <w:color w:val="000000"/>
          <w:sz w:val="22"/>
          <w:szCs w:val="22"/>
        </w:rPr>
        <w:tab/>
      </w:r>
      <w:r>
        <w:rPr>
          <w:rFonts w:eastAsia="黑体"/>
          <w:bCs/>
          <w:caps/>
          <w:color w:val="000000"/>
          <w:sz w:val="22"/>
          <w:szCs w:val="22"/>
        </w:rPr>
        <w:fldChar w:fldCharType="begin"/>
      </w:r>
      <w:r>
        <w:rPr>
          <w:rFonts w:eastAsia="黑体"/>
          <w:bCs/>
          <w:caps/>
          <w:color w:val="000000"/>
          <w:sz w:val="22"/>
          <w:szCs w:val="22"/>
        </w:rPr>
        <w:instrText xml:space="preserve"> PAGEREF _Toc25842020 \h </w:instrText>
      </w:r>
      <w:r>
        <w:rPr>
          <w:rFonts w:eastAsia="黑体"/>
          <w:bCs/>
          <w:caps/>
          <w:color w:val="000000"/>
          <w:sz w:val="22"/>
          <w:szCs w:val="22"/>
        </w:rPr>
        <w:fldChar w:fldCharType="separate"/>
      </w:r>
      <w:r>
        <w:rPr>
          <w:rFonts w:eastAsia="黑体"/>
          <w:bCs/>
          <w:caps/>
          <w:color w:val="000000"/>
          <w:sz w:val="22"/>
          <w:szCs w:val="22"/>
        </w:rPr>
        <w:t>83</w:t>
      </w:r>
      <w:r>
        <w:rPr>
          <w:rFonts w:eastAsia="黑体"/>
          <w:bCs/>
          <w:caps/>
          <w:color w:val="000000"/>
          <w:sz w:val="22"/>
          <w:szCs w:val="22"/>
        </w:rPr>
        <w:fldChar w:fldCharType="end"/>
      </w:r>
      <w:r>
        <w:rPr>
          <w:rFonts w:eastAsia="黑体"/>
          <w:bCs/>
          <w:caps/>
          <w:color w:val="000000"/>
          <w:sz w:val="22"/>
          <w:szCs w:val="22"/>
        </w:rPr>
        <w:fldChar w:fldCharType="end"/>
      </w:r>
    </w:p>
    <w:p>
      <w:pPr>
        <w:tabs>
          <w:tab w:val="right" w:leader="dot" w:pos="8296"/>
        </w:tabs>
        <w:spacing w:line="360" w:lineRule="exact"/>
        <w:ind w:left="210"/>
        <w:jc w:val="left"/>
        <w:rPr>
          <w:color w:val="000000"/>
          <w:szCs w:val="22"/>
        </w:rPr>
      </w:pPr>
      <w:r>
        <w:fldChar w:fldCharType="begin"/>
      </w:r>
      <w:r>
        <w:instrText xml:space="preserve"> HYPERLINK \l "_Toc25842021" </w:instrText>
      </w:r>
      <w:r>
        <w:fldChar w:fldCharType="separate"/>
      </w:r>
      <w:r>
        <w:rPr>
          <w:rFonts w:eastAsia="仿宋_GB2312"/>
          <w:bCs/>
          <w:smallCaps/>
          <w:color w:val="000000"/>
          <w:kern w:val="0"/>
          <w:sz w:val="22"/>
          <w:szCs w:val="22"/>
          <w:lang w:val="zh-CN" w:eastAsia="zh-CN"/>
        </w:rPr>
        <w:t>一、 协议行权策略</w:t>
      </w:r>
      <w:r>
        <w:rPr>
          <w:rFonts w:eastAsia="仿宋"/>
          <w:bCs/>
          <w:smallCaps/>
          <w:color w:val="000000"/>
          <w:kern w:val="0"/>
          <w:sz w:val="22"/>
          <w:szCs w:val="22"/>
          <w:lang w:val="zh-CN" w:eastAsia="zh-CN"/>
        </w:rPr>
        <w:tab/>
      </w:r>
      <w:r>
        <w:rPr>
          <w:rFonts w:eastAsia="仿宋"/>
          <w:bCs/>
          <w:smallCaps/>
          <w:color w:val="000000"/>
          <w:kern w:val="0"/>
          <w:sz w:val="22"/>
          <w:szCs w:val="22"/>
          <w:lang w:val="zh-CN" w:eastAsia="zh-CN"/>
        </w:rPr>
        <w:fldChar w:fldCharType="begin"/>
      </w:r>
      <w:r>
        <w:rPr>
          <w:rFonts w:eastAsia="仿宋"/>
          <w:bCs/>
          <w:smallCaps/>
          <w:color w:val="000000"/>
          <w:kern w:val="0"/>
          <w:sz w:val="22"/>
          <w:szCs w:val="22"/>
          <w:lang w:val="zh-CN" w:eastAsia="zh-CN"/>
        </w:rPr>
        <w:instrText xml:space="preserve"> PAGEREF _Toc25842021 \h </w:instrText>
      </w:r>
      <w:r>
        <w:rPr>
          <w:rFonts w:eastAsia="仿宋"/>
          <w:bCs/>
          <w:smallCaps/>
          <w:color w:val="000000"/>
          <w:kern w:val="0"/>
          <w:sz w:val="22"/>
          <w:szCs w:val="22"/>
          <w:lang w:val="zh-CN" w:eastAsia="zh-CN"/>
        </w:rPr>
        <w:fldChar w:fldCharType="separate"/>
      </w:r>
      <w:r>
        <w:rPr>
          <w:rFonts w:eastAsia="仿宋"/>
          <w:bCs/>
          <w:smallCaps/>
          <w:color w:val="000000"/>
          <w:kern w:val="0"/>
          <w:sz w:val="22"/>
          <w:szCs w:val="22"/>
          <w:lang w:val="zh-CN" w:eastAsia="zh-CN"/>
        </w:rPr>
        <w:t>83</w:t>
      </w:r>
      <w:r>
        <w:rPr>
          <w:rFonts w:eastAsia="仿宋"/>
          <w:bCs/>
          <w:smallCaps/>
          <w:color w:val="000000"/>
          <w:kern w:val="0"/>
          <w:sz w:val="22"/>
          <w:szCs w:val="22"/>
          <w:lang w:val="zh-CN" w:eastAsia="zh-CN"/>
        </w:rPr>
        <w:fldChar w:fldCharType="end"/>
      </w:r>
      <w:r>
        <w:rPr>
          <w:rFonts w:eastAsia="仿宋"/>
          <w:bCs/>
          <w:smallCaps/>
          <w:color w:val="000000"/>
          <w:kern w:val="0"/>
          <w:sz w:val="22"/>
          <w:szCs w:val="22"/>
          <w:lang w:val="zh-CN" w:eastAsia="zh-CN"/>
        </w:rPr>
        <w:fldChar w:fldCharType="end"/>
      </w:r>
    </w:p>
    <w:p>
      <w:pPr>
        <w:tabs>
          <w:tab w:val="right" w:leader="dot" w:pos="8296"/>
        </w:tabs>
        <w:spacing w:line="360" w:lineRule="exact"/>
        <w:ind w:left="210"/>
        <w:jc w:val="left"/>
        <w:rPr>
          <w:color w:val="000000"/>
          <w:szCs w:val="22"/>
        </w:rPr>
      </w:pPr>
      <w:r>
        <w:fldChar w:fldCharType="begin"/>
      </w:r>
      <w:r>
        <w:instrText xml:space="preserve"> HYPERLINK \l "_Toc25842022" </w:instrText>
      </w:r>
      <w:r>
        <w:fldChar w:fldCharType="separate"/>
      </w:r>
      <w:r>
        <w:rPr>
          <w:rFonts w:eastAsia="仿宋_GB2312"/>
          <w:bCs/>
          <w:smallCaps/>
          <w:color w:val="000000"/>
          <w:kern w:val="0"/>
          <w:sz w:val="22"/>
          <w:szCs w:val="22"/>
          <w:lang w:val="zh-CN" w:eastAsia="zh-CN"/>
        </w:rPr>
        <w:t>二、 协议行权注意事项</w:t>
      </w:r>
      <w:r>
        <w:rPr>
          <w:rFonts w:eastAsia="仿宋"/>
          <w:bCs/>
          <w:smallCaps/>
          <w:color w:val="000000"/>
          <w:kern w:val="0"/>
          <w:sz w:val="22"/>
          <w:szCs w:val="22"/>
          <w:lang w:val="zh-CN" w:eastAsia="zh-CN"/>
        </w:rPr>
        <w:tab/>
      </w:r>
      <w:r>
        <w:rPr>
          <w:rFonts w:eastAsia="仿宋"/>
          <w:bCs/>
          <w:smallCaps/>
          <w:color w:val="000000"/>
          <w:kern w:val="0"/>
          <w:sz w:val="22"/>
          <w:szCs w:val="22"/>
          <w:lang w:val="zh-CN" w:eastAsia="zh-CN"/>
        </w:rPr>
        <w:fldChar w:fldCharType="begin"/>
      </w:r>
      <w:r>
        <w:rPr>
          <w:rFonts w:eastAsia="仿宋"/>
          <w:bCs/>
          <w:smallCaps/>
          <w:color w:val="000000"/>
          <w:kern w:val="0"/>
          <w:sz w:val="22"/>
          <w:szCs w:val="22"/>
          <w:lang w:val="zh-CN" w:eastAsia="zh-CN"/>
        </w:rPr>
        <w:instrText xml:space="preserve"> PAGEREF _Toc25842022 \h </w:instrText>
      </w:r>
      <w:r>
        <w:rPr>
          <w:rFonts w:eastAsia="仿宋"/>
          <w:bCs/>
          <w:smallCaps/>
          <w:color w:val="000000"/>
          <w:kern w:val="0"/>
          <w:sz w:val="22"/>
          <w:szCs w:val="22"/>
          <w:lang w:val="zh-CN" w:eastAsia="zh-CN"/>
        </w:rPr>
        <w:fldChar w:fldCharType="separate"/>
      </w:r>
      <w:r>
        <w:rPr>
          <w:rFonts w:eastAsia="仿宋"/>
          <w:bCs/>
          <w:smallCaps/>
          <w:color w:val="000000"/>
          <w:kern w:val="0"/>
          <w:sz w:val="22"/>
          <w:szCs w:val="22"/>
          <w:lang w:val="zh-CN" w:eastAsia="zh-CN"/>
        </w:rPr>
        <w:t>84</w:t>
      </w:r>
      <w:r>
        <w:rPr>
          <w:rFonts w:eastAsia="仿宋"/>
          <w:bCs/>
          <w:smallCaps/>
          <w:color w:val="000000"/>
          <w:kern w:val="0"/>
          <w:sz w:val="22"/>
          <w:szCs w:val="22"/>
          <w:lang w:val="zh-CN" w:eastAsia="zh-CN"/>
        </w:rPr>
        <w:fldChar w:fldCharType="end"/>
      </w:r>
      <w:r>
        <w:rPr>
          <w:rFonts w:eastAsia="仿宋"/>
          <w:bCs/>
          <w:smallCaps/>
          <w:color w:val="000000"/>
          <w:kern w:val="0"/>
          <w:sz w:val="22"/>
          <w:szCs w:val="22"/>
          <w:lang w:val="zh-CN" w:eastAsia="zh-CN"/>
        </w:rPr>
        <w:fldChar w:fldCharType="end"/>
      </w:r>
    </w:p>
    <w:p>
      <w:pPr>
        <w:tabs>
          <w:tab w:val="right" w:leader="dot" w:pos="8296"/>
        </w:tabs>
        <w:spacing w:line="360" w:lineRule="exact"/>
        <w:jc w:val="left"/>
        <w:rPr>
          <w:color w:val="000000"/>
          <w:szCs w:val="22"/>
        </w:rPr>
      </w:pPr>
      <w:r>
        <w:fldChar w:fldCharType="begin"/>
      </w:r>
      <w:r>
        <w:instrText xml:space="preserve"> HYPERLINK \l "_Toc25842023" </w:instrText>
      </w:r>
      <w:r>
        <w:fldChar w:fldCharType="separate"/>
      </w:r>
      <w:r>
        <w:rPr>
          <w:rFonts w:eastAsia="黑体"/>
          <w:bCs/>
          <w:caps/>
          <w:color w:val="000000"/>
          <w:sz w:val="22"/>
          <w:szCs w:val="22"/>
        </w:rPr>
        <w:t>第十一章 客户资金划转与结算</w:t>
      </w:r>
      <w:r>
        <w:rPr>
          <w:rFonts w:eastAsia="黑体"/>
          <w:bCs/>
          <w:caps/>
          <w:color w:val="000000"/>
          <w:sz w:val="22"/>
          <w:szCs w:val="22"/>
        </w:rPr>
        <w:tab/>
      </w:r>
      <w:r>
        <w:rPr>
          <w:rFonts w:eastAsia="黑体"/>
          <w:bCs/>
          <w:caps/>
          <w:color w:val="000000"/>
          <w:sz w:val="22"/>
          <w:szCs w:val="22"/>
        </w:rPr>
        <w:fldChar w:fldCharType="begin"/>
      </w:r>
      <w:r>
        <w:rPr>
          <w:rFonts w:eastAsia="黑体"/>
          <w:bCs/>
          <w:caps/>
          <w:color w:val="000000"/>
          <w:sz w:val="22"/>
          <w:szCs w:val="22"/>
        </w:rPr>
        <w:instrText xml:space="preserve"> PAGEREF _Toc25842023 \h </w:instrText>
      </w:r>
      <w:r>
        <w:rPr>
          <w:rFonts w:eastAsia="黑体"/>
          <w:bCs/>
          <w:caps/>
          <w:color w:val="000000"/>
          <w:sz w:val="22"/>
          <w:szCs w:val="22"/>
        </w:rPr>
        <w:fldChar w:fldCharType="separate"/>
      </w:r>
      <w:r>
        <w:rPr>
          <w:rFonts w:eastAsia="黑体"/>
          <w:bCs/>
          <w:caps/>
          <w:color w:val="000000"/>
          <w:sz w:val="22"/>
          <w:szCs w:val="22"/>
        </w:rPr>
        <w:t>85</w:t>
      </w:r>
      <w:r>
        <w:rPr>
          <w:rFonts w:eastAsia="黑体"/>
          <w:bCs/>
          <w:caps/>
          <w:color w:val="000000"/>
          <w:sz w:val="22"/>
          <w:szCs w:val="22"/>
        </w:rPr>
        <w:fldChar w:fldCharType="end"/>
      </w:r>
      <w:r>
        <w:rPr>
          <w:rFonts w:eastAsia="黑体"/>
          <w:bCs/>
          <w:caps/>
          <w:color w:val="000000"/>
          <w:sz w:val="22"/>
          <w:szCs w:val="22"/>
        </w:rPr>
        <w:fldChar w:fldCharType="end"/>
      </w:r>
    </w:p>
    <w:p>
      <w:pPr>
        <w:tabs>
          <w:tab w:val="right" w:leader="dot" w:pos="8296"/>
        </w:tabs>
        <w:spacing w:line="360" w:lineRule="exact"/>
        <w:ind w:left="210"/>
        <w:jc w:val="left"/>
        <w:rPr>
          <w:color w:val="000000"/>
          <w:szCs w:val="22"/>
        </w:rPr>
      </w:pPr>
      <w:r>
        <w:fldChar w:fldCharType="begin"/>
      </w:r>
      <w:r>
        <w:instrText xml:space="preserve"> HYPERLINK \l "_Toc25842024" </w:instrText>
      </w:r>
      <w:r>
        <w:fldChar w:fldCharType="separate"/>
      </w:r>
      <w:r>
        <w:rPr>
          <w:rFonts w:eastAsia="仿宋_GB2312"/>
          <w:bCs/>
          <w:smallCaps/>
          <w:color w:val="000000"/>
          <w:kern w:val="0"/>
          <w:sz w:val="22"/>
          <w:szCs w:val="22"/>
          <w:lang w:val="zh-CN" w:eastAsia="zh-CN"/>
        </w:rPr>
        <w:t>一、 资金划转</w:t>
      </w:r>
      <w:r>
        <w:rPr>
          <w:rFonts w:eastAsia="仿宋"/>
          <w:bCs/>
          <w:smallCaps/>
          <w:color w:val="000000"/>
          <w:kern w:val="0"/>
          <w:sz w:val="22"/>
          <w:szCs w:val="22"/>
          <w:lang w:val="zh-CN" w:eastAsia="zh-CN"/>
        </w:rPr>
        <w:tab/>
      </w:r>
      <w:r>
        <w:rPr>
          <w:rFonts w:eastAsia="仿宋"/>
          <w:bCs/>
          <w:smallCaps/>
          <w:color w:val="000000"/>
          <w:kern w:val="0"/>
          <w:sz w:val="22"/>
          <w:szCs w:val="22"/>
          <w:lang w:val="zh-CN" w:eastAsia="zh-CN"/>
        </w:rPr>
        <w:fldChar w:fldCharType="begin"/>
      </w:r>
      <w:r>
        <w:rPr>
          <w:rFonts w:eastAsia="仿宋"/>
          <w:bCs/>
          <w:smallCaps/>
          <w:color w:val="000000"/>
          <w:kern w:val="0"/>
          <w:sz w:val="22"/>
          <w:szCs w:val="22"/>
          <w:lang w:val="zh-CN" w:eastAsia="zh-CN"/>
        </w:rPr>
        <w:instrText xml:space="preserve"> PAGEREF _Toc25842024 \h </w:instrText>
      </w:r>
      <w:r>
        <w:rPr>
          <w:rFonts w:eastAsia="仿宋"/>
          <w:bCs/>
          <w:smallCaps/>
          <w:color w:val="000000"/>
          <w:kern w:val="0"/>
          <w:sz w:val="22"/>
          <w:szCs w:val="22"/>
          <w:lang w:val="zh-CN" w:eastAsia="zh-CN"/>
        </w:rPr>
        <w:fldChar w:fldCharType="separate"/>
      </w:r>
      <w:r>
        <w:rPr>
          <w:rFonts w:eastAsia="仿宋"/>
          <w:bCs/>
          <w:smallCaps/>
          <w:color w:val="000000"/>
          <w:kern w:val="0"/>
          <w:sz w:val="22"/>
          <w:szCs w:val="22"/>
          <w:lang w:val="zh-CN" w:eastAsia="zh-CN"/>
        </w:rPr>
        <w:t>85</w:t>
      </w:r>
      <w:r>
        <w:rPr>
          <w:rFonts w:eastAsia="仿宋"/>
          <w:bCs/>
          <w:smallCaps/>
          <w:color w:val="000000"/>
          <w:kern w:val="0"/>
          <w:sz w:val="22"/>
          <w:szCs w:val="22"/>
          <w:lang w:val="zh-CN" w:eastAsia="zh-CN"/>
        </w:rPr>
        <w:fldChar w:fldCharType="end"/>
      </w:r>
      <w:r>
        <w:rPr>
          <w:rFonts w:eastAsia="仿宋"/>
          <w:bCs/>
          <w:smallCaps/>
          <w:color w:val="000000"/>
          <w:kern w:val="0"/>
          <w:sz w:val="22"/>
          <w:szCs w:val="22"/>
          <w:lang w:val="zh-CN" w:eastAsia="zh-CN"/>
        </w:rPr>
        <w:fldChar w:fldCharType="end"/>
      </w:r>
    </w:p>
    <w:p>
      <w:pPr>
        <w:tabs>
          <w:tab w:val="right" w:leader="dot" w:pos="8296"/>
        </w:tabs>
        <w:spacing w:line="360" w:lineRule="exact"/>
        <w:ind w:left="210"/>
        <w:jc w:val="left"/>
        <w:rPr>
          <w:color w:val="000000"/>
          <w:szCs w:val="22"/>
        </w:rPr>
      </w:pPr>
      <w:r>
        <w:fldChar w:fldCharType="begin"/>
      </w:r>
      <w:r>
        <w:instrText xml:space="preserve"> HYPERLINK \l "_Toc25842025" </w:instrText>
      </w:r>
      <w:r>
        <w:fldChar w:fldCharType="separate"/>
      </w:r>
      <w:r>
        <w:rPr>
          <w:rFonts w:eastAsia="仿宋_GB2312"/>
          <w:bCs/>
          <w:smallCaps/>
          <w:color w:val="000000"/>
          <w:kern w:val="0"/>
          <w:sz w:val="22"/>
          <w:szCs w:val="22"/>
          <w:lang w:val="zh-CN" w:eastAsia="zh-CN"/>
        </w:rPr>
        <w:t>二、 日常交易清算</w:t>
      </w:r>
      <w:r>
        <w:rPr>
          <w:rFonts w:eastAsia="仿宋"/>
          <w:bCs/>
          <w:smallCaps/>
          <w:color w:val="000000"/>
          <w:kern w:val="0"/>
          <w:sz w:val="22"/>
          <w:szCs w:val="22"/>
          <w:lang w:val="zh-CN" w:eastAsia="zh-CN"/>
        </w:rPr>
        <w:tab/>
      </w:r>
      <w:r>
        <w:rPr>
          <w:rFonts w:eastAsia="仿宋"/>
          <w:bCs/>
          <w:smallCaps/>
          <w:color w:val="000000"/>
          <w:kern w:val="0"/>
          <w:sz w:val="22"/>
          <w:szCs w:val="22"/>
          <w:lang w:val="zh-CN" w:eastAsia="zh-CN"/>
        </w:rPr>
        <w:fldChar w:fldCharType="begin"/>
      </w:r>
      <w:r>
        <w:rPr>
          <w:rFonts w:eastAsia="仿宋"/>
          <w:bCs/>
          <w:smallCaps/>
          <w:color w:val="000000"/>
          <w:kern w:val="0"/>
          <w:sz w:val="22"/>
          <w:szCs w:val="22"/>
          <w:lang w:val="zh-CN" w:eastAsia="zh-CN"/>
        </w:rPr>
        <w:instrText xml:space="preserve"> PAGEREF _Toc25842025 \h </w:instrText>
      </w:r>
      <w:r>
        <w:rPr>
          <w:rFonts w:eastAsia="仿宋"/>
          <w:bCs/>
          <w:smallCaps/>
          <w:color w:val="000000"/>
          <w:kern w:val="0"/>
          <w:sz w:val="22"/>
          <w:szCs w:val="22"/>
          <w:lang w:val="zh-CN" w:eastAsia="zh-CN"/>
        </w:rPr>
        <w:fldChar w:fldCharType="separate"/>
      </w:r>
      <w:r>
        <w:rPr>
          <w:rFonts w:eastAsia="仿宋"/>
          <w:bCs/>
          <w:smallCaps/>
          <w:color w:val="000000"/>
          <w:kern w:val="0"/>
          <w:sz w:val="22"/>
          <w:szCs w:val="22"/>
          <w:lang w:val="zh-CN" w:eastAsia="zh-CN"/>
        </w:rPr>
        <w:t>85</w:t>
      </w:r>
      <w:r>
        <w:rPr>
          <w:rFonts w:eastAsia="仿宋"/>
          <w:bCs/>
          <w:smallCaps/>
          <w:color w:val="000000"/>
          <w:kern w:val="0"/>
          <w:sz w:val="22"/>
          <w:szCs w:val="22"/>
          <w:lang w:val="zh-CN" w:eastAsia="zh-CN"/>
        </w:rPr>
        <w:fldChar w:fldCharType="end"/>
      </w:r>
      <w:r>
        <w:rPr>
          <w:rFonts w:eastAsia="仿宋"/>
          <w:bCs/>
          <w:smallCaps/>
          <w:color w:val="000000"/>
          <w:kern w:val="0"/>
          <w:sz w:val="22"/>
          <w:szCs w:val="22"/>
          <w:lang w:val="zh-CN" w:eastAsia="zh-CN"/>
        </w:rPr>
        <w:fldChar w:fldCharType="end"/>
      </w:r>
    </w:p>
    <w:p>
      <w:pPr>
        <w:tabs>
          <w:tab w:val="right" w:leader="dot" w:pos="8296"/>
        </w:tabs>
        <w:spacing w:line="360" w:lineRule="exact"/>
        <w:ind w:left="210"/>
        <w:jc w:val="left"/>
        <w:rPr>
          <w:color w:val="000000"/>
          <w:szCs w:val="22"/>
        </w:rPr>
      </w:pPr>
      <w:r>
        <w:fldChar w:fldCharType="begin"/>
      </w:r>
      <w:r>
        <w:instrText xml:space="preserve"> HYPERLINK \l "_Toc25842026" </w:instrText>
      </w:r>
      <w:r>
        <w:fldChar w:fldCharType="separate"/>
      </w:r>
      <w:r>
        <w:rPr>
          <w:rFonts w:eastAsia="仿宋_GB2312"/>
          <w:bCs/>
          <w:smallCaps/>
          <w:color w:val="000000"/>
          <w:kern w:val="0"/>
          <w:sz w:val="22"/>
          <w:szCs w:val="22"/>
          <w:lang w:val="zh-CN" w:eastAsia="zh-CN"/>
        </w:rPr>
        <w:t>三、 清算后数据对账</w:t>
      </w:r>
      <w:r>
        <w:rPr>
          <w:rFonts w:eastAsia="仿宋"/>
          <w:bCs/>
          <w:smallCaps/>
          <w:color w:val="000000"/>
          <w:kern w:val="0"/>
          <w:sz w:val="22"/>
          <w:szCs w:val="22"/>
          <w:lang w:val="zh-CN" w:eastAsia="zh-CN"/>
        </w:rPr>
        <w:tab/>
      </w:r>
      <w:r>
        <w:rPr>
          <w:rFonts w:eastAsia="仿宋"/>
          <w:bCs/>
          <w:smallCaps/>
          <w:color w:val="000000"/>
          <w:kern w:val="0"/>
          <w:sz w:val="22"/>
          <w:szCs w:val="22"/>
          <w:lang w:val="zh-CN" w:eastAsia="zh-CN"/>
        </w:rPr>
        <w:fldChar w:fldCharType="begin"/>
      </w:r>
      <w:r>
        <w:rPr>
          <w:rFonts w:eastAsia="仿宋"/>
          <w:bCs/>
          <w:smallCaps/>
          <w:color w:val="000000"/>
          <w:kern w:val="0"/>
          <w:sz w:val="22"/>
          <w:szCs w:val="22"/>
          <w:lang w:val="zh-CN" w:eastAsia="zh-CN"/>
        </w:rPr>
        <w:instrText xml:space="preserve"> PAGEREF _Toc25842026 \h </w:instrText>
      </w:r>
      <w:r>
        <w:rPr>
          <w:rFonts w:eastAsia="仿宋"/>
          <w:bCs/>
          <w:smallCaps/>
          <w:color w:val="000000"/>
          <w:kern w:val="0"/>
          <w:sz w:val="22"/>
          <w:szCs w:val="22"/>
          <w:lang w:val="zh-CN" w:eastAsia="zh-CN"/>
        </w:rPr>
        <w:fldChar w:fldCharType="separate"/>
      </w:r>
      <w:r>
        <w:rPr>
          <w:rFonts w:eastAsia="仿宋"/>
          <w:bCs/>
          <w:smallCaps/>
          <w:color w:val="000000"/>
          <w:kern w:val="0"/>
          <w:sz w:val="22"/>
          <w:szCs w:val="22"/>
          <w:lang w:val="zh-CN" w:eastAsia="zh-CN"/>
        </w:rPr>
        <w:t>86</w:t>
      </w:r>
      <w:r>
        <w:rPr>
          <w:rFonts w:eastAsia="仿宋"/>
          <w:bCs/>
          <w:smallCaps/>
          <w:color w:val="000000"/>
          <w:kern w:val="0"/>
          <w:sz w:val="22"/>
          <w:szCs w:val="22"/>
          <w:lang w:val="zh-CN" w:eastAsia="zh-CN"/>
        </w:rPr>
        <w:fldChar w:fldCharType="end"/>
      </w:r>
      <w:r>
        <w:rPr>
          <w:rFonts w:eastAsia="仿宋"/>
          <w:bCs/>
          <w:smallCaps/>
          <w:color w:val="000000"/>
          <w:kern w:val="0"/>
          <w:sz w:val="22"/>
          <w:szCs w:val="22"/>
          <w:lang w:val="zh-CN" w:eastAsia="zh-CN"/>
        </w:rPr>
        <w:fldChar w:fldCharType="end"/>
      </w:r>
    </w:p>
    <w:p>
      <w:pPr>
        <w:tabs>
          <w:tab w:val="right" w:leader="dot" w:pos="8296"/>
        </w:tabs>
        <w:spacing w:line="360" w:lineRule="exact"/>
        <w:ind w:left="210"/>
        <w:jc w:val="left"/>
        <w:rPr>
          <w:color w:val="000000"/>
          <w:szCs w:val="22"/>
        </w:rPr>
      </w:pPr>
      <w:r>
        <w:fldChar w:fldCharType="begin"/>
      </w:r>
      <w:r>
        <w:instrText xml:space="preserve"> HYPERLINK \l "_Toc25842027" </w:instrText>
      </w:r>
      <w:r>
        <w:fldChar w:fldCharType="separate"/>
      </w:r>
      <w:r>
        <w:rPr>
          <w:rFonts w:eastAsia="仿宋_GB2312"/>
          <w:bCs/>
          <w:smallCaps/>
          <w:color w:val="000000"/>
          <w:kern w:val="0"/>
          <w:sz w:val="22"/>
          <w:szCs w:val="22"/>
          <w:lang w:val="zh-CN" w:eastAsia="zh-CN"/>
        </w:rPr>
        <w:t>四、 日常交易交收</w:t>
      </w:r>
      <w:r>
        <w:rPr>
          <w:rFonts w:eastAsia="仿宋"/>
          <w:bCs/>
          <w:smallCaps/>
          <w:color w:val="000000"/>
          <w:kern w:val="0"/>
          <w:sz w:val="22"/>
          <w:szCs w:val="22"/>
          <w:lang w:val="zh-CN" w:eastAsia="zh-CN"/>
        </w:rPr>
        <w:tab/>
      </w:r>
      <w:r>
        <w:rPr>
          <w:rFonts w:eastAsia="仿宋"/>
          <w:bCs/>
          <w:smallCaps/>
          <w:color w:val="000000"/>
          <w:kern w:val="0"/>
          <w:sz w:val="22"/>
          <w:szCs w:val="22"/>
          <w:lang w:val="zh-CN" w:eastAsia="zh-CN"/>
        </w:rPr>
        <w:fldChar w:fldCharType="begin"/>
      </w:r>
      <w:r>
        <w:rPr>
          <w:rFonts w:eastAsia="仿宋"/>
          <w:bCs/>
          <w:smallCaps/>
          <w:color w:val="000000"/>
          <w:kern w:val="0"/>
          <w:sz w:val="22"/>
          <w:szCs w:val="22"/>
          <w:lang w:val="zh-CN" w:eastAsia="zh-CN"/>
        </w:rPr>
        <w:instrText xml:space="preserve"> PAGEREF _Toc25842027 \h </w:instrText>
      </w:r>
      <w:r>
        <w:rPr>
          <w:rFonts w:eastAsia="仿宋"/>
          <w:bCs/>
          <w:smallCaps/>
          <w:color w:val="000000"/>
          <w:kern w:val="0"/>
          <w:sz w:val="22"/>
          <w:szCs w:val="22"/>
          <w:lang w:val="zh-CN" w:eastAsia="zh-CN"/>
        </w:rPr>
        <w:fldChar w:fldCharType="separate"/>
      </w:r>
      <w:r>
        <w:rPr>
          <w:rFonts w:eastAsia="仿宋"/>
          <w:bCs/>
          <w:smallCaps/>
          <w:color w:val="000000"/>
          <w:kern w:val="0"/>
          <w:sz w:val="22"/>
          <w:szCs w:val="22"/>
          <w:lang w:val="zh-CN" w:eastAsia="zh-CN"/>
        </w:rPr>
        <w:t>87</w:t>
      </w:r>
      <w:r>
        <w:rPr>
          <w:rFonts w:eastAsia="仿宋"/>
          <w:bCs/>
          <w:smallCaps/>
          <w:color w:val="000000"/>
          <w:kern w:val="0"/>
          <w:sz w:val="22"/>
          <w:szCs w:val="22"/>
          <w:lang w:val="zh-CN" w:eastAsia="zh-CN"/>
        </w:rPr>
        <w:fldChar w:fldCharType="end"/>
      </w:r>
      <w:r>
        <w:rPr>
          <w:rFonts w:eastAsia="仿宋"/>
          <w:bCs/>
          <w:smallCaps/>
          <w:color w:val="000000"/>
          <w:kern w:val="0"/>
          <w:sz w:val="22"/>
          <w:szCs w:val="22"/>
          <w:lang w:val="zh-CN" w:eastAsia="zh-CN"/>
        </w:rPr>
        <w:fldChar w:fldCharType="end"/>
      </w:r>
    </w:p>
    <w:p>
      <w:pPr>
        <w:tabs>
          <w:tab w:val="right" w:leader="dot" w:pos="8296"/>
        </w:tabs>
        <w:spacing w:line="360" w:lineRule="exact"/>
        <w:jc w:val="left"/>
        <w:rPr>
          <w:color w:val="000000"/>
          <w:szCs w:val="22"/>
        </w:rPr>
      </w:pPr>
      <w:r>
        <w:fldChar w:fldCharType="begin"/>
      </w:r>
      <w:r>
        <w:instrText xml:space="preserve"> HYPERLINK \l "_Toc25842028" </w:instrText>
      </w:r>
      <w:r>
        <w:fldChar w:fldCharType="separate"/>
      </w:r>
      <w:r>
        <w:rPr>
          <w:rFonts w:eastAsia="黑体"/>
          <w:bCs/>
          <w:caps/>
          <w:color w:val="000000"/>
          <w:sz w:val="22"/>
          <w:szCs w:val="22"/>
        </w:rPr>
        <w:t>第十二章 投资者数据报备</w:t>
      </w:r>
      <w:r>
        <w:rPr>
          <w:rFonts w:eastAsia="黑体"/>
          <w:bCs/>
          <w:caps/>
          <w:color w:val="000000"/>
          <w:sz w:val="22"/>
          <w:szCs w:val="22"/>
        </w:rPr>
        <w:tab/>
      </w:r>
      <w:r>
        <w:rPr>
          <w:rFonts w:eastAsia="黑体"/>
          <w:bCs/>
          <w:caps/>
          <w:color w:val="000000"/>
          <w:sz w:val="22"/>
          <w:szCs w:val="22"/>
        </w:rPr>
        <w:fldChar w:fldCharType="begin"/>
      </w:r>
      <w:r>
        <w:rPr>
          <w:rFonts w:eastAsia="黑体"/>
          <w:bCs/>
          <w:caps/>
          <w:color w:val="000000"/>
          <w:sz w:val="22"/>
          <w:szCs w:val="22"/>
        </w:rPr>
        <w:instrText xml:space="preserve"> PAGEREF _Toc25842028 \h </w:instrText>
      </w:r>
      <w:r>
        <w:rPr>
          <w:rFonts w:eastAsia="黑体"/>
          <w:bCs/>
          <w:caps/>
          <w:color w:val="000000"/>
          <w:sz w:val="22"/>
          <w:szCs w:val="22"/>
        </w:rPr>
        <w:fldChar w:fldCharType="separate"/>
      </w:r>
      <w:r>
        <w:rPr>
          <w:rFonts w:eastAsia="黑体"/>
          <w:bCs/>
          <w:caps/>
          <w:color w:val="000000"/>
          <w:sz w:val="22"/>
          <w:szCs w:val="22"/>
        </w:rPr>
        <w:t>88</w:t>
      </w:r>
      <w:r>
        <w:rPr>
          <w:rFonts w:eastAsia="黑体"/>
          <w:bCs/>
          <w:caps/>
          <w:color w:val="000000"/>
          <w:sz w:val="22"/>
          <w:szCs w:val="22"/>
        </w:rPr>
        <w:fldChar w:fldCharType="end"/>
      </w:r>
      <w:r>
        <w:rPr>
          <w:rFonts w:eastAsia="黑体"/>
          <w:bCs/>
          <w:caps/>
          <w:color w:val="000000"/>
          <w:sz w:val="22"/>
          <w:szCs w:val="22"/>
        </w:rPr>
        <w:fldChar w:fldCharType="end"/>
      </w:r>
    </w:p>
    <w:p>
      <w:pPr>
        <w:tabs>
          <w:tab w:val="right" w:leader="dot" w:pos="8296"/>
        </w:tabs>
        <w:spacing w:line="360" w:lineRule="exact"/>
        <w:ind w:left="210"/>
        <w:jc w:val="left"/>
        <w:rPr>
          <w:color w:val="000000"/>
          <w:szCs w:val="22"/>
        </w:rPr>
      </w:pPr>
      <w:r>
        <w:fldChar w:fldCharType="begin"/>
      </w:r>
      <w:r>
        <w:instrText xml:space="preserve"> HYPERLINK \l "_Toc25842029" </w:instrText>
      </w:r>
      <w:r>
        <w:fldChar w:fldCharType="separate"/>
      </w:r>
      <w:r>
        <w:rPr>
          <w:rFonts w:eastAsia="仿宋_GB2312"/>
          <w:bCs/>
          <w:smallCaps/>
          <w:color w:val="000000"/>
          <w:kern w:val="0"/>
          <w:sz w:val="22"/>
          <w:szCs w:val="22"/>
          <w:lang w:val="zh-CN" w:eastAsia="zh-CN"/>
        </w:rPr>
        <w:t>一、 总体要求</w:t>
      </w:r>
      <w:r>
        <w:rPr>
          <w:rFonts w:eastAsia="仿宋"/>
          <w:bCs/>
          <w:smallCaps/>
          <w:color w:val="000000"/>
          <w:kern w:val="0"/>
          <w:sz w:val="22"/>
          <w:szCs w:val="22"/>
          <w:lang w:val="zh-CN" w:eastAsia="zh-CN"/>
        </w:rPr>
        <w:tab/>
      </w:r>
      <w:r>
        <w:rPr>
          <w:rFonts w:eastAsia="仿宋"/>
          <w:bCs/>
          <w:smallCaps/>
          <w:color w:val="000000"/>
          <w:kern w:val="0"/>
          <w:sz w:val="22"/>
          <w:szCs w:val="22"/>
          <w:lang w:val="zh-CN" w:eastAsia="zh-CN"/>
        </w:rPr>
        <w:fldChar w:fldCharType="begin"/>
      </w:r>
      <w:r>
        <w:rPr>
          <w:rFonts w:eastAsia="仿宋"/>
          <w:bCs/>
          <w:smallCaps/>
          <w:color w:val="000000"/>
          <w:kern w:val="0"/>
          <w:sz w:val="22"/>
          <w:szCs w:val="22"/>
          <w:lang w:val="zh-CN" w:eastAsia="zh-CN"/>
        </w:rPr>
        <w:instrText xml:space="preserve"> PAGEREF _Toc25842029 \h </w:instrText>
      </w:r>
      <w:r>
        <w:rPr>
          <w:rFonts w:eastAsia="仿宋"/>
          <w:bCs/>
          <w:smallCaps/>
          <w:color w:val="000000"/>
          <w:kern w:val="0"/>
          <w:sz w:val="22"/>
          <w:szCs w:val="22"/>
          <w:lang w:val="zh-CN" w:eastAsia="zh-CN"/>
        </w:rPr>
        <w:fldChar w:fldCharType="separate"/>
      </w:r>
      <w:r>
        <w:rPr>
          <w:rFonts w:eastAsia="仿宋"/>
          <w:bCs/>
          <w:smallCaps/>
          <w:color w:val="000000"/>
          <w:kern w:val="0"/>
          <w:sz w:val="22"/>
          <w:szCs w:val="22"/>
          <w:lang w:val="zh-CN" w:eastAsia="zh-CN"/>
        </w:rPr>
        <w:t>88</w:t>
      </w:r>
      <w:r>
        <w:rPr>
          <w:rFonts w:eastAsia="仿宋"/>
          <w:bCs/>
          <w:smallCaps/>
          <w:color w:val="000000"/>
          <w:kern w:val="0"/>
          <w:sz w:val="22"/>
          <w:szCs w:val="22"/>
          <w:lang w:val="zh-CN" w:eastAsia="zh-CN"/>
        </w:rPr>
        <w:fldChar w:fldCharType="end"/>
      </w:r>
      <w:r>
        <w:rPr>
          <w:rFonts w:eastAsia="仿宋"/>
          <w:bCs/>
          <w:smallCaps/>
          <w:color w:val="000000"/>
          <w:kern w:val="0"/>
          <w:sz w:val="22"/>
          <w:szCs w:val="22"/>
          <w:lang w:val="zh-CN" w:eastAsia="zh-CN"/>
        </w:rPr>
        <w:fldChar w:fldCharType="end"/>
      </w:r>
    </w:p>
    <w:p>
      <w:pPr>
        <w:tabs>
          <w:tab w:val="right" w:leader="dot" w:pos="8296"/>
        </w:tabs>
        <w:spacing w:line="360" w:lineRule="exact"/>
        <w:ind w:left="210"/>
        <w:jc w:val="left"/>
        <w:rPr>
          <w:color w:val="000000"/>
          <w:szCs w:val="22"/>
        </w:rPr>
      </w:pPr>
      <w:r>
        <w:fldChar w:fldCharType="begin"/>
      </w:r>
      <w:r>
        <w:instrText xml:space="preserve"> HYPERLINK \l "_Toc25842030" </w:instrText>
      </w:r>
      <w:r>
        <w:fldChar w:fldCharType="separate"/>
      </w:r>
      <w:r>
        <w:rPr>
          <w:rFonts w:eastAsia="仿宋_GB2312"/>
          <w:bCs/>
          <w:smallCaps/>
          <w:color w:val="000000"/>
          <w:kern w:val="0"/>
          <w:sz w:val="22"/>
          <w:szCs w:val="22"/>
          <w:lang w:val="zh-CN" w:eastAsia="zh-CN"/>
        </w:rPr>
        <w:t>二、 数据内容</w:t>
      </w:r>
      <w:r>
        <w:rPr>
          <w:rFonts w:eastAsia="仿宋"/>
          <w:bCs/>
          <w:smallCaps/>
          <w:color w:val="000000"/>
          <w:kern w:val="0"/>
          <w:sz w:val="22"/>
          <w:szCs w:val="22"/>
          <w:lang w:val="zh-CN" w:eastAsia="zh-CN"/>
        </w:rPr>
        <w:tab/>
      </w:r>
      <w:r>
        <w:rPr>
          <w:rFonts w:eastAsia="仿宋"/>
          <w:bCs/>
          <w:smallCaps/>
          <w:color w:val="000000"/>
          <w:kern w:val="0"/>
          <w:sz w:val="22"/>
          <w:szCs w:val="22"/>
          <w:lang w:val="zh-CN" w:eastAsia="zh-CN"/>
        </w:rPr>
        <w:fldChar w:fldCharType="begin"/>
      </w:r>
      <w:r>
        <w:rPr>
          <w:rFonts w:eastAsia="仿宋"/>
          <w:bCs/>
          <w:smallCaps/>
          <w:color w:val="000000"/>
          <w:kern w:val="0"/>
          <w:sz w:val="22"/>
          <w:szCs w:val="22"/>
          <w:lang w:val="zh-CN" w:eastAsia="zh-CN"/>
        </w:rPr>
        <w:instrText xml:space="preserve"> PAGEREF _Toc25842030 \h </w:instrText>
      </w:r>
      <w:r>
        <w:rPr>
          <w:rFonts w:eastAsia="仿宋"/>
          <w:bCs/>
          <w:smallCaps/>
          <w:color w:val="000000"/>
          <w:kern w:val="0"/>
          <w:sz w:val="22"/>
          <w:szCs w:val="22"/>
          <w:lang w:val="zh-CN" w:eastAsia="zh-CN"/>
        </w:rPr>
        <w:fldChar w:fldCharType="separate"/>
      </w:r>
      <w:r>
        <w:rPr>
          <w:rFonts w:eastAsia="仿宋"/>
          <w:bCs/>
          <w:smallCaps/>
          <w:color w:val="000000"/>
          <w:kern w:val="0"/>
          <w:sz w:val="22"/>
          <w:szCs w:val="22"/>
          <w:lang w:val="zh-CN" w:eastAsia="zh-CN"/>
        </w:rPr>
        <w:t>88</w:t>
      </w:r>
      <w:r>
        <w:rPr>
          <w:rFonts w:eastAsia="仿宋"/>
          <w:bCs/>
          <w:smallCaps/>
          <w:color w:val="000000"/>
          <w:kern w:val="0"/>
          <w:sz w:val="22"/>
          <w:szCs w:val="22"/>
          <w:lang w:val="zh-CN" w:eastAsia="zh-CN"/>
        </w:rPr>
        <w:fldChar w:fldCharType="end"/>
      </w:r>
      <w:r>
        <w:rPr>
          <w:rFonts w:eastAsia="仿宋"/>
          <w:bCs/>
          <w:smallCaps/>
          <w:color w:val="000000"/>
          <w:kern w:val="0"/>
          <w:sz w:val="22"/>
          <w:szCs w:val="22"/>
          <w:lang w:val="zh-CN" w:eastAsia="zh-CN"/>
        </w:rPr>
        <w:fldChar w:fldCharType="end"/>
      </w:r>
    </w:p>
    <w:p>
      <w:pPr>
        <w:tabs>
          <w:tab w:val="right" w:leader="dot" w:pos="8296"/>
        </w:tabs>
        <w:spacing w:line="360" w:lineRule="exact"/>
        <w:ind w:left="210"/>
        <w:jc w:val="left"/>
        <w:rPr>
          <w:color w:val="000000"/>
          <w:szCs w:val="22"/>
        </w:rPr>
      </w:pPr>
      <w:r>
        <w:fldChar w:fldCharType="begin"/>
      </w:r>
      <w:r>
        <w:instrText xml:space="preserve"> HYPERLINK \l "_Toc25842031" </w:instrText>
      </w:r>
      <w:r>
        <w:fldChar w:fldCharType="separate"/>
      </w:r>
      <w:r>
        <w:rPr>
          <w:rFonts w:eastAsia="仿宋_GB2312"/>
          <w:bCs/>
          <w:smallCaps/>
          <w:color w:val="000000"/>
          <w:kern w:val="0"/>
          <w:sz w:val="22"/>
          <w:szCs w:val="22"/>
          <w:lang w:val="zh-CN" w:eastAsia="zh-CN"/>
        </w:rPr>
        <w:t>三、 报送渠道</w:t>
      </w:r>
      <w:r>
        <w:rPr>
          <w:rFonts w:eastAsia="仿宋"/>
          <w:bCs/>
          <w:smallCaps/>
          <w:color w:val="000000"/>
          <w:kern w:val="0"/>
          <w:sz w:val="22"/>
          <w:szCs w:val="22"/>
          <w:lang w:val="zh-CN" w:eastAsia="zh-CN"/>
        </w:rPr>
        <w:tab/>
      </w:r>
      <w:r>
        <w:rPr>
          <w:rFonts w:eastAsia="仿宋"/>
          <w:bCs/>
          <w:smallCaps/>
          <w:color w:val="000000"/>
          <w:kern w:val="0"/>
          <w:sz w:val="22"/>
          <w:szCs w:val="22"/>
          <w:lang w:val="zh-CN" w:eastAsia="zh-CN"/>
        </w:rPr>
        <w:fldChar w:fldCharType="begin"/>
      </w:r>
      <w:r>
        <w:rPr>
          <w:rFonts w:eastAsia="仿宋"/>
          <w:bCs/>
          <w:smallCaps/>
          <w:color w:val="000000"/>
          <w:kern w:val="0"/>
          <w:sz w:val="22"/>
          <w:szCs w:val="22"/>
          <w:lang w:val="zh-CN" w:eastAsia="zh-CN"/>
        </w:rPr>
        <w:instrText xml:space="preserve"> PAGEREF _Toc25842031 \h </w:instrText>
      </w:r>
      <w:r>
        <w:rPr>
          <w:rFonts w:eastAsia="仿宋"/>
          <w:bCs/>
          <w:smallCaps/>
          <w:color w:val="000000"/>
          <w:kern w:val="0"/>
          <w:sz w:val="22"/>
          <w:szCs w:val="22"/>
          <w:lang w:val="zh-CN" w:eastAsia="zh-CN"/>
        </w:rPr>
        <w:fldChar w:fldCharType="separate"/>
      </w:r>
      <w:r>
        <w:rPr>
          <w:rFonts w:eastAsia="仿宋"/>
          <w:bCs/>
          <w:smallCaps/>
          <w:color w:val="000000"/>
          <w:kern w:val="0"/>
          <w:sz w:val="22"/>
          <w:szCs w:val="22"/>
          <w:lang w:val="zh-CN" w:eastAsia="zh-CN"/>
        </w:rPr>
        <w:t>89</w:t>
      </w:r>
      <w:r>
        <w:rPr>
          <w:rFonts w:eastAsia="仿宋"/>
          <w:bCs/>
          <w:smallCaps/>
          <w:color w:val="000000"/>
          <w:kern w:val="0"/>
          <w:sz w:val="22"/>
          <w:szCs w:val="22"/>
          <w:lang w:val="zh-CN" w:eastAsia="zh-CN"/>
        </w:rPr>
        <w:fldChar w:fldCharType="end"/>
      </w:r>
      <w:r>
        <w:rPr>
          <w:rFonts w:eastAsia="仿宋"/>
          <w:bCs/>
          <w:smallCaps/>
          <w:color w:val="000000"/>
          <w:kern w:val="0"/>
          <w:sz w:val="22"/>
          <w:szCs w:val="22"/>
          <w:lang w:val="zh-CN" w:eastAsia="zh-CN"/>
        </w:rPr>
        <w:fldChar w:fldCharType="end"/>
      </w:r>
    </w:p>
    <w:p>
      <w:pPr>
        <w:tabs>
          <w:tab w:val="right" w:leader="dot" w:pos="8296"/>
        </w:tabs>
        <w:spacing w:line="360" w:lineRule="exact"/>
        <w:ind w:left="210"/>
        <w:jc w:val="left"/>
        <w:rPr>
          <w:color w:val="000000"/>
          <w:szCs w:val="22"/>
        </w:rPr>
      </w:pPr>
      <w:r>
        <w:fldChar w:fldCharType="begin"/>
      </w:r>
      <w:r>
        <w:instrText xml:space="preserve"> HYPERLINK \l "_Toc25842032" </w:instrText>
      </w:r>
      <w:r>
        <w:fldChar w:fldCharType="separate"/>
      </w:r>
      <w:r>
        <w:rPr>
          <w:rFonts w:eastAsia="仿宋_GB2312"/>
          <w:bCs/>
          <w:smallCaps/>
          <w:color w:val="000000"/>
          <w:kern w:val="0"/>
          <w:sz w:val="22"/>
          <w:szCs w:val="22"/>
          <w:lang w:val="zh-CN" w:eastAsia="zh-CN"/>
        </w:rPr>
        <w:t>四、 格式要求</w:t>
      </w:r>
      <w:r>
        <w:rPr>
          <w:rFonts w:eastAsia="仿宋"/>
          <w:bCs/>
          <w:smallCaps/>
          <w:color w:val="000000"/>
          <w:kern w:val="0"/>
          <w:sz w:val="22"/>
          <w:szCs w:val="22"/>
          <w:lang w:val="zh-CN" w:eastAsia="zh-CN"/>
        </w:rPr>
        <w:tab/>
      </w:r>
      <w:r>
        <w:rPr>
          <w:rFonts w:eastAsia="仿宋"/>
          <w:bCs/>
          <w:smallCaps/>
          <w:color w:val="000000"/>
          <w:kern w:val="0"/>
          <w:sz w:val="22"/>
          <w:szCs w:val="22"/>
          <w:lang w:val="zh-CN" w:eastAsia="zh-CN"/>
        </w:rPr>
        <w:fldChar w:fldCharType="begin"/>
      </w:r>
      <w:r>
        <w:rPr>
          <w:rFonts w:eastAsia="仿宋"/>
          <w:bCs/>
          <w:smallCaps/>
          <w:color w:val="000000"/>
          <w:kern w:val="0"/>
          <w:sz w:val="22"/>
          <w:szCs w:val="22"/>
          <w:lang w:val="zh-CN" w:eastAsia="zh-CN"/>
        </w:rPr>
        <w:instrText xml:space="preserve"> PAGEREF _Toc25842032 \h </w:instrText>
      </w:r>
      <w:r>
        <w:rPr>
          <w:rFonts w:eastAsia="仿宋"/>
          <w:bCs/>
          <w:smallCaps/>
          <w:color w:val="000000"/>
          <w:kern w:val="0"/>
          <w:sz w:val="22"/>
          <w:szCs w:val="22"/>
          <w:lang w:val="zh-CN" w:eastAsia="zh-CN"/>
        </w:rPr>
        <w:fldChar w:fldCharType="separate"/>
      </w:r>
      <w:r>
        <w:rPr>
          <w:rFonts w:eastAsia="仿宋"/>
          <w:bCs/>
          <w:smallCaps/>
          <w:color w:val="000000"/>
          <w:kern w:val="0"/>
          <w:sz w:val="22"/>
          <w:szCs w:val="22"/>
          <w:lang w:val="zh-CN" w:eastAsia="zh-CN"/>
        </w:rPr>
        <w:t>90</w:t>
      </w:r>
      <w:r>
        <w:rPr>
          <w:rFonts w:eastAsia="仿宋"/>
          <w:bCs/>
          <w:smallCaps/>
          <w:color w:val="000000"/>
          <w:kern w:val="0"/>
          <w:sz w:val="22"/>
          <w:szCs w:val="22"/>
          <w:lang w:val="zh-CN" w:eastAsia="zh-CN"/>
        </w:rPr>
        <w:fldChar w:fldCharType="end"/>
      </w:r>
      <w:r>
        <w:rPr>
          <w:rFonts w:eastAsia="仿宋"/>
          <w:bCs/>
          <w:smallCaps/>
          <w:color w:val="000000"/>
          <w:kern w:val="0"/>
          <w:sz w:val="22"/>
          <w:szCs w:val="22"/>
          <w:lang w:val="zh-CN" w:eastAsia="zh-CN"/>
        </w:rPr>
        <w:fldChar w:fldCharType="end"/>
      </w:r>
    </w:p>
    <w:p>
      <w:pPr>
        <w:tabs>
          <w:tab w:val="right" w:leader="dot" w:pos="8296"/>
        </w:tabs>
        <w:spacing w:line="360" w:lineRule="exact"/>
        <w:jc w:val="left"/>
        <w:rPr>
          <w:color w:val="000000"/>
          <w:szCs w:val="22"/>
        </w:rPr>
      </w:pPr>
      <w:r>
        <w:fldChar w:fldCharType="begin"/>
      </w:r>
      <w:r>
        <w:instrText xml:space="preserve"> HYPERLINK \l "_Toc25842033" </w:instrText>
      </w:r>
      <w:r>
        <w:fldChar w:fldCharType="separate"/>
      </w:r>
      <w:r>
        <w:rPr>
          <w:rFonts w:eastAsia="黑体"/>
          <w:bCs/>
          <w:caps/>
          <w:color w:val="000000"/>
          <w:sz w:val="22"/>
          <w:szCs w:val="22"/>
        </w:rPr>
        <w:t>第十三章 程序化交易报备</w:t>
      </w:r>
      <w:r>
        <w:rPr>
          <w:rFonts w:eastAsia="黑体"/>
          <w:bCs/>
          <w:caps/>
          <w:color w:val="000000"/>
          <w:sz w:val="22"/>
          <w:szCs w:val="22"/>
        </w:rPr>
        <w:tab/>
      </w:r>
      <w:r>
        <w:rPr>
          <w:rFonts w:eastAsia="黑体"/>
          <w:bCs/>
          <w:caps/>
          <w:color w:val="000000"/>
          <w:sz w:val="22"/>
          <w:szCs w:val="22"/>
        </w:rPr>
        <w:fldChar w:fldCharType="begin"/>
      </w:r>
      <w:r>
        <w:rPr>
          <w:rFonts w:eastAsia="黑体"/>
          <w:bCs/>
          <w:caps/>
          <w:color w:val="000000"/>
          <w:sz w:val="22"/>
          <w:szCs w:val="22"/>
        </w:rPr>
        <w:instrText xml:space="preserve"> PAGEREF _Toc25842033 \h </w:instrText>
      </w:r>
      <w:r>
        <w:rPr>
          <w:rFonts w:eastAsia="黑体"/>
          <w:bCs/>
          <w:caps/>
          <w:color w:val="000000"/>
          <w:sz w:val="22"/>
          <w:szCs w:val="22"/>
        </w:rPr>
        <w:fldChar w:fldCharType="separate"/>
      </w:r>
      <w:r>
        <w:rPr>
          <w:rFonts w:eastAsia="黑体"/>
          <w:bCs/>
          <w:caps/>
          <w:color w:val="000000"/>
          <w:sz w:val="22"/>
          <w:szCs w:val="22"/>
        </w:rPr>
        <w:t>92</w:t>
      </w:r>
      <w:r>
        <w:rPr>
          <w:rFonts w:eastAsia="黑体"/>
          <w:bCs/>
          <w:caps/>
          <w:color w:val="000000"/>
          <w:sz w:val="22"/>
          <w:szCs w:val="22"/>
        </w:rPr>
        <w:fldChar w:fldCharType="end"/>
      </w:r>
      <w:r>
        <w:rPr>
          <w:rFonts w:eastAsia="黑体"/>
          <w:bCs/>
          <w:caps/>
          <w:color w:val="000000"/>
          <w:sz w:val="22"/>
          <w:szCs w:val="22"/>
        </w:rPr>
        <w:fldChar w:fldCharType="end"/>
      </w:r>
    </w:p>
    <w:p>
      <w:pPr>
        <w:tabs>
          <w:tab w:val="right" w:leader="dot" w:pos="8296"/>
        </w:tabs>
        <w:spacing w:line="360" w:lineRule="exact"/>
        <w:ind w:left="210"/>
        <w:jc w:val="left"/>
        <w:rPr>
          <w:color w:val="000000"/>
          <w:szCs w:val="22"/>
        </w:rPr>
      </w:pPr>
      <w:r>
        <w:fldChar w:fldCharType="begin"/>
      </w:r>
      <w:r>
        <w:instrText xml:space="preserve"> HYPERLINK \l "_Toc25842034" </w:instrText>
      </w:r>
      <w:r>
        <w:fldChar w:fldCharType="separate"/>
      </w:r>
      <w:r>
        <w:rPr>
          <w:rFonts w:eastAsia="仿宋_GB2312"/>
          <w:bCs/>
          <w:smallCaps/>
          <w:color w:val="000000"/>
          <w:kern w:val="0"/>
          <w:sz w:val="22"/>
          <w:szCs w:val="22"/>
          <w:lang w:val="zh-CN" w:eastAsia="zh-CN"/>
        </w:rPr>
        <w:t>一、 程序化交易接入管理要求</w:t>
      </w:r>
      <w:r>
        <w:rPr>
          <w:rFonts w:eastAsia="仿宋"/>
          <w:bCs/>
          <w:smallCaps/>
          <w:color w:val="000000"/>
          <w:kern w:val="0"/>
          <w:sz w:val="22"/>
          <w:szCs w:val="22"/>
          <w:lang w:val="zh-CN" w:eastAsia="zh-CN"/>
        </w:rPr>
        <w:tab/>
      </w:r>
      <w:r>
        <w:rPr>
          <w:rFonts w:eastAsia="仿宋"/>
          <w:bCs/>
          <w:smallCaps/>
          <w:color w:val="000000"/>
          <w:kern w:val="0"/>
          <w:sz w:val="22"/>
          <w:szCs w:val="22"/>
          <w:lang w:val="zh-CN" w:eastAsia="zh-CN"/>
        </w:rPr>
        <w:fldChar w:fldCharType="begin"/>
      </w:r>
      <w:r>
        <w:rPr>
          <w:rFonts w:eastAsia="仿宋"/>
          <w:bCs/>
          <w:smallCaps/>
          <w:color w:val="000000"/>
          <w:kern w:val="0"/>
          <w:sz w:val="22"/>
          <w:szCs w:val="22"/>
          <w:lang w:val="zh-CN" w:eastAsia="zh-CN"/>
        </w:rPr>
        <w:instrText xml:space="preserve"> PAGEREF _Toc25842034 \h </w:instrText>
      </w:r>
      <w:r>
        <w:rPr>
          <w:rFonts w:eastAsia="仿宋"/>
          <w:bCs/>
          <w:smallCaps/>
          <w:color w:val="000000"/>
          <w:kern w:val="0"/>
          <w:sz w:val="22"/>
          <w:szCs w:val="22"/>
          <w:lang w:val="zh-CN" w:eastAsia="zh-CN"/>
        </w:rPr>
        <w:fldChar w:fldCharType="separate"/>
      </w:r>
      <w:r>
        <w:rPr>
          <w:rFonts w:eastAsia="仿宋"/>
          <w:bCs/>
          <w:smallCaps/>
          <w:color w:val="000000"/>
          <w:kern w:val="0"/>
          <w:sz w:val="22"/>
          <w:szCs w:val="22"/>
          <w:lang w:val="zh-CN" w:eastAsia="zh-CN"/>
        </w:rPr>
        <w:t>92</w:t>
      </w:r>
      <w:r>
        <w:rPr>
          <w:rFonts w:eastAsia="仿宋"/>
          <w:bCs/>
          <w:smallCaps/>
          <w:color w:val="000000"/>
          <w:kern w:val="0"/>
          <w:sz w:val="22"/>
          <w:szCs w:val="22"/>
          <w:lang w:val="zh-CN" w:eastAsia="zh-CN"/>
        </w:rPr>
        <w:fldChar w:fldCharType="end"/>
      </w:r>
      <w:r>
        <w:rPr>
          <w:rFonts w:eastAsia="仿宋"/>
          <w:bCs/>
          <w:smallCaps/>
          <w:color w:val="000000"/>
          <w:kern w:val="0"/>
          <w:sz w:val="22"/>
          <w:szCs w:val="22"/>
          <w:lang w:val="zh-CN" w:eastAsia="zh-CN"/>
        </w:rPr>
        <w:fldChar w:fldCharType="end"/>
      </w:r>
    </w:p>
    <w:p>
      <w:pPr>
        <w:tabs>
          <w:tab w:val="right" w:leader="dot" w:pos="8296"/>
        </w:tabs>
        <w:spacing w:line="360" w:lineRule="exact"/>
        <w:ind w:left="210"/>
        <w:jc w:val="left"/>
        <w:rPr>
          <w:color w:val="000000"/>
          <w:szCs w:val="22"/>
        </w:rPr>
      </w:pPr>
      <w:r>
        <w:fldChar w:fldCharType="begin"/>
      </w:r>
      <w:r>
        <w:instrText xml:space="preserve"> HYPERLINK \l "_Toc25842035" </w:instrText>
      </w:r>
      <w:r>
        <w:fldChar w:fldCharType="separate"/>
      </w:r>
      <w:r>
        <w:rPr>
          <w:rFonts w:eastAsia="仿宋_GB2312"/>
          <w:bCs/>
          <w:smallCaps/>
          <w:color w:val="000000"/>
          <w:kern w:val="0"/>
          <w:sz w:val="22"/>
          <w:szCs w:val="22"/>
          <w:lang w:val="zh-CN" w:eastAsia="zh-CN"/>
        </w:rPr>
        <w:t>二、</w:t>
      </w:r>
      <w:r>
        <w:rPr>
          <w:rFonts w:eastAsia="仿宋"/>
          <w:bCs/>
          <w:smallCaps/>
          <w:color w:val="000000"/>
          <w:kern w:val="0"/>
          <w:sz w:val="22"/>
          <w:szCs w:val="22"/>
          <w:lang w:val="zh-CN" w:eastAsia="zh-CN"/>
        </w:rPr>
        <w:t xml:space="preserve"> 程序化交易</w:t>
      </w:r>
      <w:r>
        <w:rPr>
          <w:rFonts w:eastAsia="仿宋_GB2312"/>
          <w:bCs/>
          <w:smallCaps/>
          <w:color w:val="000000"/>
          <w:kern w:val="0"/>
          <w:sz w:val="22"/>
          <w:szCs w:val="22"/>
          <w:lang w:val="zh-CN" w:eastAsia="zh-CN"/>
        </w:rPr>
        <w:t>报备管理要求</w:t>
      </w:r>
      <w:r>
        <w:rPr>
          <w:rFonts w:eastAsia="仿宋"/>
          <w:bCs/>
          <w:smallCaps/>
          <w:color w:val="000000"/>
          <w:kern w:val="0"/>
          <w:sz w:val="22"/>
          <w:szCs w:val="22"/>
          <w:lang w:val="zh-CN" w:eastAsia="zh-CN"/>
        </w:rPr>
        <w:tab/>
      </w:r>
      <w:r>
        <w:rPr>
          <w:rFonts w:eastAsia="仿宋"/>
          <w:bCs/>
          <w:smallCaps/>
          <w:color w:val="000000"/>
          <w:kern w:val="0"/>
          <w:sz w:val="22"/>
          <w:szCs w:val="22"/>
          <w:lang w:val="zh-CN" w:eastAsia="zh-CN"/>
        </w:rPr>
        <w:fldChar w:fldCharType="begin"/>
      </w:r>
      <w:r>
        <w:rPr>
          <w:rFonts w:eastAsia="仿宋"/>
          <w:bCs/>
          <w:smallCaps/>
          <w:color w:val="000000"/>
          <w:kern w:val="0"/>
          <w:sz w:val="22"/>
          <w:szCs w:val="22"/>
          <w:lang w:val="zh-CN" w:eastAsia="zh-CN"/>
        </w:rPr>
        <w:instrText xml:space="preserve"> PAGEREF _Toc25842035 \h </w:instrText>
      </w:r>
      <w:r>
        <w:rPr>
          <w:rFonts w:eastAsia="仿宋"/>
          <w:bCs/>
          <w:smallCaps/>
          <w:color w:val="000000"/>
          <w:kern w:val="0"/>
          <w:sz w:val="22"/>
          <w:szCs w:val="22"/>
          <w:lang w:val="zh-CN" w:eastAsia="zh-CN"/>
        </w:rPr>
        <w:fldChar w:fldCharType="separate"/>
      </w:r>
      <w:r>
        <w:rPr>
          <w:rFonts w:eastAsia="仿宋"/>
          <w:bCs/>
          <w:smallCaps/>
          <w:color w:val="000000"/>
          <w:kern w:val="0"/>
          <w:sz w:val="22"/>
          <w:szCs w:val="22"/>
          <w:lang w:val="zh-CN" w:eastAsia="zh-CN"/>
        </w:rPr>
        <w:t>92</w:t>
      </w:r>
      <w:r>
        <w:rPr>
          <w:rFonts w:eastAsia="仿宋"/>
          <w:bCs/>
          <w:smallCaps/>
          <w:color w:val="000000"/>
          <w:kern w:val="0"/>
          <w:sz w:val="22"/>
          <w:szCs w:val="22"/>
          <w:lang w:val="zh-CN" w:eastAsia="zh-CN"/>
        </w:rPr>
        <w:fldChar w:fldCharType="end"/>
      </w:r>
      <w:r>
        <w:rPr>
          <w:rFonts w:eastAsia="仿宋"/>
          <w:bCs/>
          <w:smallCaps/>
          <w:color w:val="000000"/>
          <w:kern w:val="0"/>
          <w:sz w:val="22"/>
          <w:szCs w:val="22"/>
          <w:lang w:val="zh-CN" w:eastAsia="zh-CN"/>
        </w:rPr>
        <w:fldChar w:fldCharType="end"/>
      </w:r>
    </w:p>
    <w:p>
      <w:pPr>
        <w:tabs>
          <w:tab w:val="right" w:leader="dot" w:pos="8296"/>
        </w:tabs>
        <w:spacing w:line="360" w:lineRule="exact"/>
        <w:ind w:left="210"/>
        <w:jc w:val="left"/>
        <w:rPr>
          <w:color w:val="000000"/>
          <w:szCs w:val="22"/>
        </w:rPr>
      </w:pPr>
      <w:r>
        <w:fldChar w:fldCharType="begin"/>
      </w:r>
      <w:r>
        <w:instrText xml:space="preserve"> HYPERLINK \l "_Toc25842036" </w:instrText>
      </w:r>
      <w:r>
        <w:fldChar w:fldCharType="separate"/>
      </w:r>
      <w:r>
        <w:rPr>
          <w:rFonts w:eastAsia="仿宋_GB2312"/>
          <w:bCs/>
          <w:smallCaps/>
          <w:color w:val="000000"/>
          <w:kern w:val="0"/>
          <w:sz w:val="22"/>
          <w:szCs w:val="22"/>
          <w:lang w:val="zh-CN" w:eastAsia="zh-CN"/>
        </w:rPr>
        <w:t>三、 程序化交易升级报备</w:t>
      </w:r>
      <w:r>
        <w:rPr>
          <w:rFonts w:eastAsia="仿宋"/>
          <w:bCs/>
          <w:smallCaps/>
          <w:color w:val="000000"/>
          <w:kern w:val="0"/>
          <w:sz w:val="22"/>
          <w:szCs w:val="22"/>
          <w:lang w:val="zh-CN" w:eastAsia="zh-CN"/>
        </w:rPr>
        <w:tab/>
      </w:r>
      <w:r>
        <w:rPr>
          <w:rFonts w:eastAsia="仿宋"/>
          <w:bCs/>
          <w:smallCaps/>
          <w:color w:val="000000"/>
          <w:kern w:val="0"/>
          <w:sz w:val="22"/>
          <w:szCs w:val="22"/>
          <w:lang w:val="zh-CN" w:eastAsia="zh-CN"/>
        </w:rPr>
        <w:fldChar w:fldCharType="begin"/>
      </w:r>
      <w:r>
        <w:rPr>
          <w:rFonts w:eastAsia="仿宋"/>
          <w:bCs/>
          <w:smallCaps/>
          <w:color w:val="000000"/>
          <w:kern w:val="0"/>
          <w:sz w:val="22"/>
          <w:szCs w:val="22"/>
          <w:lang w:val="zh-CN" w:eastAsia="zh-CN"/>
        </w:rPr>
        <w:instrText xml:space="preserve"> PAGEREF _Toc25842036 \h </w:instrText>
      </w:r>
      <w:r>
        <w:rPr>
          <w:rFonts w:eastAsia="仿宋"/>
          <w:bCs/>
          <w:smallCaps/>
          <w:color w:val="000000"/>
          <w:kern w:val="0"/>
          <w:sz w:val="22"/>
          <w:szCs w:val="22"/>
          <w:lang w:val="zh-CN" w:eastAsia="zh-CN"/>
        </w:rPr>
        <w:fldChar w:fldCharType="separate"/>
      </w:r>
      <w:r>
        <w:rPr>
          <w:rFonts w:eastAsia="仿宋"/>
          <w:bCs/>
          <w:smallCaps/>
          <w:color w:val="000000"/>
          <w:kern w:val="0"/>
          <w:sz w:val="22"/>
          <w:szCs w:val="22"/>
          <w:lang w:val="zh-CN" w:eastAsia="zh-CN"/>
        </w:rPr>
        <w:t>93</w:t>
      </w:r>
      <w:r>
        <w:rPr>
          <w:rFonts w:eastAsia="仿宋"/>
          <w:bCs/>
          <w:smallCaps/>
          <w:color w:val="000000"/>
          <w:kern w:val="0"/>
          <w:sz w:val="22"/>
          <w:szCs w:val="22"/>
          <w:lang w:val="zh-CN" w:eastAsia="zh-CN"/>
        </w:rPr>
        <w:fldChar w:fldCharType="end"/>
      </w:r>
      <w:r>
        <w:rPr>
          <w:rFonts w:eastAsia="仿宋"/>
          <w:bCs/>
          <w:smallCaps/>
          <w:color w:val="000000"/>
          <w:kern w:val="0"/>
          <w:sz w:val="22"/>
          <w:szCs w:val="22"/>
          <w:lang w:val="zh-CN" w:eastAsia="zh-CN"/>
        </w:rPr>
        <w:fldChar w:fldCharType="end"/>
      </w:r>
    </w:p>
    <w:p>
      <w:pPr>
        <w:tabs>
          <w:tab w:val="right" w:leader="dot" w:pos="8296"/>
        </w:tabs>
        <w:spacing w:line="360" w:lineRule="exact"/>
        <w:ind w:left="210"/>
        <w:jc w:val="left"/>
        <w:rPr>
          <w:color w:val="000000"/>
          <w:szCs w:val="22"/>
        </w:rPr>
      </w:pPr>
      <w:r>
        <w:fldChar w:fldCharType="begin"/>
      </w:r>
      <w:r>
        <w:instrText xml:space="preserve"> HYPERLINK \l "_Toc25842037" </w:instrText>
      </w:r>
      <w:r>
        <w:fldChar w:fldCharType="separate"/>
      </w:r>
      <w:r>
        <w:rPr>
          <w:rFonts w:eastAsia="仿宋_GB2312"/>
          <w:bCs/>
          <w:smallCaps/>
          <w:color w:val="000000"/>
          <w:kern w:val="0"/>
          <w:sz w:val="22"/>
          <w:szCs w:val="22"/>
          <w:lang w:val="zh-CN" w:eastAsia="zh-CN"/>
        </w:rPr>
        <w:t>四、</w:t>
      </w:r>
      <w:r>
        <w:rPr>
          <w:rFonts w:eastAsia="仿宋"/>
          <w:bCs/>
          <w:smallCaps/>
          <w:color w:val="000000"/>
          <w:kern w:val="0"/>
          <w:sz w:val="22"/>
          <w:szCs w:val="22"/>
          <w:lang w:val="zh-CN" w:eastAsia="zh-CN"/>
        </w:rPr>
        <w:t xml:space="preserve"> 程序化交易监督</w:t>
      </w:r>
      <w:r>
        <w:rPr>
          <w:rFonts w:eastAsia="仿宋"/>
          <w:bCs/>
          <w:smallCaps/>
          <w:color w:val="000000"/>
          <w:kern w:val="0"/>
          <w:sz w:val="22"/>
          <w:szCs w:val="22"/>
          <w:lang w:val="zh-CN" w:eastAsia="zh-CN"/>
        </w:rPr>
        <w:tab/>
      </w:r>
      <w:r>
        <w:rPr>
          <w:rFonts w:eastAsia="仿宋"/>
          <w:bCs/>
          <w:smallCaps/>
          <w:color w:val="000000"/>
          <w:kern w:val="0"/>
          <w:sz w:val="22"/>
          <w:szCs w:val="22"/>
          <w:lang w:val="zh-CN" w:eastAsia="zh-CN"/>
        </w:rPr>
        <w:fldChar w:fldCharType="begin"/>
      </w:r>
      <w:r>
        <w:rPr>
          <w:rFonts w:eastAsia="仿宋"/>
          <w:bCs/>
          <w:smallCaps/>
          <w:color w:val="000000"/>
          <w:kern w:val="0"/>
          <w:sz w:val="22"/>
          <w:szCs w:val="22"/>
          <w:lang w:val="zh-CN" w:eastAsia="zh-CN"/>
        </w:rPr>
        <w:instrText xml:space="preserve"> PAGEREF _Toc25842037 \h </w:instrText>
      </w:r>
      <w:r>
        <w:rPr>
          <w:rFonts w:eastAsia="仿宋"/>
          <w:bCs/>
          <w:smallCaps/>
          <w:color w:val="000000"/>
          <w:kern w:val="0"/>
          <w:sz w:val="22"/>
          <w:szCs w:val="22"/>
          <w:lang w:val="zh-CN" w:eastAsia="zh-CN"/>
        </w:rPr>
        <w:fldChar w:fldCharType="separate"/>
      </w:r>
      <w:r>
        <w:rPr>
          <w:rFonts w:eastAsia="仿宋"/>
          <w:bCs/>
          <w:smallCaps/>
          <w:color w:val="000000"/>
          <w:kern w:val="0"/>
          <w:sz w:val="22"/>
          <w:szCs w:val="22"/>
          <w:lang w:val="zh-CN" w:eastAsia="zh-CN"/>
        </w:rPr>
        <w:t>94</w:t>
      </w:r>
      <w:r>
        <w:rPr>
          <w:rFonts w:eastAsia="仿宋"/>
          <w:bCs/>
          <w:smallCaps/>
          <w:color w:val="000000"/>
          <w:kern w:val="0"/>
          <w:sz w:val="22"/>
          <w:szCs w:val="22"/>
          <w:lang w:val="zh-CN" w:eastAsia="zh-CN"/>
        </w:rPr>
        <w:fldChar w:fldCharType="end"/>
      </w:r>
      <w:r>
        <w:rPr>
          <w:rFonts w:eastAsia="仿宋"/>
          <w:bCs/>
          <w:smallCaps/>
          <w:color w:val="000000"/>
          <w:kern w:val="0"/>
          <w:sz w:val="22"/>
          <w:szCs w:val="22"/>
          <w:lang w:val="zh-CN" w:eastAsia="zh-CN"/>
        </w:rPr>
        <w:fldChar w:fldCharType="end"/>
      </w:r>
    </w:p>
    <w:p>
      <w:pPr>
        <w:tabs>
          <w:tab w:val="right" w:leader="dot" w:pos="8296"/>
        </w:tabs>
        <w:spacing w:line="360" w:lineRule="exact"/>
        <w:jc w:val="left"/>
        <w:rPr>
          <w:color w:val="000000"/>
          <w:szCs w:val="22"/>
        </w:rPr>
      </w:pPr>
      <w:r>
        <w:fldChar w:fldCharType="begin"/>
      </w:r>
      <w:r>
        <w:instrText xml:space="preserve"> HYPERLINK \l "_Toc25842038" </w:instrText>
      </w:r>
      <w:r>
        <w:fldChar w:fldCharType="separate"/>
      </w:r>
      <w:r>
        <w:rPr>
          <w:rFonts w:eastAsia="黑体"/>
          <w:bCs/>
          <w:caps/>
          <w:color w:val="000000"/>
          <w:sz w:val="22"/>
          <w:szCs w:val="22"/>
        </w:rPr>
        <w:t>第十四章 大户报告</w:t>
      </w:r>
      <w:r>
        <w:rPr>
          <w:rFonts w:eastAsia="黑体"/>
          <w:bCs/>
          <w:caps/>
          <w:color w:val="000000"/>
          <w:sz w:val="22"/>
          <w:szCs w:val="22"/>
        </w:rPr>
        <w:tab/>
      </w:r>
      <w:r>
        <w:rPr>
          <w:rFonts w:eastAsia="黑体"/>
          <w:bCs/>
          <w:caps/>
          <w:color w:val="000000"/>
          <w:sz w:val="22"/>
          <w:szCs w:val="22"/>
        </w:rPr>
        <w:fldChar w:fldCharType="begin"/>
      </w:r>
      <w:r>
        <w:rPr>
          <w:rFonts w:eastAsia="黑体"/>
          <w:bCs/>
          <w:caps/>
          <w:color w:val="000000"/>
          <w:sz w:val="22"/>
          <w:szCs w:val="22"/>
        </w:rPr>
        <w:instrText xml:space="preserve"> PAGEREF _Toc25842038 \h </w:instrText>
      </w:r>
      <w:r>
        <w:rPr>
          <w:rFonts w:eastAsia="黑体"/>
          <w:bCs/>
          <w:caps/>
          <w:color w:val="000000"/>
          <w:sz w:val="22"/>
          <w:szCs w:val="22"/>
        </w:rPr>
        <w:fldChar w:fldCharType="separate"/>
      </w:r>
      <w:r>
        <w:rPr>
          <w:rFonts w:eastAsia="黑体"/>
          <w:bCs/>
          <w:caps/>
          <w:color w:val="000000"/>
          <w:sz w:val="22"/>
          <w:szCs w:val="22"/>
        </w:rPr>
        <w:t>95</w:t>
      </w:r>
      <w:r>
        <w:rPr>
          <w:rFonts w:eastAsia="黑体"/>
          <w:bCs/>
          <w:caps/>
          <w:color w:val="000000"/>
          <w:sz w:val="22"/>
          <w:szCs w:val="22"/>
        </w:rPr>
        <w:fldChar w:fldCharType="end"/>
      </w:r>
      <w:r>
        <w:rPr>
          <w:rFonts w:eastAsia="黑体"/>
          <w:bCs/>
          <w:caps/>
          <w:color w:val="000000"/>
          <w:sz w:val="22"/>
          <w:szCs w:val="22"/>
        </w:rPr>
        <w:fldChar w:fldCharType="end"/>
      </w:r>
    </w:p>
    <w:p>
      <w:pPr>
        <w:tabs>
          <w:tab w:val="right" w:leader="dot" w:pos="8296"/>
        </w:tabs>
        <w:spacing w:line="360" w:lineRule="exact"/>
        <w:ind w:left="210"/>
        <w:jc w:val="left"/>
        <w:rPr>
          <w:color w:val="000000"/>
          <w:szCs w:val="22"/>
        </w:rPr>
      </w:pPr>
      <w:r>
        <w:fldChar w:fldCharType="begin"/>
      </w:r>
      <w:r>
        <w:instrText xml:space="preserve"> HYPERLINK \l "_Toc25842039" </w:instrText>
      </w:r>
      <w:r>
        <w:fldChar w:fldCharType="separate"/>
      </w:r>
      <w:r>
        <w:rPr>
          <w:rFonts w:eastAsia="仿宋_GB2312"/>
          <w:bCs/>
          <w:smallCaps/>
          <w:color w:val="000000"/>
          <w:kern w:val="0"/>
          <w:sz w:val="22"/>
          <w:szCs w:val="22"/>
          <w:lang w:val="zh-CN" w:eastAsia="zh-CN"/>
        </w:rPr>
        <w:t>一、 报告要求和报告材料</w:t>
      </w:r>
      <w:r>
        <w:rPr>
          <w:rFonts w:eastAsia="仿宋"/>
          <w:bCs/>
          <w:smallCaps/>
          <w:color w:val="000000"/>
          <w:kern w:val="0"/>
          <w:sz w:val="22"/>
          <w:szCs w:val="22"/>
          <w:lang w:val="zh-CN" w:eastAsia="zh-CN"/>
        </w:rPr>
        <w:tab/>
      </w:r>
      <w:r>
        <w:rPr>
          <w:rFonts w:eastAsia="仿宋"/>
          <w:bCs/>
          <w:smallCaps/>
          <w:color w:val="000000"/>
          <w:kern w:val="0"/>
          <w:sz w:val="22"/>
          <w:szCs w:val="22"/>
          <w:lang w:val="zh-CN" w:eastAsia="zh-CN"/>
        </w:rPr>
        <w:fldChar w:fldCharType="begin"/>
      </w:r>
      <w:r>
        <w:rPr>
          <w:rFonts w:eastAsia="仿宋"/>
          <w:bCs/>
          <w:smallCaps/>
          <w:color w:val="000000"/>
          <w:kern w:val="0"/>
          <w:sz w:val="22"/>
          <w:szCs w:val="22"/>
          <w:lang w:val="zh-CN" w:eastAsia="zh-CN"/>
        </w:rPr>
        <w:instrText xml:space="preserve"> PAGEREF _Toc25842039 \h </w:instrText>
      </w:r>
      <w:r>
        <w:rPr>
          <w:rFonts w:eastAsia="仿宋"/>
          <w:bCs/>
          <w:smallCaps/>
          <w:color w:val="000000"/>
          <w:kern w:val="0"/>
          <w:sz w:val="22"/>
          <w:szCs w:val="22"/>
          <w:lang w:val="zh-CN" w:eastAsia="zh-CN"/>
        </w:rPr>
        <w:fldChar w:fldCharType="separate"/>
      </w:r>
      <w:r>
        <w:rPr>
          <w:rFonts w:eastAsia="仿宋"/>
          <w:bCs/>
          <w:smallCaps/>
          <w:color w:val="000000"/>
          <w:kern w:val="0"/>
          <w:sz w:val="22"/>
          <w:szCs w:val="22"/>
          <w:lang w:val="zh-CN" w:eastAsia="zh-CN"/>
        </w:rPr>
        <w:t>95</w:t>
      </w:r>
      <w:r>
        <w:rPr>
          <w:rFonts w:eastAsia="仿宋"/>
          <w:bCs/>
          <w:smallCaps/>
          <w:color w:val="000000"/>
          <w:kern w:val="0"/>
          <w:sz w:val="22"/>
          <w:szCs w:val="22"/>
          <w:lang w:val="zh-CN" w:eastAsia="zh-CN"/>
        </w:rPr>
        <w:fldChar w:fldCharType="end"/>
      </w:r>
      <w:r>
        <w:rPr>
          <w:rFonts w:eastAsia="仿宋"/>
          <w:bCs/>
          <w:smallCaps/>
          <w:color w:val="000000"/>
          <w:kern w:val="0"/>
          <w:sz w:val="22"/>
          <w:szCs w:val="22"/>
          <w:lang w:val="zh-CN" w:eastAsia="zh-CN"/>
        </w:rPr>
        <w:fldChar w:fldCharType="end"/>
      </w:r>
    </w:p>
    <w:p>
      <w:pPr>
        <w:tabs>
          <w:tab w:val="right" w:leader="dot" w:pos="8296"/>
        </w:tabs>
        <w:spacing w:line="360" w:lineRule="exact"/>
        <w:ind w:left="210"/>
        <w:jc w:val="left"/>
        <w:rPr>
          <w:color w:val="000000"/>
          <w:szCs w:val="22"/>
        </w:rPr>
      </w:pPr>
      <w:r>
        <w:fldChar w:fldCharType="begin"/>
      </w:r>
      <w:r>
        <w:instrText xml:space="preserve"> HYPERLINK \l "_Toc25842040" </w:instrText>
      </w:r>
      <w:r>
        <w:fldChar w:fldCharType="separate"/>
      </w:r>
      <w:r>
        <w:rPr>
          <w:rFonts w:eastAsia="仿宋_GB2312"/>
          <w:bCs/>
          <w:smallCaps/>
          <w:color w:val="000000"/>
          <w:kern w:val="0"/>
          <w:sz w:val="22"/>
          <w:szCs w:val="22"/>
          <w:lang w:val="zh-CN" w:eastAsia="zh-CN"/>
        </w:rPr>
        <w:t>二、 报送业务流程</w:t>
      </w:r>
      <w:r>
        <w:rPr>
          <w:rFonts w:eastAsia="仿宋"/>
          <w:bCs/>
          <w:smallCaps/>
          <w:color w:val="000000"/>
          <w:kern w:val="0"/>
          <w:sz w:val="22"/>
          <w:szCs w:val="22"/>
          <w:lang w:val="zh-CN" w:eastAsia="zh-CN"/>
        </w:rPr>
        <w:tab/>
      </w:r>
      <w:r>
        <w:rPr>
          <w:rFonts w:eastAsia="仿宋"/>
          <w:bCs/>
          <w:smallCaps/>
          <w:color w:val="000000"/>
          <w:kern w:val="0"/>
          <w:sz w:val="22"/>
          <w:szCs w:val="22"/>
          <w:lang w:val="zh-CN" w:eastAsia="zh-CN"/>
        </w:rPr>
        <w:fldChar w:fldCharType="begin"/>
      </w:r>
      <w:r>
        <w:rPr>
          <w:rFonts w:eastAsia="仿宋"/>
          <w:bCs/>
          <w:smallCaps/>
          <w:color w:val="000000"/>
          <w:kern w:val="0"/>
          <w:sz w:val="22"/>
          <w:szCs w:val="22"/>
          <w:lang w:val="zh-CN" w:eastAsia="zh-CN"/>
        </w:rPr>
        <w:instrText xml:space="preserve"> PAGEREF _Toc25842040 \h </w:instrText>
      </w:r>
      <w:r>
        <w:rPr>
          <w:rFonts w:eastAsia="仿宋"/>
          <w:bCs/>
          <w:smallCaps/>
          <w:color w:val="000000"/>
          <w:kern w:val="0"/>
          <w:sz w:val="22"/>
          <w:szCs w:val="22"/>
          <w:lang w:val="zh-CN" w:eastAsia="zh-CN"/>
        </w:rPr>
        <w:fldChar w:fldCharType="separate"/>
      </w:r>
      <w:r>
        <w:rPr>
          <w:rFonts w:eastAsia="仿宋"/>
          <w:bCs/>
          <w:smallCaps/>
          <w:color w:val="000000"/>
          <w:kern w:val="0"/>
          <w:sz w:val="22"/>
          <w:szCs w:val="22"/>
          <w:lang w:val="zh-CN" w:eastAsia="zh-CN"/>
        </w:rPr>
        <w:t>95</w:t>
      </w:r>
      <w:r>
        <w:rPr>
          <w:rFonts w:eastAsia="仿宋"/>
          <w:bCs/>
          <w:smallCaps/>
          <w:color w:val="000000"/>
          <w:kern w:val="0"/>
          <w:sz w:val="22"/>
          <w:szCs w:val="22"/>
          <w:lang w:val="zh-CN" w:eastAsia="zh-CN"/>
        </w:rPr>
        <w:fldChar w:fldCharType="end"/>
      </w:r>
      <w:r>
        <w:rPr>
          <w:rFonts w:eastAsia="仿宋"/>
          <w:bCs/>
          <w:smallCaps/>
          <w:color w:val="000000"/>
          <w:kern w:val="0"/>
          <w:sz w:val="22"/>
          <w:szCs w:val="22"/>
          <w:lang w:val="zh-CN" w:eastAsia="zh-CN"/>
        </w:rPr>
        <w:fldChar w:fldCharType="end"/>
      </w:r>
    </w:p>
    <w:p>
      <w:pPr>
        <w:tabs>
          <w:tab w:val="right" w:leader="dot" w:pos="8296"/>
        </w:tabs>
        <w:spacing w:line="360" w:lineRule="exact"/>
        <w:ind w:left="210"/>
        <w:jc w:val="left"/>
        <w:rPr>
          <w:color w:val="000000"/>
          <w:szCs w:val="22"/>
        </w:rPr>
      </w:pPr>
      <w:r>
        <w:fldChar w:fldCharType="begin"/>
      </w:r>
      <w:r>
        <w:instrText xml:space="preserve"> HYPERLINK \l "_Toc25842041" </w:instrText>
      </w:r>
      <w:r>
        <w:fldChar w:fldCharType="separate"/>
      </w:r>
      <w:r>
        <w:rPr>
          <w:rFonts w:eastAsia="仿宋_GB2312"/>
          <w:bCs/>
          <w:smallCaps/>
          <w:color w:val="000000"/>
          <w:kern w:val="0"/>
          <w:sz w:val="22"/>
          <w:szCs w:val="22"/>
          <w:lang w:val="zh-CN" w:eastAsia="zh-CN"/>
        </w:rPr>
        <w:t>三、 报告注意事项</w:t>
      </w:r>
      <w:r>
        <w:rPr>
          <w:rFonts w:eastAsia="仿宋"/>
          <w:bCs/>
          <w:smallCaps/>
          <w:color w:val="000000"/>
          <w:kern w:val="0"/>
          <w:sz w:val="22"/>
          <w:szCs w:val="22"/>
          <w:lang w:val="zh-CN" w:eastAsia="zh-CN"/>
        </w:rPr>
        <w:tab/>
      </w:r>
      <w:r>
        <w:rPr>
          <w:rFonts w:eastAsia="仿宋"/>
          <w:bCs/>
          <w:smallCaps/>
          <w:color w:val="000000"/>
          <w:kern w:val="0"/>
          <w:sz w:val="22"/>
          <w:szCs w:val="22"/>
          <w:lang w:val="zh-CN" w:eastAsia="zh-CN"/>
        </w:rPr>
        <w:fldChar w:fldCharType="begin"/>
      </w:r>
      <w:r>
        <w:rPr>
          <w:rFonts w:eastAsia="仿宋"/>
          <w:bCs/>
          <w:smallCaps/>
          <w:color w:val="000000"/>
          <w:kern w:val="0"/>
          <w:sz w:val="22"/>
          <w:szCs w:val="22"/>
          <w:lang w:val="zh-CN" w:eastAsia="zh-CN"/>
        </w:rPr>
        <w:instrText xml:space="preserve"> PAGEREF _Toc25842041 \h </w:instrText>
      </w:r>
      <w:r>
        <w:rPr>
          <w:rFonts w:eastAsia="仿宋"/>
          <w:bCs/>
          <w:smallCaps/>
          <w:color w:val="000000"/>
          <w:kern w:val="0"/>
          <w:sz w:val="22"/>
          <w:szCs w:val="22"/>
          <w:lang w:val="zh-CN" w:eastAsia="zh-CN"/>
        </w:rPr>
        <w:fldChar w:fldCharType="separate"/>
      </w:r>
      <w:r>
        <w:rPr>
          <w:rFonts w:eastAsia="仿宋"/>
          <w:bCs/>
          <w:smallCaps/>
          <w:color w:val="000000"/>
          <w:kern w:val="0"/>
          <w:sz w:val="22"/>
          <w:szCs w:val="22"/>
          <w:lang w:val="zh-CN" w:eastAsia="zh-CN"/>
        </w:rPr>
        <w:t>96</w:t>
      </w:r>
      <w:r>
        <w:rPr>
          <w:rFonts w:eastAsia="仿宋"/>
          <w:bCs/>
          <w:smallCaps/>
          <w:color w:val="000000"/>
          <w:kern w:val="0"/>
          <w:sz w:val="22"/>
          <w:szCs w:val="22"/>
          <w:lang w:val="zh-CN" w:eastAsia="zh-CN"/>
        </w:rPr>
        <w:fldChar w:fldCharType="end"/>
      </w:r>
      <w:r>
        <w:rPr>
          <w:rFonts w:eastAsia="仿宋"/>
          <w:bCs/>
          <w:smallCaps/>
          <w:color w:val="000000"/>
          <w:kern w:val="0"/>
          <w:sz w:val="22"/>
          <w:szCs w:val="22"/>
          <w:lang w:val="zh-CN" w:eastAsia="zh-CN"/>
        </w:rPr>
        <w:fldChar w:fldCharType="end"/>
      </w:r>
    </w:p>
    <w:p>
      <w:pPr>
        <w:tabs>
          <w:tab w:val="right" w:leader="dot" w:pos="8296"/>
        </w:tabs>
        <w:spacing w:line="360" w:lineRule="exact"/>
        <w:jc w:val="left"/>
        <w:rPr>
          <w:color w:val="000000"/>
          <w:szCs w:val="22"/>
        </w:rPr>
      </w:pPr>
      <w:r>
        <w:fldChar w:fldCharType="begin"/>
      </w:r>
      <w:r>
        <w:instrText xml:space="preserve"> HYPERLINK \l "_Toc25842042" </w:instrText>
      </w:r>
      <w:r>
        <w:fldChar w:fldCharType="separate"/>
      </w:r>
      <w:r>
        <w:rPr>
          <w:rFonts w:eastAsia="黑体"/>
          <w:bCs/>
          <w:caps/>
          <w:color w:val="000000"/>
          <w:sz w:val="22"/>
          <w:szCs w:val="22"/>
        </w:rPr>
        <w:t>第十五章 交易信息及提醒</w:t>
      </w:r>
      <w:r>
        <w:rPr>
          <w:rFonts w:eastAsia="黑体"/>
          <w:bCs/>
          <w:caps/>
          <w:color w:val="000000"/>
          <w:sz w:val="22"/>
          <w:szCs w:val="22"/>
        </w:rPr>
        <w:tab/>
      </w:r>
      <w:r>
        <w:rPr>
          <w:rFonts w:eastAsia="黑体"/>
          <w:bCs/>
          <w:caps/>
          <w:color w:val="000000"/>
          <w:sz w:val="22"/>
          <w:szCs w:val="22"/>
        </w:rPr>
        <w:fldChar w:fldCharType="begin"/>
      </w:r>
      <w:r>
        <w:rPr>
          <w:rFonts w:eastAsia="黑体"/>
          <w:bCs/>
          <w:caps/>
          <w:color w:val="000000"/>
          <w:sz w:val="22"/>
          <w:szCs w:val="22"/>
        </w:rPr>
        <w:instrText xml:space="preserve"> PAGEREF _Toc25842042 \h </w:instrText>
      </w:r>
      <w:r>
        <w:rPr>
          <w:rFonts w:eastAsia="黑体"/>
          <w:bCs/>
          <w:caps/>
          <w:color w:val="000000"/>
          <w:sz w:val="22"/>
          <w:szCs w:val="22"/>
        </w:rPr>
        <w:fldChar w:fldCharType="separate"/>
      </w:r>
      <w:r>
        <w:rPr>
          <w:rFonts w:eastAsia="黑体"/>
          <w:bCs/>
          <w:caps/>
          <w:color w:val="000000"/>
          <w:sz w:val="22"/>
          <w:szCs w:val="22"/>
        </w:rPr>
        <w:t>98</w:t>
      </w:r>
      <w:r>
        <w:rPr>
          <w:rFonts w:eastAsia="黑体"/>
          <w:bCs/>
          <w:caps/>
          <w:color w:val="000000"/>
          <w:sz w:val="22"/>
          <w:szCs w:val="22"/>
        </w:rPr>
        <w:fldChar w:fldCharType="end"/>
      </w:r>
      <w:r>
        <w:rPr>
          <w:rFonts w:eastAsia="黑体"/>
          <w:bCs/>
          <w:caps/>
          <w:color w:val="000000"/>
          <w:sz w:val="22"/>
          <w:szCs w:val="22"/>
        </w:rPr>
        <w:fldChar w:fldCharType="end"/>
      </w:r>
    </w:p>
    <w:p>
      <w:pPr>
        <w:tabs>
          <w:tab w:val="right" w:leader="dot" w:pos="8296"/>
        </w:tabs>
        <w:spacing w:line="360" w:lineRule="exact"/>
        <w:ind w:left="210"/>
        <w:jc w:val="left"/>
        <w:rPr>
          <w:color w:val="000000"/>
          <w:szCs w:val="22"/>
        </w:rPr>
      </w:pPr>
      <w:r>
        <w:fldChar w:fldCharType="begin"/>
      </w:r>
      <w:r>
        <w:instrText xml:space="preserve"> HYPERLINK \l "_Toc25842043" </w:instrText>
      </w:r>
      <w:r>
        <w:fldChar w:fldCharType="separate"/>
      </w:r>
      <w:r>
        <w:rPr>
          <w:rFonts w:eastAsia="仿宋_GB2312"/>
          <w:bCs/>
          <w:smallCaps/>
          <w:color w:val="000000"/>
          <w:kern w:val="0"/>
          <w:sz w:val="22"/>
          <w:szCs w:val="22"/>
          <w:lang w:val="zh-CN" w:eastAsia="zh-CN"/>
        </w:rPr>
        <w:t>一、 交易信息内容</w:t>
      </w:r>
      <w:r>
        <w:rPr>
          <w:rFonts w:eastAsia="仿宋"/>
          <w:bCs/>
          <w:smallCaps/>
          <w:color w:val="000000"/>
          <w:kern w:val="0"/>
          <w:sz w:val="22"/>
          <w:szCs w:val="22"/>
          <w:lang w:val="zh-CN" w:eastAsia="zh-CN"/>
        </w:rPr>
        <w:tab/>
      </w:r>
      <w:r>
        <w:rPr>
          <w:rFonts w:eastAsia="仿宋"/>
          <w:bCs/>
          <w:smallCaps/>
          <w:color w:val="000000"/>
          <w:kern w:val="0"/>
          <w:sz w:val="22"/>
          <w:szCs w:val="22"/>
          <w:lang w:val="zh-CN" w:eastAsia="zh-CN"/>
        </w:rPr>
        <w:fldChar w:fldCharType="begin"/>
      </w:r>
      <w:r>
        <w:rPr>
          <w:rFonts w:eastAsia="仿宋"/>
          <w:bCs/>
          <w:smallCaps/>
          <w:color w:val="000000"/>
          <w:kern w:val="0"/>
          <w:sz w:val="22"/>
          <w:szCs w:val="22"/>
          <w:lang w:val="zh-CN" w:eastAsia="zh-CN"/>
        </w:rPr>
        <w:instrText xml:space="preserve"> PAGEREF _Toc25842043 \h </w:instrText>
      </w:r>
      <w:r>
        <w:rPr>
          <w:rFonts w:eastAsia="仿宋"/>
          <w:bCs/>
          <w:smallCaps/>
          <w:color w:val="000000"/>
          <w:kern w:val="0"/>
          <w:sz w:val="22"/>
          <w:szCs w:val="22"/>
          <w:lang w:val="zh-CN" w:eastAsia="zh-CN"/>
        </w:rPr>
        <w:fldChar w:fldCharType="separate"/>
      </w:r>
      <w:r>
        <w:rPr>
          <w:rFonts w:eastAsia="仿宋"/>
          <w:bCs/>
          <w:smallCaps/>
          <w:color w:val="000000"/>
          <w:kern w:val="0"/>
          <w:sz w:val="22"/>
          <w:szCs w:val="22"/>
          <w:lang w:val="zh-CN" w:eastAsia="zh-CN"/>
        </w:rPr>
        <w:t>98</w:t>
      </w:r>
      <w:r>
        <w:rPr>
          <w:rFonts w:eastAsia="仿宋"/>
          <w:bCs/>
          <w:smallCaps/>
          <w:color w:val="000000"/>
          <w:kern w:val="0"/>
          <w:sz w:val="22"/>
          <w:szCs w:val="22"/>
          <w:lang w:val="zh-CN" w:eastAsia="zh-CN"/>
        </w:rPr>
        <w:fldChar w:fldCharType="end"/>
      </w:r>
      <w:r>
        <w:rPr>
          <w:rFonts w:eastAsia="仿宋"/>
          <w:bCs/>
          <w:smallCaps/>
          <w:color w:val="000000"/>
          <w:kern w:val="0"/>
          <w:sz w:val="22"/>
          <w:szCs w:val="22"/>
          <w:lang w:val="zh-CN" w:eastAsia="zh-CN"/>
        </w:rPr>
        <w:fldChar w:fldCharType="end"/>
      </w:r>
    </w:p>
    <w:p>
      <w:pPr>
        <w:tabs>
          <w:tab w:val="right" w:leader="dot" w:pos="8296"/>
        </w:tabs>
        <w:spacing w:line="360" w:lineRule="exact"/>
        <w:ind w:left="210"/>
        <w:jc w:val="left"/>
        <w:rPr>
          <w:color w:val="000000"/>
          <w:szCs w:val="22"/>
        </w:rPr>
      </w:pPr>
      <w:r>
        <w:fldChar w:fldCharType="begin"/>
      </w:r>
      <w:r>
        <w:instrText xml:space="preserve"> HYPERLINK \l "_Toc25842044" </w:instrText>
      </w:r>
      <w:r>
        <w:fldChar w:fldCharType="separate"/>
      </w:r>
      <w:r>
        <w:rPr>
          <w:rFonts w:eastAsia="仿宋_GB2312"/>
          <w:bCs/>
          <w:smallCaps/>
          <w:color w:val="000000"/>
          <w:kern w:val="0"/>
          <w:sz w:val="22"/>
          <w:szCs w:val="22"/>
          <w:lang w:val="zh-CN" w:eastAsia="zh-CN"/>
        </w:rPr>
        <w:t>二、 信息公告与提醒</w:t>
      </w:r>
      <w:r>
        <w:rPr>
          <w:rFonts w:eastAsia="仿宋"/>
          <w:bCs/>
          <w:smallCaps/>
          <w:color w:val="000000"/>
          <w:kern w:val="0"/>
          <w:sz w:val="22"/>
          <w:szCs w:val="22"/>
          <w:lang w:val="zh-CN" w:eastAsia="zh-CN"/>
        </w:rPr>
        <w:tab/>
      </w:r>
      <w:r>
        <w:rPr>
          <w:rFonts w:eastAsia="仿宋"/>
          <w:bCs/>
          <w:smallCaps/>
          <w:color w:val="000000"/>
          <w:kern w:val="0"/>
          <w:sz w:val="22"/>
          <w:szCs w:val="22"/>
          <w:lang w:val="zh-CN" w:eastAsia="zh-CN"/>
        </w:rPr>
        <w:fldChar w:fldCharType="begin"/>
      </w:r>
      <w:r>
        <w:rPr>
          <w:rFonts w:eastAsia="仿宋"/>
          <w:bCs/>
          <w:smallCaps/>
          <w:color w:val="000000"/>
          <w:kern w:val="0"/>
          <w:sz w:val="22"/>
          <w:szCs w:val="22"/>
          <w:lang w:val="zh-CN" w:eastAsia="zh-CN"/>
        </w:rPr>
        <w:instrText xml:space="preserve"> PAGEREF _Toc25842044 \h </w:instrText>
      </w:r>
      <w:r>
        <w:rPr>
          <w:rFonts w:eastAsia="仿宋"/>
          <w:bCs/>
          <w:smallCaps/>
          <w:color w:val="000000"/>
          <w:kern w:val="0"/>
          <w:sz w:val="22"/>
          <w:szCs w:val="22"/>
          <w:lang w:val="zh-CN" w:eastAsia="zh-CN"/>
        </w:rPr>
        <w:fldChar w:fldCharType="separate"/>
      </w:r>
      <w:r>
        <w:rPr>
          <w:rFonts w:eastAsia="仿宋"/>
          <w:bCs/>
          <w:smallCaps/>
          <w:color w:val="000000"/>
          <w:kern w:val="0"/>
          <w:sz w:val="22"/>
          <w:szCs w:val="22"/>
          <w:lang w:val="zh-CN" w:eastAsia="zh-CN"/>
        </w:rPr>
        <w:t>98</w:t>
      </w:r>
      <w:r>
        <w:rPr>
          <w:rFonts w:eastAsia="仿宋"/>
          <w:bCs/>
          <w:smallCaps/>
          <w:color w:val="000000"/>
          <w:kern w:val="0"/>
          <w:sz w:val="22"/>
          <w:szCs w:val="22"/>
          <w:lang w:val="zh-CN" w:eastAsia="zh-CN"/>
        </w:rPr>
        <w:fldChar w:fldCharType="end"/>
      </w:r>
      <w:r>
        <w:rPr>
          <w:rFonts w:eastAsia="仿宋"/>
          <w:bCs/>
          <w:smallCaps/>
          <w:color w:val="000000"/>
          <w:kern w:val="0"/>
          <w:sz w:val="22"/>
          <w:szCs w:val="22"/>
          <w:lang w:val="zh-CN" w:eastAsia="zh-CN"/>
        </w:rPr>
        <w:fldChar w:fldCharType="end"/>
      </w:r>
    </w:p>
    <w:p>
      <w:pPr>
        <w:tabs>
          <w:tab w:val="right" w:leader="dot" w:pos="8296"/>
        </w:tabs>
        <w:spacing w:line="360" w:lineRule="exact"/>
        <w:jc w:val="left"/>
        <w:rPr>
          <w:color w:val="000000"/>
          <w:szCs w:val="22"/>
        </w:rPr>
      </w:pPr>
      <w:r>
        <w:fldChar w:fldCharType="begin"/>
      </w:r>
      <w:r>
        <w:instrText xml:space="preserve"> HYPERLINK \l "_Toc25842045" </w:instrText>
      </w:r>
      <w:r>
        <w:fldChar w:fldCharType="separate"/>
      </w:r>
      <w:r>
        <w:rPr>
          <w:rFonts w:eastAsia="黑体"/>
          <w:bCs/>
          <w:caps/>
          <w:color w:val="000000"/>
          <w:sz w:val="22"/>
          <w:szCs w:val="22"/>
        </w:rPr>
        <w:t>第十六章 标的证券监管与保证金监控</w:t>
      </w:r>
      <w:r>
        <w:rPr>
          <w:rFonts w:eastAsia="黑体"/>
          <w:bCs/>
          <w:caps/>
          <w:color w:val="000000"/>
          <w:sz w:val="22"/>
          <w:szCs w:val="22"/>
        </w:rPr>
        <w:tab/>
      </w:r>
      <w:r>
        <w:rPr>
          <w:rFonts w:eastAsia="黑体"/>
          <w:bCs/>
          <w:caps/>
          <w:color w:val="000000"/>
          <w:sz w:val="22"/>
          <w:szCs w:val="22"/>
        </w:rPr>
        <w:fldChar w:fldCharType="begin"/>
      </w:r>
      <w:r>
        <w:rPr>
          <w:rFonts w:eastAsia="黑体"/>
          <w:bCs/>
          <w:caps/>
          <w:color w:val="000000"/>
          <w:sz w:val="22"/>
          <w:szCs w:val="22"/>
        </w:rPr>
        <w:instrText xml:space="preserve"> PAGEREF _Toc25842045 \h </w:instrText>
      </w:r>
      <w:r>
        <w:rPr>
          <w:rFonts w:eastAsia="黑体"/>
          <w:bCs/>
          <w:caps/>
          <w:color w:val="000000"/>
          <w:sz w:val="22"/>
          <w:szCs w:val="22"/>
        </w:rPr>
        <w:fldChar w:fldCharType="separate"/>
      </w:r>
      <w:r>
        <w:rPr>
          <w:rFonts w:eastAsia="黑体"/>
          <w:bCs/>
          <w:caps/>
          <w:color w:val="000000"/>
          <w:sz w:val="22"/>
          <w:szCs w:val="22"/>
        </w:rPr>
        <w:t>101</w:t>
      </w:r>
      <w:r>
        <w:rPr>
          <w:rFonts w:eastAsia="黑体"/>
          <w:bCs/>
          <w:caps/>
          <w:color w:val="000000"/>
          <w:sz w:val="22"/>
          <w:szCs w:val="22"/>
        </w:rPr>
        <w:fldChar w:fldCharType="end"/>
      </w:r>
      <w:r>
        <w:rPr>
          <w:rFonts w:eastAsia="黑体"/>
          <w:bCs/>
          <w:caps/>
          <w:color w:val="000000"/>
          <w:sz w:val="22"/>
          <w:szCs w:val="22"/>
        </w:rPr>
        <w:fldChar w:fldCharType="end"/>
      </w:r>
    </w:p>
    <w:p>
      <w:pPr>
        <w:tabs>
          <w:tab w:val="right" w:leader="dot" w:pos="8296"/>
        </w:tabs>
        <w:spacing w:line="360" w:lineRule="exact"/>
        <w:ind w:left="210"/>
        <w:jc w:val="left"/>
        <w:rPr>
          <w:color w:val="000000"/>
          <w:szCs w:val="22"/>
        </w:rPr>
      </w:pPr>
      <w:r>
        <w:fldChar w:fldCharType="begin"/>
      </w:r>
      <w:r>
        <w:instrText xml:space="preserve"> HYPERLINK \l "_Toc25842046" </w:instrText>
      </w:r>
      <w:r>
        <w:fldChar w:fldCharType="separate"/>
      </w:r>
      <w:r>
        <w:rPr>
          <w:rFonts w:eastAsia="仿宋_GB2312"/>
          <w:bCs/>
          <w:smallCaps/>
          <w:color w:val="000000"/>
          <w:kern w:val="0"/>
          <w:sz w:val="22"/>
          <w:szCs w:val="22"/>
          <w:lang w:val="zh-CN" w:eastAsia="zh-CN"/>
        </w:rPr>
        <w:t>一、 标的证券监管</w:t>
      </w:r>
      <w:r>
        <w:rPr>
          <w:rFonts w:eastAsia="仿宋"/>
          <w:bCs/>
          <w:smallCaps/>
          <w:color w:val="000000"/>
          <w:kern w:val="0"/>
          <w:sz w:val="22"/>
          <w:szCs w:val="22"/>
          <w:lang w:val="zh-CN" w:eastAsia="zh-CN"/>
        </w:rPr>
        <w:tab/>
      </w:r>
      <w:r>
        <w:rPr>
          <w:rFonts w:eastAsia="仿宋"/>
          <w:bCs/>
          <w:smallCaps/>
          <w:color w:val="000000"/>
          <w:kern w:val="0"/>
          <w:sz w:val="22"/>
          <w:szCs w:val="22"/>
          <w:lang w:val="zh-CN" w:eastAsia="zh-CN"/>
        </w:rPr>
        <w:fldChar w:fldCharType="begin"/>
      </w:r>
      <w:r>
        <w:rPr>
          <w:rFonts w:eastAsia="仿宋"/>
          <w:bCs/>
          <w:smallCaps/>
          <w:color w:val="000000"/>
          <w:kern w:val="0"/>
          <w:sz w:val="22"/>
          <w:szCs w:val="22"/>
          <w:lang w:val="zh-CN" w:eastAsia="zh-CN"/>
        </w:rPr>
        <w:instrText xml:space="preserve"> PAGEREF _Toc25842046 \h </w:instrText>
      </w:r>
      <w:r>
        <w:rPr>
          <w:rFonts w:eastAsia="仿宋"/>
          <w:bCs/>
          <w:smallCaps/>
          <w:color w:val="000000"/>
          <w:kern w:val="0"/>
          <w:sz w:val="22"/>
          <w:szCs w:val="22"/>
          <w:lang w:val="zh-CN" w:eastAsia="zh-CN"/>
        </w:rPr>
        <w:fldChar w:fldCharType="separate"/>
      </w:r>
      <w:r>
        <w:rPr>
          <w:rFonts w:eastAsia="仿宋"/>
          <w:bCs/>
          <w:smallCaps/>
          <w:color w:val="000000"/>
          <w:kern w:val="0"/>
          <w:sz w:val="22"/>
          <w:szCs w:val="22"/>
          <w:lang w:val="zh-CN" w:eastAsia="zh-CN"/>
        </w:rPr>
        <w:t>101</w:t>
      </w:r>
      <w:r>
        <w:rPr>
          <w:rFonts w:eastAsia="仿宋"/>
          <w:bCs/>
          <w:smallCaps/>
          <w:color w:val="000000"/>
          <w:kern w:val="0"/>
          <w:sz w:val="22"/>
          <w:szCs w:val="22"/>
          <w:lang w:val="zh-CN" w:eastAsia="zh-CN"/>
        </w:rPr>
        <w:fldChar w:fldCharType="end"/>
      </w:r>
      <w:r>
        <w:rPr>
          <w:rFonts w:eastAsia="仿宋"/>
          <w:bCs/>
          <w:smallCaps/>
          <w:color w:val="000000"/>
          <w:kern w:val="0"/>
          <w:sz w:val="22"/>
          <w:szCs w:val="22"/>
          <w:lang w:val="zh-CN" w:eastAsia="zh-CN"/>
        </w:rPr>
        <w:fldChar w:fldCharType="end"/>
      </w:r>
    </w:p>
    <w:p>
      <w:pPr>
        <w:tabs>
          <w:tab w:val="right" w:leader="dot" w:pos="8296"/>
        </w:tabs>
        <w:spacing w:line="360" w:lineRule="exact"/>
        <w:ind w:left="210"/>
        <w:jc w:val="left"/>
        <w:rPr>
          <w:color w:val="000000"/>
          <w:szCs w:val="22"/>
        </w:rPr>
      </w:pPr>
      <w:r>
        <w:fldChar w:fldCharType="begin"/>
      </w:r>
      <w:r>
        <w:instrText xml:space="preserve"> HYPERLINK \l "_Toc25842047" </w:instrText>
      </w:r>
      <w:r>
        <w:fldChar w:fldCharType="separate"/>
      </w:r>
      <w:r>
        <w:rPr>
          <w:rFonts w:eastAsia="仿宋_GB2312"/>
          <w:bCs/>
          <w:smallCaps/>
          <w:color w:val="000000"/>
          <w:kern w:val="0"/>
          <w:sz w:val="22"/>
          <w:szCs w:val="22"/>
          <w:lang w:val="zh-CN" w:eastAsia="zh-CN"/>
        </w:rPr>
        <w:t>二、 保证金监控</w:t>
      </w:r>
      <w:r>
        <w:rPr>
          <w:rFonts w:eastAsia="仿宋"/>
          <w:bCs/>
          <w:smallCaps/>
          <w:color w:val="000000"/>
          <w:kern w:val="0"/>
          <w:sz w:val="22"/>
          <w:szCs w:val="22"/>
          <w:lang w:val="zh-CN" w:eastAsia="zh-CN"/>
        </w:rPr>
        <w:tab/>
      </w:r>
      <w:r>
        <w:rPr>
          <w:rFonts w:eastAsia="仿宋"/>
          <w:bCs/>
          <w:smallCaps/>
          <w:color w:val="000000"/>
          <w:kern w:val="0"/>
          <w:sz w:val="22"/>
          <w:szCs w:val="22"/>
          <w:lang w:val="zh-CN" w:eastAsia="zh-CN"/>
        </w:rPr>
        <w:fldChar w:fldCharType="begin"/>
      </w:r>
      <w:r>
        <w:rPr>
          <w:rFonts w:eastAsia="仿宋"/>
          <w:bCs/>
          <w:smallCaps/>
          <w:color w:val="000000"/>
          <w:kern w:val="0"/>
          <w:sz w:val="22"/>
          <w:szCs w:val="22"/>
          <w:lang w:val="zh-CN" w:eastAsia="zh-CN"/>
        </w:rPr>
        <w:instrText xml:space="preserve"> PAGEREF _Toc25842047 \h </w:instrText>
      </w:r>
      <w:r>
        <w:rPr>
          <w:rFonts w:eastAsia="仿宋"/>
          <w:bCs/>
          <w:smallCaps/>
          <w:color w:val="000000"/>
          <w:kern w:val="0"/>
          <w:sz w:val="22"/>
          <w:szCs w:val="22"/>
          <w:lang w:val="zh-CN" w:eastAsia="zh-CN"/>
        </w:rPr>
        <w:fldChar w:fldCharType="separate"/>
      </w:r>
      <w:r>
        <w:rPr>
          <w:rFonts w:eastAsia="仿宋"/>
          <w:bCs/>
          <w:smallCaps/>
          <w:color w:val="000000"/>
          <w:kern w:val="0"/>
          <w:sz w:val="22"/>
          <w:szCs w:val="22"/>
          <w:lang w:val="zh-CN" w:eastAsia="zh-CN"/>
        </w:rPr>
        <w:t>101</w:t>
      </w:r>
      <w:r>
        <w:rPr>
          <w:rFonts w:eastAsia="仿宋"/>
          <w:bCs/>
          <w:smallCaps/>
          <w:color w:val="000000"/>
          <w:kern w:val="0"/>
          <w:sz w:val="22"/>
          <w:szCs w:val="22"/>
          <w:lang w:val="zh-CN" w:eastAsia="zh-CN"/>
        </w:rPr>
        <w:fldChar w:fldCharType="end"/>
      </w:r>
      <w:r>
        <w:rPr>
          <w:rFonts w:eastAsia="仿宋"/>
          <w:bCs/>
          <w:smallCaps/>
          <w:color w:val="000000"/>
          <w:kern w:val="0"/>
          <w:sz w:val="22"/>
          <w:szCs w:val="22"/>
          <w:lang w:val="zh-CN" w:eastAsia="zh-CN"/>
        </w:rPr>
        <w:fldChar w:fldCharType="end"/>
      </w:r>
    </w:p>
    <w:p>
      <w:pPr>
        <w:tabs>
          <w:tab w:val="right" w:leader="dot" w:pos="8296"/>
        </w:tabs>
        <w:spacing w:line="360" w:lineRule="exact"/>
        <w:jc w:val="left"/>
        <w:rPr>
          <w:color w:val="000000"/>
          <w:szCs w:val="22"/>
        </w:rPr>
      </w:pPr>
      <w:r>
        <w:fldChar w:fldCharType="begin"/>
      </w:r>
      <w:r>
        <w:instrText xml:space="preserve"> HYPERLINK \l "_Toc25842048" </w:instrText>
      </w:r>
      <w:r>
        <w:fldChar w:fldCharType="separate"/>
      </w:r>
      <w:r>
        <w:rPr>
          <w:rFonts w:eastAsia="黑体"/>
          <w:bCs/>
          <w:caps/>
          <w:color w:val="000000"/>
          <w:sz w:val="22"/>
          <w:szCs w:val="22"/>
        </w:rPr>
        <w:t>第十七章 投资者教育与客户投诉处理</w:t>
      </w:r>
      <w:r>
        <w:rPr>
          <w:rFonts w:eastAsia="黑体"/>
          <w:bCs/>
          <w:caps/>
          <w:color w:val="000000"/>
          <w:sz w:val="22"/>
          <w:szCs w:val="22"/>
        </w:rPr>
        <w:tab/>
      </w:r>
      <w:r>
        <w:rPr>
          <w:rFonts w:eastAsia="黑体"/>
          <w:bCs/>
          <w:caps/>
          <w:color w:val="000000"/>
          <w:sz w:val="22"/>
          <w:szCs w:val="22"/>
        </w:rPr>
        <w:fldChar w:fldCharType="begin"/>
      </w:r>
      <w:r>
        <w:rPr>
          <w:rFonts w:eastAsia="黑体"/>
          <w:bCs/>
          <w:caps/>
          <w:color w:val="000000"/>
          <w:sz w:val="22"/>
          <w:szCs w:val="22"/>
        </w:rPr>
        <w:instrText xml:space="preserve"> PAGEREF _Toc25842048 \h </w:instrText>
      </w:r>
      <w:r>
        <w:rPr>
          <w:rFonts w:eastAsia="黑体"/>
          <w:bCs/>
          <w:caps/>
          <w:color w:val="000000"/>
          <w:sz w:val="22"/>
          <w:szCs w:val="22"/>
        </w:rPr>
        <w:fldChar w:fldCharType="separate"/>
      </w:r>
      <w:r>
        <w:rPr>
          <w:rFonts w:eastAsia="黑体"/>
          <w:bCs/>
          <w:caps/>
          <w:color w:val="000000"/>
          <w:sz w:val="22"/>
          <w:szCs w:val="22"/>
        </w:rPr>
        <w:t>102</w:t>
      </w:r>
      <w:r>
        <w:rPr>
          <w:rFonts w:eastAsia="黑体"/>
          <w:bCs/>
          <w:caps/>
          <w:color w:val="000000"/>
          <w:sz w:val="22"/>
          <w:szCs w:val="22"/>
        </w:rPr>
        <w:fldChar w:fldCharType="end"/>
      </w:r>
      <w:r>
        <w:rPr>
          <w:rFonts w:eastAsia="黑体"/>
          <w:bCs/>
          <w:caps/>
          <w:color w:val="000000"/>
          <w:sz w:val="22"/>
          <w:szCs w:val="22"/>
        </w:rPr>
        <w:fldChar w:fldCharType="end"/>
      </w:r>
    </w:p>
    <w:p>
      <w:pPr>
        <w:tabs>
          <w:tab w:val="right" w:leader="dot" w:pos="8296"/>
        </w:tabs>
        <w:spacing w:line="360" w:lineRule="exact"/>
        <w:ind w:left="210"/>
        <w:jc w:val="left"/>
        <w:rPr>
          <w:color w:val="000000"/>
          <w:szCs w:val="22"/>
        </w:rPr>
      </w:pPr>
      <w:r>
        <w:fldChar w:fldCharType="begin"/>
      </w:r>
      <w:r>
        <w:instrText xml:space="preserve"> HYPERLINK \l "_Toc25842049" </w:instrText>
      </w:r>
      <w:r>
        <w:fldChar w:fldCharType="separate"/>
      </w:r>
      <w:r>
        <w:rPr>
          <w:rFonts w:eastAsia="仿宋_GB2312"/>
          <w:bCs/>
          <w:smallCaps/>
          <w:color w:val="000000"/>
          <w:kern w:val="0"/>
          <w:sz w:val="22"/>
          <w:szCs w:val="22"/>
          <w:lang w:val="zh-CN" w:eastAsia="zh-CN"/>
        </w:rPr>
        <w:t>一、 投资者教育</w:t>
      </w:r>
      <w:r>
        <w:rPr>
          <w:rFonts w:eastAsia="仿宋"/>
          <w:bCs/>
          <w:smallCaps/>
          <w:color w:val="000000"/>
          <w:kern w:val="0"/>
          <w:sz w:val="22"/>
          <w:szCs w:val="22"/>
          <w:lang w:val="zh-CN" w:eastAsia="zh-CN"/>
        </w:rPr>
        <w:tab/>
      </w:r>
      <w:r>
        <w:rPr>
          <w:rFonts w:eastAsia="仿宋"/>
          <w:bCs/>
          <w:smallCaps/>
          <w:color w:val="000000"/>
          <w:kern w:val="0"/>
          <w:sz w:val="22"/>
          <w:szCs w:val="22"/>
          <w:lang w:val="zh-CN" w:eastAsia="zh-CN"/>
        </w:rPr>
        <w:fldChar w:fldCharType="begin"/>
      </w:r>
      <w:r>
        <w:rPr>
          <w:rFonts w:eastAsia="仿宋"/>
          <w:bCs/>
          <w:smallCaps/>
          <w:color w:val="000000"/>
          <w:kern w:val="0"/>
          <w:sz w:val="22"/>
          <w:szCs w:val="22"/>
          <w:lang w:val="zh-CN" w:eastAsia="zh-CN"/>
        </w:rPr>
        <w:instrText xml:space="preserve"> PAGEREF _Toc25842049 \h </w:instrText>
      </w:r>
      <w:r>
        <w:rPr>
          <w:rFonts w:eastAsia="仿宋"/>
          <w:bCs/>
          <w:smallCaps/>
          <w:color w:val="000000"/>
          <w:kern w:val="0"/>
          <w:sz w:val="22"/>
          <w:szCs w:val="22"/>
          <w:lang w:val="zh-CN" w:eastAsia="zh-CN"/>
        </w:rPr>
        <w:fldChar w:fldCharType="separate"/>
      </w:r>
      <w:r>
        <w:rPr>
          <w:rFonts w:eastAsia="仿宋"/>
          <w:bCs/>
          <w:smallCaps/>
          <w:color w:val="000000"/>
          <w:kern w:val="0"/>
          <w:sz w:val="22"/>
          <w:szCs w:val="22"/>
          <w:lang w:val="zh-CN" w:eastAsia="zh-CN"/>
        </w:rPr>
        <w:t>102</w:t>
      </w:r>
      <w:r>
        <w:rPr>
          <w:rFonts w:eastAsia="仿宋"/>
          <w:bCs/>
          <w:smallCaps/>
          <w:color w:val="000000"/>
          <w:kern w:val="0"/>
          <w:sz w:val="22"/>
          <w:szCs w:val="22"/>
          <w:lang w:val="zh-CN" w:eastAsia="zh-CN"/>
        </w:rPr>
        <w:fldChar w:fldCharType="end"/>
      </w:r>
      <w:r>
        <w:rPr>
          <w:rFonts w:eastAsia="仿宋"/>
          <w:bCs/>
          <w:smallCaps/>
          <w:color w:val="000000"/>
          <w:kern w:val="0"/>
          <w:sz w:val="22"/>
          <w:szCs w:val="22"/>
          <w:lang w:val="zh-CN" w:eastAsia="zh-CN"/>
        </w:rPr>
        <w:fldChar w:fldCharType="end"/>
      </w:r>
    </w:p>
    <w:p>
      <w:pPr>
        <w:tabs>
          <w:tab w:val="right" w:leader="dot" w:pos="8296"/>
        </w:tabs>
        <w:spacing w:line="360" w:lineRule="exact"/>
        <w:ind w:left="210"/>
        <w:jc w:val="left"/>
        <w:rPr>
          <w:color w:val="000000"/>
          <w:szCs w:val="22"/>
        </w:rPr>
      </w:pPr>
      <w:r>
        <w:fldChar w:fldCharType="begin"/>
      </w:r>
      <w:r>
        <w:instrText xml:space="preserve"> HYPERLINK \l "_Toc25842050" </w:instrText>
      </w:r>
      <w:r>
        <w:fldChar w:fldCharType="separate"/>
      </w:r>
      <w:r>
        <w:rPr>
          <w:rFonts w:eastAsia="仿宋_GB2312"/>
          <w:bCs/>
          <w:smallCaps/>
          <w:color w:val="000000"/>
          <w:kern w:val="0"/>
          <w:sz w:val="22"/>
          <w:szCs w:val="22"/>
          <w:lang w:val="zh-CN" w:eastAsia="zh-CN"/>
        </w:rPr>
        <w:t>二、 客户投诉处理</w:t>
      </w:r>
      <w:r>
        <w:rPr>
          <w:rFonts w:eastAsia="仿宋"/>
          <w:bCs/>
          <w:smallCaps/>
          <w:color w:val="000000"/>
          <w:kern w:val="0"/>
          <w:sz w:val="22"/>
          <w:szCs w:val="22"/>
          <w:lang w:val="zh-CN" w:eastAsia="zh-CN"/>
        </w:rPr>
        <w:tab/>
      </w:r>
      <w:r>
        <w:rPr>
          <w:rFonts w:eastAsia="仿宋"/>
          <w:bCs/>
          <w:smallCaps/>
          <w:color w:val="000000"/>
          <w:kern w:val="0"/>
          <w:sz w:val="22"/>
          <w:szCs w:val="22"/>
          <w:lang w:val="zh-CN" w:eastAsia="zh-CN"/>
        </w:rPr>
        <w:fldChar w:fldCharType="begin"/>
      </w:r>
      <w:r>
        <w:rPr>
          <w:rFonts w:eastAsia="仿宋"/>
          <w:bCs/>
          <w:smallCaps/>
          <w:color w:val="000000"/>
          <w:kern w:val="0"/>
          <w:sz w:val="22"/>
          <w:szCs w:val="22"/>
          <w:lang w:val="zh-CN" w:eastAsia="zh-CN"/>
        </w:rPr>
        <w:instrText xml:space="preserve"> PAGEREF _Toc25842050 \h </w:instrText>
      </w:r>
      <w:r>
        <w:rPr>
          <w:rFonts w:eastAsia="仿宋"/>
          <w:bCs/>
          <w:smallCaps/>
          <w:color w:val="000000"/>
          <w:kern w:val="0"/>
          <w:sz w:val="22"/>
          <w:szCs w:val="22"/>
          <w:lang w:val="zh-CN" w:eastAsia="zh-CN"/>
        </w:rPr>
        <w:fldChar w:fldCharType="separate"/>
      </w:r>
      <w:r>
        <w:rPr>
          <w:rFonts w:eastAsia="仿宋"/>
          <w:bCs/>
          <w:smallCaps/>
          <w:color w:val="000000"/>
          <w:kern w:val="0"/>
          <w:sz w:val="22"/>
          <w:szCs w:val="22"/>
          <w:lang w:val="zh-CN" w:eastAsia="zh-CN"/>
        </w:rPr>
        <w:t>103</w:t>
      </w:r>
      <w:r>
        <w:rPr>
          <w:rFonts w:eastAsia="仿宋"/>
          <w:bCs/>
          <w:smallCaps/>
          <w:color w:val="000000"/>
          <w:kern w:val="0"/>
          <w:sz w:val="22"/>
          <w:szCs w:val="22"/>
          <w:lang w:val="zh-CN" w:eastAsia="zh-CN"/>
        </w:rPr>
        <w:fldChar w:fldCharType="end"/>
      </w:r>
      <w:r>
        <w:rPr>
          <w:rFonts w:eastAsia="仿宋"/>
          <w:bCs/>
          <w:smallCaps/>
          <w:color w:val="000000"/>
          <w:kern w:val="0"/>
          <w:sz w:val="22"/>
          <w:szCs w:val="22"/>
          <w:lang w:val="zh-CN" w:eastAsia="zh-CN"/>
        </w:rPr>
        <w:fldChar w:fldCharType="end"/>
      </w:r>
    </w:p>
    <w:p>
      <w:pPr>
        <w:tabs>
          <w:tab w:val="right" w:leader="dot" w:pos="8296"/>
        </w:tabs>
        <w:spacing w:line="360" w:lineRule="exact"/>
        <w:jc w:val="left"/>
        <w:rPr>
          <w:color w:val="000000"/>
          <w:szCs w:val="22"/>
        </w:rPr>
      </w:pPr>
      <w:r>
        <w:fldChar w:fldCharType="begin"/>
      </w:r>
      <w:r>
        <w:instrText xml:space="preserve"> HYPERLINK \l "_Toc25842051" </w:instrText>
      </w:r>
      <w:r>
        <w:fldChar w:fldCharType="separate"/>
      </w:r>
      <w:r>
        <w:rPr>
          <w:rFonts w:eastAsia="黑体"/>
          <w:bCs/>
          <w:caps/>
          <w:color w:val="000000"/>
          <w:sz w:val="22"/>
          <w:szCs w:val="22"/>
        </w:rPr>
        <w:t>第十八章 股票期权介绍业务</w:t>
      </w:r>
      <w:r>
        <w:rPr>
          <w:rFonts w:eastAsia="黑体"/>
          <w:bCs/>
          <w:caps/>
          <w:color w:val="000000"/>
          <w:sz w:val="22"/>
          <w:szCs w:val="22"/>
        </w:rPr>
        <w:tab/>
      </w:r>
      <w:r>
        <w:rPr>
          <w:rFonts w:eastAsia="黑体"/>
          <w:bCs/>
          <w:caps/>
          <w:color w:val="000000"/>
          <w:sz w:val="22"/>
          <w:szCs w:val="22"/>
        </w:rPr>
        <w:fldChar w:fldCharType="begin"/>
      </w:r>
      <w:r>
        <w:rPr>
          <w:rFonts w:eastAsia="黑体"/>
          <w:bCs/>
          <w:caps/>
          <w:color w:val="000000"/>
          <w:sz w:val="22"/>
          <w:szCs w:val="22"/>
        </w:rPr>
        <w:instrText xml:space="preserve"> PAGEREF _Toc25842051 \h </w:instrText>
      </w:r>
      <w:r>
        <w:rPr>
          <w:rFonts w:eastAsia="黑体"/>
          <w:bCs/>
          <w:caps/>
          <w:color w:val="000000"/>
          <w:sz w:val="22"/>
          <w:szCs w:val="22"/>
        </w:rPr>
        <w:fldChar w:fldCharType="separate"/>
      </w:r>
      <w:r>
        <w:rPr>
          <w:rFonts w:eastAsia="黑体"/>
          <w:bCs/>
          <w:caps/>
          <w:color w:val="000000"/>
          <w:sz w:val="22"/>
          <w:szCs w:val="22"/>
        </w:rPr>
        <w:t>104</w:t>
      </w:r>
      <w:r>
        <w:rPr>
          <w:rFonts w:eastAsia="黑体"/>
          <w:bCs/>
          <w:caps/>
          <w:color w:val="000000"/>
          <w:sz w:val="22"/>
          <w:szCs w:val="22"/>
        </w:rPr>
        <w:fldChar w:fldCharType="end"/>
      </w:r>
      <w:r>
        <w:rPr>
          <w:rFonts w:eastAsia="黑体"/>
          <w:bCs/>
          <w:caps/>
          <w:color w:val="000000"/>
          <w:sz w:val="22"/>
          <w:szCs w:val="22"/>
        </w:rPr>
        <w:fldChar w:fldCharType="end"/>
      </w:r>
    </w:p>
    <w:p>
      <w:pPr>
        <w:tabs>
          <w:tab w:val="right" w:leader="dot" w:pos="8296"/>
        </w:tabs>
        <w:spacing w:line="360" w:lineRule="exact"/>
        <w:ind w:left="210"/>
        <w:jc w:val="left"/>
        <w:rPr>
          <w:color w:val="000000"/>
          <w:szCs w:val="22"/>
        </w:rPr>
      </w:pPr>
      <w:r>
        <w:fldChar w:fldCharType="begin"/>
      </w:r>
      <w:r>
        <w:instrText xml:space="preserve"> HYPERLINK \l "_Toc25842052" </w:instrText>
      </w:r>
      <w:r>
        <w:fldChar w:fldCharType="separate"/>
      </w:r>
      <w:r>
        <w:rPr>
          <w:rFonts w:eastAsia="仿宋_GB2312"/>
          <w:bCs/>
          <w:smallCaps/>
          <w:color w:val="000000"/>
          <w:kern w:val="0"/>
          <w:sz w:val="22"/>
          <w:szCs w:val="22"/>
          <w:lang w:val="zh-CN" w:eastAsia="zh-CN"/>
        </w:rPr>
        <w:t>一、 基本要求</w:t>
      </w:r>
      <w:r>
        <w:rPr>
          <w:rFonts w:eastAsia="仿宋"/>
          <w:bCs/>
          <w:smallCaps/>
          <w:color w:val="000000"/>
          <w:kern w:val="0"/>
          <w:sz w:val="22"/>
          <w:szCs w:val="22"/>
          <w:lang w:val="zh-CN" w:eastAsia="zh-CN"/>
        </w:rPr>
        <w:tab/>
      </w:r>
      <w:r>
        <w:rPr>
          <w:rFonts w:eastAsia="仿宋"/>
          <w:bCs/>
          <w:smallCaps/>
          <w:color w:val="000000"/>
          <w:kern w:val="0"/>
          <w:sz w:val="22"/>
          <w:szCs w:val="22"/>
          <w:lang w:val="zh-CN" w:eastAsia="zh-CN"/>
        </w:rPr>
        <w:fldChar w:fldCharType="begin"/>
      </w:r>
      <w:r>
        <w:rPr>
          <w:rFonts w:eastAsia="仿宋"/>
          <w:bCs/>
          <w:smallCaps/>
          <w:color w:val="000000"/>
          <w:kern w:val="0"/>
          <w:sz w:val="22"/>
          <w:szCs w:val="22"/>
          <w:lang w:val="zh-CN" w:eastAsia="zh-CN"/>
        </w:rPr>
        <w:instrText xml:space="preserve"> PAGEREF _Toc25842052 \h </w:instrText>
      </w:r>
      <w:r>
        <w:rPr>
          <w:rFonts w:eastAsia="仿宋"/>
          <w:bCs/>
          <w:smallCaps/>
          <w:color w:val="000000"/>
          <w:kern w:val="0"/>
          <w:sz w:val="22"/>
          <w:szCs w:val="22"/>
          <w:lang w:val="zh-CN" w:eastAsia="zh-CN"/>
        </w:rPr>
        <w:fldChar w:fldCharType="separate"/>
      </w:r>
      <w:r>
        <w:rPr>
          <w:rFonts w:eastAsia="仿宋"/>
          <w:bCs/>
          <w:smallCaps/>
          <w:color w:val="000000"/>
          <w:kern w:val="0"/>
          <w:sz w:val="22"/>
          <w:szCs w:val="22"/>
          <w:lang w:val="zh-CN" w:eastAsia="zh-CN"/>
        </w:rPr>
        <w:t>104</w:t>
      </w:r>
      <w:r>
        <w:rPr>
          <w:rFonts w:eastAsia="仿宋"/>
          <w:bCs/>
          <w:smallCaps/>
          <w:color w:val="000000"/>
          <w:kern w:val="0"/>
          <w:sz w:val="22"/>
          <w:szCs w:val="22"/>
          <w:lang w:val="zh-CN" w:eastAsia="zh-CN"/>
        </w:rPr>
        <w:fldChar w:fldCharType="end"/>
      </w:r>
      <w:r>
        <w:rPr>
          <w:rFonts w:eastAsia="仿宋"/>
          <w:bCs/>
          <w:smallCaps/>
          <w:color w:val="000000"/>
          <w:kern w:val="0"/>
          <w:sz w:val="22"/>
          <w:szCs w:val="22"/>
          <w:lang w:val="zh-CN" w:eastAsia="zh-CN"/>
        </w:rPr>
        <w:fldChar w:fldCharType="end"/>
      </w:r>
    </w:p>
    <w:p>
      <w:pPr>
        <w:tabs>
          <w:tab w:val="right" w:leader="dot" w:pos="8296"/>
        </w:tabs>
        <w:spacing w:line="360" w:lineRule="exact"/>
        <w:ind w:left="210"/>
        <w:jc w:val="left"/>
        <w:rPr>
          <w:color w:val="000000"/>
          <w:szCs w:val="22"/>
        </w:rPr>
      </w:pPr>
      <w:r>
        <w:fldChar w:fldCharType="begin"/>
      </w:r>
      <w:r>
        <w:instrText xml:space="preserve"> HYPERLINK \l "_Toc25842053" </w:instrText>
      </w:r>
      <w:r>
        <w:fldChar w:fldCharType="separate"/>
      </w:r>
      <w:r>
        <w:rPr>
          <w:rFonts w:eastAsia="仿宋_GB2312"/>
          <w:bCs/>
          <w:smallCaps/>
          <w:color w:val="000000"/>
          <w:kern w:val="0"/>
          <w:sz w:val="22"/>
          <w:szCs w:val="22"/>
          <w:lang w:val="zh-CN" w:eastAsia="zh-CN"/>
        </w:rPr>
        <w:t>二、 介绍业务协议</w:t>
      </w:r>
      <w:r>
        <w:rPr>
          <w:rFonts w:eastAsia="仿宋"/>
          <w:bCs/>
          <w:smallCaps/>
          <w:color w:val="000000"/>
          <w:kern w:val="0"/>
          <w:sz w:val="22"/>
          <w:szCs w:val="22"/>
          <w:lang w:val="zh-CN" w:eastAsia="zh-CN"/>
        </w:rPr>
        <w:tab/>
      </w:r>
      <w:r>
        <w:rPr>
          <w:rFonts w:eastAsia="仿宋"/>
          <w:bCs/>
          <w:smallCaps/>
          <w:color w:val="000000"/>
          <w:kern w:val="0"/>
          <w:sz w:val="22"/>
          <w:szCs w:val="22"/>
          <w:lang w:val="zh-CN" w:eastAsia="zh-CN"/>
        </w:rPr>
        <w:fldChar w:fldCharType="begin"/>
      </w:r>
      <w:r>
        <w:rPr>
          <w:rFonts w:eastAsia="仿宋"/>
          <w:bCs/>
          <w:smallCaps/>
          <w:color w:val="000000"/>
          <w:kern w:val="0"/>
          <w:sz w:val="22"/>
          <w:szCs w:val="22"/>
          <w:lang w:val="zh-CN" w:eastAsia="zh-CN"/>
        </w:rPr>
        <w:instrText xml:space="preserve"> PAGEREF _Toc25842053 \h </w:instrText>
      </w:r>
      <w:r>
        <w:rPr>
          <w:rFonts w:eastAsia="仿宋"/>
          <w:bCs/>
          <w:smallCaps/>
          <w:color w:val="000000"/>
          <w:kern w:val="0"/>
          <w:sz w:val="22"/>
          <w:szCs w:val="22"/>
          <w:lang w:val="zh-CN" w:eastAsia="zh-CN"/>
        </w:rPr>
        <w:fldChar w:fldCharType="separate"/>
      </w:r>
      <w:r>
        <w:rPr>
          <w:rFonts w:eastAsia="仿宋"/>
          <w:bCs/>
          <w:smallCaps/>
          <w:color w:val="000000"/>
          <w:kern w:val="0"/>
          <w:sz w:val="22"/>
          <w:szCs w:val="22"/>
          <w:lang w:val="zh-CN" w:eastAsia="zh-CN"/>
        </w:rPr>
        <w:t>104</w:t>
      </w:r>
      <w:r>
        <w:rPr>
          <w:rFonts w:eastAsia="仿宋"/>
          <w:bCs/>
          <w:smallCaps/>
          <w:color w:val="000000"/>
          <w:kern w:val="0"/>
          <w:sz w:val="22"/>
          <w:szCs w:val="22"/>
          <w:lang w:val="zh-CN" w:eastAsia="zh-CN"/>
        </w:rPr>
        <w:fldChar w:fldCharType="end"/>
      </w:r>
      <w:r>
        <w:rPr>
          <w:rFonts w:eastAsia="仿宋"/>
          <w:bCs/>
          <w:smallCaps/>
          <w:color w:val="000000"/>
          <w:kern w:val="0"/>
          <w:sz w:val="22"/>
          <w:szCs w:val="22"/>
          <w:lang w:val="zh-CN" w:eastAsia="zh-CN"/>
        </w:rPr>
        <w:fldChar w:fldCharType="end"/>
      </w:r>
    </w:p>
    <w:p>
      <w:pPr>
        <w:tabs>
          <w:tab w:val="right" w:leader="dot" w:pos="8296"/>
        </w:tabs>
        <w:spacing w:line="360" w:lineRule="exact"/>
        <w:ind w:left="210"/>
        <w:jc w:val="left"/>
        <w:rPr>
          <w:color w:val="000000"/>
          <w:szCs w:val="22"/>
        </w:rPr>
      </w:pPr>
      <w:r>
        <w:fldChar w:fldCharType="begin"/>
      </w:r>
      <w:r>
        <w:instrText xml:space="preserve"> HYPERLINK \l "_Toc25842054" </w:instrText>
      </w:r>
      <w:r>
        <w:fldChar w:fldCharType="separate"/>
      </w:r>
      <w:r>
        <w:rPr>
          <w:rFonts w:eastAsia="仿宋_GB2312"/>
          <w:bCs/>
          <w:smallCaps/>
          <w:color w:val="000000"/>
          <w:kern w:val="0"/>
          <w:sz w:val="22"/>
          <w:szCs w:val="22"/>
          <w:lang w:val="zh-CN" w:eastAsia="zh-CN"/>
        </w:rPr>
        <w:t>三、 介绍业务规则</w:t>
      </w:r>
      <w:r>
        <w:rPr>
          <w:rFonts w:eastAsia="仿宋"/>
          <w:bCs/>
          <w:smallCaps/>
          <w:color w:val="000000"/>
          <w:kern w:val="0"/>
          <w:sz w:val="22"/>
          <w:szCs w:val="22"/>
          <w:lang w:val="zh-CN" w:eastAsia="zh-CN"/>
        </w:rPr>
        <w:tab/>
      </w:r>
      <w:r>
        <w:rPr>
          <w:rFonts w:eastAsia="仿宋"/>
          <w:bCs/>
          <w:smallCaps/>
          <w:color w:val="000000"/>
          <w:kern w:val="0"/>
          <w:sz w:val="22"/>
          <w:szCs w:val="22"/>
          <w:lang w:val="zh-CN" w:eastAsia="zh-CN"/>
        </w:rPr>
        <w:fldChar w:fldCharType="begin"/>
      </w:r>
      <w:r>
        <w:rPr>
          <w:rFonts w:eastAsia="仿宋"/>
          <w:bCs/>
          <w:smallCaps/>
          <w:color w:val="000000"/>
          <w:kern w:val="0"/>
          <w:sz w:val="22"/>
          <w:szCs w:val="22"/>
          <w:lang w:val="zh-CN" w:eastAsia="zh-CN"/>
        </w:rPr>
        <w:instrText xml:space="preserve"> PAGEREF _Toc25842054 \h </w:instrText>
      </w:r>
      <w:r>
        <w:rPr>
          <w:rFonts w:eastAsia="仿宋"/>
          <w:bCs/>
          <w:smallCaps/>
          <w:color w:val="000000"/>
          <w:kern w:val="0"/>
          <w:sz w:val="22"/>
          <w:szCs w:val="22"/>
          <w:lang w:val="zh-CN" w:eastAsia="zh-CN"/>
        </w:rPr>
        <w:fldChar w:fldCharType="separate"/>
      </w:r>
      <w:r>
        <w:rPr>
          <w:rFonts w:eastAsia="仿宋"/>
          <w:bCs/>
          <w:smallCaps/>
          <w:color w:val="000000"/>
          <w:kern w:val="0"/>
          <w:sz w:val="22"/>
          <w:szCs w:val="22"/>
          <w:lang w:val="zh-CN" w:eastAsia="zh-CN"/>
        </w:rPr>
        <w:t>105</w:t>
      </w:r>
      <w:r>
        <w:rPr>
          <w:rFonts w:eastAsia="仿宋"/>
          <w:bCs/>
          <w:smallCaps/>
          <w:color w:val="000000"/>
          <w:kern w:val="0"/>
          <w:sz w:val="22"/>
          <w:szCs w:val="22"/>
          <w:lang w:val="zh-CN" w:eastAsia="zh-CN"/>
        </w:rPr>
        <w:fldChar w:fldCharType="end"/>
      </w:r>
      <w:r>
        <w:rPr>
          <w:rFonts w:eastAsia="仿宋"/>
          <w:bCs/>
          <w:smallCaps/>
          <w:color w:val="000000"/>
          <w:kern w:val="0"/>
          <w:sz w:val="22"/>
          <w:szCs w:val="22"/>
          <w:lang w:val="zh-CN" w:eastAsia="zh-CN"/>
        </w:rPr>
        <w:fldChar w:fldCharType="end"/>
      </w:r>
    </w:p>
    <w:p>
      <w:pPr>
        <w:tabs>
          <w:tab w:val="right" w:leader="dot" w:pos="8296"/>
        </w:tabs>
        <w:spacing w:line="360" w:lineRule="exact"/>
        <w:jc w:val="left"/>
        <w:rPr>
          <w:color w:val="000000"/>
          <w:szCs w:val="22"/>
        </w:rPr>
      </w:pPr>
      <w:r>
        <w:fldChar w:fldCharType="begin"/>
      </w:r>
      <w:r>
        <w:instrText xml:space="preserve"> HYPERLINK \l "_Toc25842055" </w:instrText>
      </w:r>
      <w:r>
        <w:fldChar w:fldCharType="separate"/>
      </w:r>
      <w:r>
        <w:rPr>
          <w:rFonts w:eastAsia="黑体"/>
          <w:bCs/>
          <w:caps/>
          <w:color w:val="000000"/>
          <w:sz w:val="22"/>
          <w:szCs w:val="22"/>
        </w:rPr>
        <w:t>附件1：期货公司股票期权经纪业务人员情况表</w:t>
      </w:r>
      <w:r>
        <w:rPr>
          <w:rFonts w:eastAsia="黑体"/>
          <w:bCs/>
          <w:caps/>
          <w:color w:val="000000"/>
          <w:sz w:val="22"/>
          <w:szCs w:val="22"/>
        </w:rPr>
        <w:tab/>
      </w:r>
      <w:r>
        <w:rPr>
          <w:rFonts w:eastAsia="黑体"/>
          <w:bCs/>
          <w:caps/>
          <w:color w:val="000000"/>
          <w:sz w:val="22"/>
          <w:szCs w:val="22"/>
        </w:rPr>
        <w:fldChar w:fldCharType="begin"/>
      </w:r>
      <w:r>
        <w:rPr>
          <w:rFonts w:eastAsia="黑体"/>
          <w:bCs/>
          <w:caps/>
          <w:color w:val="000000"/>
          <w:sz w:val="22"/>
          <w:szCs w:val="22"/>
        </w:rPr>
        <w:instrText xml:space="preserve"> PAGEREF _Toc25842055 \h </w:instrText>
      </w:r>
      <w:r>
        <w:rPr>
          <w:rFonts w:eastAsia="黑体"/>
          <w:bCs/>
          <w:caps/>
          <w:color w:val="000000"/>
          <w:sz w:val="22"/>
          <w:szCs w:val="22"/>
        </w:rPr>
        <w:fldChar w:fldCharType="separate"/>
      </w:r>
      <w:r>
        <w:rPr>
          <w:rFonts w:eastAsia="黑体"/>
          <w:bCs/>
          <w:caps/>
          <w:color w:val="000000"/>
          <w:sz w:val="22"/>
          <w:szCs w:val="22"/>
        </w:rPr>
        <w:t>107</w:t>
      </w:r>
      <w:r>
        <w:rPr>
          <w:rFonts w:eastAsia="黑体"/>
          <w:bCs/>
          <w:caps/>
          <w:color w:val="000000"/>
          <w:sz w:val="22"/>
          <w:szCs w:val="22"/>
        </w:rPr>
        <w:fldChar w:fldCharType="end"/>
      </w:r>
      <w:r>
        <w:rPr>
          <w:rFonts w:eastAsia="黑体"/>
          <w:bCs/>
          <w:caps/>
          <w:color w:val="000000"/>
          <w:sz w:val="22"/>
          <w:szCs w:val="22"/>
        </w:rPr>
        <w:fldChar w:fldCharType="end"/>
      </w:r>
    </w:p>
    <w:p>
      <w:pPr>
        <w:tabs>
          <w:tab w:val="right" w:leader="dot" w:pos="8296"/>
        </w:tabs>
        <w:spacing w:line="360" w:lineRule="exact"/>
        <w:jc w:val="left"/>
        <w:rPr>
          <w:color w:val="000000"/>
          <w:szCs w:val="22"/>
        </w:rPr>
      </w:pPr>
      <w:r>
        <w:fldChar w:fldCharType="begin"/>
      </w:r>
      <w:r>
        <w:instrText xml:space="preserve"> HYPERLINK \l "_Toc25842056" </w:instrText>
      </w:r>
      <w:r>
        <w:fldChar w:fldCharType="separate"/>
      </w:r>
      <w:r>
        <w:rPr>
          <w:rFonts w:eastAsia="黑体"/>
          <w:bCs/>
          <w:caps/>
          <w:color w:val="000000"/>
          <w:sz w:val="22"/>
          <w:szCs w:val="22"/>
        </w:rPr>
        <w:t>附件2：股票期权投资者适当性综合评估样表</w:t>
      </w:r>
      <w:r>
        <w:rPr>
          <w:rFonts w:eastAsia="黑体"/>
          <w:bCs/>
          <w:caps/>
          <w:color w:val="000000"/>
          <w:sz w:val="22"/>
          <w:szCs w:val="22"/>
        </w:rPr>
        <w:tab/>
      </w:r>
      <w:r>
        <w:rPr>
          <w:rFonts w:eastAsia="黑体"/>
          <w:bCs/>
          <w:caps/>
          <w:color w:val="000000"/>
          <w:sz w:val="22"/>
          <w:szCs w:val="22"/>
        </w:rPr>
        <w:fldChar w:fldCharType="begin"/>
      </w:r>
      <w:r>
        <w:rPr>
          <w:rFonts w:eastAsia="黑体"/>
          <w:bCs/>
          <w:caps/>
          <w:color w:val="000000"/>
          <w:sz w:val="22"/>
          <w:szCs w:val="22"/>
        </w:rPr>
        <w:instrText xml:space="preserve"> PAGEREF _Toc25842056 \h </w:instrText>
      </w:r>
      <w:r>
        <w:rPr>
          <w:rFonts w:eastAsia="黑体"/>
          <w:bCs/>
          <w:caps/>
          <w:color w:val="000000"/>
          <w:sz w:val="22"/>
          <w:szCs w:val="22"/>
        </w:rPr>
        <w:fldChar w:fldCharType="separate"/>
      </w:r>
      <w:r>
        <w:rPr>
          <w:rFonts w:eastAsia="黑体"/>
          <w:bCs/>
          <w:caps/>
          <w:color w:val="000000"/>
          <w:sz w:val="22"/>
          <w:szCs w:val="22"/>
        </w:rPr>
        <w:t>108</w:t>
      </w:r>
      <w:r>
        <w:rPr>
          <w:rFonts w:eastAsia="黑体"/>
          <w:bCs/>
          <w:caps/>
          <w:color w:val="000000"/>
          <w:sz w:val="22"/>
          <w:szCs w:val="22"/>
        </w:rPr>
        <w:fldChar w:fldCharType="end"/>
      </w:r>
      <w:r>
        <w:rPr>
          <w:rFonts w:eastAsia="黑体"/>
          <w:bCs/>
          <w:caps/>
          <w:color w:val="000000"/>
          <w:sz w:val="22"/>
          <w:szCs w:val="22"/>
        </w:rPr>
        <w:fldChar w:fldCharType="end"/>
      </w:r>
    </w:p>
    <w:p>
      <w:pPr>
        <w:tabs>
          <w:tab w:val="right" w:leader="dot" w:pos="8296"/>
        </w:tabs>
        <w:spacing w:line="360" w:lineRule="exact"/>
        <w:jc w:val="left"/>
        <w:rPr>
          <w:color w:val="000000"/>
          <w:szCs w:val="22"/>
        </w:rPr>
      </w:pPr>
      <w:r>
        <w:fldChar w:fldCharType="begin"/>
      </w:r>
      <w:r>
        <w:instrText xml:space="preserve"> HYPERLINK \l "_Toc25842057" </w:instrText>
      </w:r>
      <w:r>
        <w:fldChar w:fldCharType="separate"/>
      </w:r>
      <w:r>
        <w:rPr>
          <w:rFonts w:eastAsia="黑体"/>
          <w:bCs/>
          <w:caps/>
          <w:color w:val="000000"/>
          <w:sz w:val="22"/>
          <w:szCs w:val="22"/>
        </w:rPr>
        <w:t>附件3：股票期权单个品种持仓限额报备表（投资者用）</w:t>
      </w:r>
      <w:r>
        <w:rPr>
          <w:rFonts w:eastAsia="黑体"/>
          <w:bCs/>
          <w:caps/>
          <w:color w:val="000000"/>
          <w:sz w:val="22"/>
          <w:szCs w:val="22"/>
        </w:rPr>
        <w:tab/>
      </w:r>
      <w:r>
        <w:rPr>
          <w:rFonts w:eastAsia="黑体"/>
          <w:bCs/>
          <w:caps/>
          <w:color w:val="000000"/>
          <w:sz w:val="22"/>
          <w:szCs w:val="22"/>
        </w:rPr>
        <w:fldChar w:fldCharType="begin"/>
      </w:r>
      <w:r>
        <w:rPr>
          <w:rFonts w:eastAsia="黑体"/>
          <w:bCs/>
          <w:caps/>
          <w:color w:val="000000"/>
          <w:sz w:val="22"/>
          <w:szCs w:val="22"/>
        </w:rPr>
        <w:instrText xml:space="preserve"> PAGEREF _Toc25842057 \h </w:instrText>
      </w:r>
      <w:r>
        <w:rPr>
          <w:rFonts w:eastAsia="黑体"/>
          <w:bCs/>
          <w:caps/>
          <w:color w:val="000000"/>
          <w:sz w:val="22"/>
          <w:szCs w:val="22"/>
        </w:rPr>
        <w:fldChar w:fldCharType="separate"/>
      </w:r>
      <w:r>
        <w:rPr>
          <w:rFonts w:eastAsia="黑体"/>
          <w:bCs/>
          <w:caps/>
          <w:color w:val="000000"/>
          <w:sz w:val="22"/>
          <w:szCs w:val="22"/>
        </w:rPr>
        <w:t>110</w:t>
      </w:r>
      <w:r>
        <w:rPr>
          <w:rFonts w:eastAsia="黑体"/>
          <w:bCs/>
          <w:caps/>
          <w:color w:val="000000"/>
          <w:sz w:val="22"/>
          <w:szCs w:val="22"/>
        </w:rPr>
        <w:fldChar w:fldCharType="end"/>
      </w:r>
      <w:r>
        <w:rPr>
          <w:rFonts w:eastAsia="黑体"/>
          <w:bCs/>
          <w:caps/>
          <w:color w:val="000000"/>
          <w:sz w:val="22"/>
          <w:szCs w:val="22"/>
        </w:rPr>
        <w:fldChar w:fldCharType="end"/>
      </w:r>
    </w:p>
    <w:p>
      <w:pPr>
        <w:tabs>
          <w:tab w:val="right" w:leader="dot" w:pos="8296"/>
        </w:tabs>
        <w:spacing w:line="360" w:lineRule="exact"/>
        <w:jc w:val="left"/>
        <w:rPr>
          <w:color w:val="000000"/>
          <w:szCs w:val="22"/>
        </w:rPr>
      </w:pPr>
      <w:r>
        <w:fldChar w:fldCharType="begin"/>
      </w:r>
      <w:r>
        <w:instrText xml:space="preserve"> HYPERLINK \l "_Toc25842058" </w:instrText>
      </w:r>
      <w:r>
        <w:fldChar w:fldCharType="separate"/>
      </w:r>
      <w:r>
        <w:rPr>
          <w:rFonts w:eastAsia="黑体"/>
          <w:bCs/>
          <w:caps/>
          <w:color w:val="000000"/>
          <w:sz w:val="22"/>
          <w:szCs w:val="22"/>
        </w:rPr>
        <w:t>附件4：股票期权套期保值专用账户报备表</w:t>
      </w:r>
      <w:r>
        <w:rPr>
          <w:rFonts w:eastAsia="黑体"/>
          <w:bCs/>
          <w:caps/>
          <w:color w:val="000000"/>
          <w:sz w:val="22"/>
          <w:szCs w:val="22"/>
        </w:rPr>
        <w:tab/>
      </w:r>
      <w:r>
        <w:rPr>
          <w:rFonts w:eastAsia="黑体"/>
          <w:bCs/>
          <w:caps/>
          <w:color w:val="000000"/>
          <w:sz w:val="22"/>
          <w:szCs w:val="22"/>
        </w:rPr>
        <w:fldChar w:fldCharType="begin"/>
      </w:r>
      <w:r>
        <w:rPr>
          <w:rFonts w:eastAsia="黑体"/>
          <w:bCs/>
          <w:caps/>
          <w:color w:val="000000"/>
          <w:sz w:val="22"/>
          <w:szCs w:val="22"/>
        </w:rPr>
        <w:instrText xml:space="preserve"> PAGEREF _Toc25842058 \h </w:instrText>
      </w:r>
      <w:r>
        <w:rPr>
          <w:rFonts w:eastAsia="黑体"/>
          <w:bCs/>
          <w:caps/>
          <w:color w:val="000000"/>
          <w:sz w:val="22"/>
          <w:szCs w:val="22"/>
        </w:rPr>
        <w:fldChar w:fldCharType="separate"/>
      </w:r>
      <w:r>
        <w:rPr>
          <w:rFonts w:eastAsia="黑体"/>
          <w:bCs/>
          <w:caps/>
          <w:color w:val="000000"/>
          <w:sz w:val="22"/>
          <w:szCs w:val="22"/>
        </w:rPr>
        <w:t>111</w:t>
      </w:r>
      <w:r>
        <w:rPr>
          <w:rFonts w:eastAsia="黑体"/>
          <w:bCs/>
          <w:caps/>
          <w:color w:val="000000"/>
          <w:sz w:val="22"/>
          <w:szCs w:val="22"/>
        </w:rPr>
        <w:fldChar w:fldCharType="end"/>
      </w:r>
      <w:r>
        <w:rPr>
          <w:rFonts w:eastAsia="黑体"/>
          <w:bCs/>
          <w:caps/>
          <w:color w:val="000000"/>
          <w:sz w:val="22"/>
          <w:szCs w:val="22"/>
        </w:rPr>
        <w:fldChar w:fldCharType="end"/>
      </w:r>
    </w:p>
    <w:p>
      <w:pPr>
        <w:tabs>
          <w:tab w:val="right" w:leader="dot" w:pos="8296"/>
        </w:tabs>
        <w:spacing w:line="360" w:lineRule="exact"/>
        <w:jc w:val="left"/>
        <w:rPr>
          <w:color w:val="000000"/>
          <w:szCs w:val="22"/>
        </w:rPr>
      </w:pPr>
      <w:r>
        <w:fldChar w:fldCharType="begin"/>
      </w:r>
      <w:r>
        <w:instrText xml:space="preserve"> HYPERLINK \l "_Toc25842059" </w:instrText>
      </w:r>
      <w:r>
        <w:fldChar w:fldCharType="separate"/>
      </w:r>
      <w:r>
        <w:rPr>
          <w:rFonts w:eastAsia="黑体"/>
          <w:bCs/>
          <w:caps/>
          <w:color w:val="000000"/>
          <w:sz w:val="22"/>
          <w:szCs w:val="22"/>
        </w:rPr>
        <w:t>附件5：股票期权持仓限额调整申请表（投资者用）</w:t>
      </w:r>
      <w:r>
        <w:rPr>
          <w:rFonts w:eastAsia="黑体"/>
          <w:bCs/>
          <w:caps/>
          <w:color w:val="000000"/>
          <w:sz w:val="22"/>
          <w:szCs w:val="22"/>
        </w:rPr>
        <w:tab/>
      </w:r>
      <w:r>
        <w:rPr>
          <w:rFonts w:eastAsia="黑体"/>
          <w:bCs/>
          <w:caps/>
          <w:color w:val="000000"/>
          <w:sz w:val="22"/>
          <w:szCs w:val="22"/>
        </w:rPr>
        <w:fldChar w:fldCharType="begin"/>
      </w:r>
      <w:r>
        <w:rPr>
          <w:rFonts w:eastAsia="黑体"/>
          <w:bCs/>
          <w:caps/>
          <w:color w:val="000000"/>
          <w:sz w:val="22"/>
          <w:szCs w:val="22"/>
        </w:rPr>
        <w:instrText xml:space="preserve"> PAGEREF _Toc25842059 \h </w:instrText>
      </w:r>
      <w:r>
        <w:rPr>
          <w:rFonts w:eastAsia="黑体"/>
          <w:bCs/>
          <w:caps/>
          <w:color w:val="000000"/>
          <w:sz w:val="22"/>
          <w:szCs w:val="22"/>
        </w:rPr>
        <w:fldChar w:fldCharType="separate"/>
      </w:r>
      <w:r>
        <w:rPr>
          <w:rFonts w:eastAsia="黑体"/>
          <w:bCs/>
          <w:caps/>
          <w:color w:val="000000"/>
          <w:sz w:val="22"/>
          <w:szCs w:val="22"/>
        </w:rPr>
        <w:t>112</w:t>
      </w:r>
      <w:r>
        <w:rPr>
          <w:rFonts w:eastAsia="黑体"/>
          <w:bCs/>
          <w:caps/>
          <w:color w:val="000000"/>
          <w:sz w:val="22"/>
          <w:szCs w:val="22"/>
        </w:rPr>
        <w:fldChar w:fldCharType="end"/>
      </w:r>
      <w:r>
        <w:rPr>
          <w:rFonts w:eastAsia="黑体"/>
          <w:bCs/>
          <w:caps/>
          <w:color w:val="000000"/>
          <w:sz w:val="22"/>
          <w:szCs w:val="22"/>
        </w:rPr>
        <w:fldChar w:fldCharType="end"/>
      </w:r>
    </w:p>
    <w:p>
      <w:pPr>
        <w:tabs>
          <w:tab w:val="right" w:leader="dot" w:pos="8296"/>
        </w:tabs>
        <w:spacing w:line="360" w:lineRule="exact"/>
        <w:jc w:val="left"/>
        <w:rPr>
          <w:color w:val="000000"/>
          <w:szCs w:val="22"/>
        </w:rPr>
      </w:pPr>
      <w:r>
        <w:fldChar w:fldCharType="begin"/>
      </w:r>
      <w:r>
        <w:instrText xml:space="preserve"> HYPERLINK \l "_Toc25842060" </w:instrText>
      </w:r>
      <w:r>
        <w:fldChar w:fldCharType="separate"/>
      </w:r>
      <w:r>
        <w:rPr>
          <w:rFonts w:eastAsia="黑体"/>
          <w:bCs/>
          <w:caps/>
          <w:color w:val="000000"/>
          <w:sz w:val="22"/>
          <w:szCs w:val="22"/>
        </w:rPr>
        <w:t>附件6：股票期权持仓限额调整相关资产报备表</w:t>
      </w:r>
      <w:r>
        <w:rPr>
          <w:rFonts w:eastAsia="黑体"/>
          <w:bCs/>
          <w:caps/>
          <w:color w:val="000000"/>
          <w:sz w:val="22"/>
          <w:szCs w:val="22"/>
        </w:rPr>
        <w:tab/>
      </w:r>
      <w:r>
        <w:rPr>
          <w:rFonts w:eastAsia="黑体"/>
          <w:bCs/>
          <w:caps/>
          <w:color w:val="000000"/>
          <w:sz w:val="22"/>
          <w:szCs w:val="22"/>
        </w:rPr>
        <w:fldChar w:fldCharType="begin"/>
      </w:r>
      <w:r>
        <w:rPr>
          <w:rFonts w:eastAsia="黑体"/>
          <w:bCs/>
          <w:caps/>
          <w:color w:val="000000"/>
          <w:sz w:val="22"/>
          <w:szCs w:val="22"/>
        </w:rPr>
        <w:instrText xml:space="preserve"> PAGEREF _Toc25842060 \h </w:instrText>
      </w:r>
      <w:r>
        <w:rPr>
          <w:rFonts w:eastAsia="黑体"/>
          <w:bCs/>
          <w:caps/>
          <w:color w:val="000000"/>
          <w:sz w:val="22"/>
          <w:szCs w:val="22"/>
        </w:rPr>
        <w:fldChar w:fldCharType="separate"/>
      </w:r>
      <w:r>
        <w:rPr>
          <w:rFonts w:eastAsia="黑体"/>
          <w:bCs/>
          <w:caps/>
          <w:color w:val="000000"/>
          <w:sz w:val="22"/>
          <w:szCs w:val="22"/>
        </w:rPr>
        <w:t>113</w:t>
      </w:r>
      <w:r>
        <w:rPr>
          <w:rFonts w:eastAsia="黑体"/>
          <w:bCs/>
          <w:caps/>
          <w:color w:val="000000"/>
          <w:sz w:val="22"/>
          <w:szCs w:val="22"/>
        </w:rPr>
        <w:fldChar w:fldCharType="end"/>
      </w:r>
      <w:r>
        <w:rPr>
          <w:rFonts w:eastAsia="黑体"/>
          <w:bCs/>
          <w:caps/>
          <w:color w:val="000000"/>
          <w:sz w:val="22"/>
          <w:szCs w:val="22"/>
        </w:rPr>
        <w:fldChar w:fldCharType="end"/>
      </w:r>
    </w:p>
    <w:p>
      <w:pPr>
        <w:tabs>
          <w:tab w:val="right" w:leader="dot" w:pos="8296"/>
        </w:tabs>
        <w:spacing w:line="360" w:lineRule="exact"/>
        <w:jc w:val="left"/>
        <w:rPr>
          <w:color w:val="000000"/>
          <w:szCs w:val="22"/>
        </w:rPr>
      </w:pPr>
      <w:r>
        <w:fldChar w:fldCharType="begin"/>
      </w:r>
      <w:r>
        <w:instrText xml:space="preserve"> HYPERLINK \l "_Toc25842061" </w:instrText>
      </w:r>
      <w:r>
        <w:fldChar w:fldCharType="separate"/>
      </w:r>
      <w:r>
        <w:rPr>
          <w:rFonts w:eastAsia="黑体"/>
          <w:bCs/>
          <w:caps/>
          <w:color w:val="000000"/>
          <w:sz w:val="22"/>
          <w:szCs w:val="22"/>
        </w:rPr>
        <w:t>附件7：股票期权产品专用账户报备表</w:t>
      </w:r>
      <w:r>
        <w:rPr>
          <w:rFonts w:eastAsia="黑体"/>
          <w:bCs/>
          <w:caps/>
          <w:color w:val="000000"/>
          <w:sz w:val="22"/>
          <w:szCs w:val="22"/>
        </w:rPr>
        <w:tab/>
      </w:r>
      <w:r>
        <w:rPr>
          <w:rFonts w:eastAsia="黑体"/>
          <w:bCs/>
          <w:caps/>
          <w:color w:val="000000"/>
          <w:sz w:val="22"/>
          <w:szCs w:val="22"/>
        </w:rPr>
        <w:fldChar w:fldCharType="begin"/>
      </w:r>
      <w:r>
        <w:rPr>
          <w:rFonts w:eastAsia="黑体"/>
          <w:bCs/>
          <w:caps/>
          <w:color w:val="000000"/>
          <w:sz w:val="22"/>
          <w:szCs w:val="22"/>
        </w:rPr>
        <w:instrText xml:space="preserve"> PAGEREF _Toc25842061 \h </w:instrText>
      </w:r>
      <w:r>
        <w:rPr>
          <w:rFonts w:eastAsia="黑体"/>
          <w:bCs/>
          <w:caps/>
          <w:color w:val="000000"/>
          <w:sz w:val="22"/>
          <w:szCs w:val="22"/>
        </w:rPr>
        <w:fldChar w:fldCharType="separate"/>
      </w:r>
      <w:r>
        <w:rPr>
          <w:rFonts w:eastAsia="黑体"/>
          <w:bCs/>
          <w:caps/>
          <w:color w:val="000000"/>
          <w:sz w:val="22"/>
          <w:szCs w:val="22"/>
        </w:rPr>
        <w:t>114</w:t>
      </w:r>
      <w:r>
        <w:rPr>
          <w:rFonts w:eastAsia="黑体"/>
          <w:bCs/>
          <w:caps/>
          <w:color w:val="000000"/>
          <w:sz w:val="22"/>
          <w:szCs w:val="22"/>
        </w:rPr>
        <w:fldChar w:fldCharType="end"/>
      </w:r>
      <w:r>
        <w:rPr>
          <w:rFonts w:eastAsia="黑体"/>
          <w:bCs/>
          <w:caps/>
          <w:color w:val="000000"/>
          <w:sz w:val="22"/>
          <w:szCs w:val="22"/>
        </w:rPr>
        <w:fldChar w:fldCharType="end"/>
      </w:r>
    </w:p>
    <w:p>
      <w:pPr>
        <w:tabs>
          <w:tab w:val="right" w:leader="dot" w:pos="8296"/>
        </w:tabs>
        <w:spacing w:line="360" w:lineRule="exact"/>
        <w:jc w:val="left"/>
        <w:rPr>
          <w:color w:val="000000"/>
          <w:szCs w:val="22"/>
        </w:rPr>
      </w:pPr>
      <w:r>
        <w:fldChar w:fldCharType="begin"/>
      </w:r>
      <w:r>
        <w:instrText xml:space="preserve"> HYPERLINK \l "_Toc25842062" </w:instrText>
      </w:r>
      <w:r>
        <w:fldChar w:fldCharType="separate"/>
      </w:r>
      <w:r>
        <w:rPr>
          <w:rFonts w:eastAsia="黑体"/>
          <w:bCs/>
          <w:caps/>
          <w:color w:val="000000"/>
          <w:sz w:val="22"/>
          <w:szCs w:val="22"/>
        </w:rPr>
        <w:t>附件8：股票期权持仓限额调整报备表（特定产品用）</w:t>
      </w:r>
      <w:r>
        <w:rPr>
          <w:rFonts w:eastAsia="黑体"/>
          <w:bCs/>
          <w:caps/>
          <w:color w:val="000000"/>
          <w:sz w:val="22"/>
          <w:szCs w:val="22"/>
        </w:rPr>
        <w:tab/>
      </w:r>
      <w:r>
        <w:rPr>
          <w:rFonts w:eastAsia="黑体"/>
          <w:bCs/>
          <w:caps/>
          <w:color w:val="000000"/>
          <w:sz w:val="22"/>
          <w:szCs w:val="22"/>
        </w:rPr>
        <w:fldChar w:fldCharType="begin"/>
      </w:r>
      <w:r>
        <w:rPr>
          <w:rFonts w:eastAsia="黑体"/>
          <w:bCs/>
          <w:caps/>
          <w:color w:val="000000"/>
          <w:sz w:val="22"/>
          <w:szCs w:val="22"/>
        </w:rPr>
        <w:instrText xml:space="preserve"> PAGEREF _Toc25842062 \h </w:instrText>
      </w:r>
      <w:r>
        <w:rPr>
          <w:rFonts w:eastAsia="黑体"/>
          <w:bCs/>
          <w:caps/>
          <w:color w:val="000000"/>
          <w:sz w:val="22"/>
          <w:szCs w:val="22"/>
        </w:rPr>
        <w:fldChar w:fldCharType="separate"/>
      </w:r>
      <w:r>
        <w:rPr>
          <w:rFonts w:eastAsia="黑体"/>
          <w:bCs/>
          <w:caps/>
          <w:color w:val="000000"/>
          <w:sz w:val="22"/>
          <w:szCs w:val="22"/>
        </w:rPr>
        <w:t>115</w:t>
      </w:r>
      <w:r>
        <w:rPr>
          <w:rFonts w:eastAsia="黑体"/>
          <w:bCs/>
          <w:caps/>
          <w:color w:val="000000"/>
          <w:sz w:val="22"/>
          <w:szCs w:val="22"/>
        </w:rPr>
        <w:fldChar w:fldCharType="end"/>
      </w:r>
      <w:r>
        <w:rPr>
          <w:rFonts w:eastAsia="黑体"/>
          <w:bCs/>
          <w:caps/>
          <w:color w:val="000000"/>
          <w:sz w:val="22"/>
          <w:szCs w:val="22"/>
        </w:rPr>
        <w:fldChar w:fldCharType="end"/>
      </w:r>
    </w:p>
    <w:p>
      <w:pPr>
        <w:tabs>
          <w:tab w:val="right" w:leader="dot" w:pos="8296"/>
        </w:tabs>
        <w:spacing w:line="360" w:lineRule="exact"/>
        <w:jc w:val="left"/>
        <w:rPr>
          <w:color w:val="000000"/>
          <w:szCs w:val="22"/>
        </w:rPr>
      </w:pPr>
      <w:r>
        <w:fldChar w:fldCharType="begin"/>
      </w:r>
      <w:r>
        <w:instrText xml:space="preserve"> HYPERLINK \l "_Toc25842063" </w:instrText>
      </w:r>
      <w:r>
        <w:fldChar w:fldCharType="separate"/>
      </w:r>
      <w:r>
        <w:rPr>
          <w:rFonts w:eastAsia="黑体"/>
          <w:bCs/>
          <w:caps/>
          <w:color w:val="000000"/>
          <w:sz w:val="22"/>
          <w:szCs w:val="22"/>
        </w:rPr>
        <w:t>附件9：股票期权持仓限额调整申请表（期货公司用）</w:t>
      </w:r>
      <w:r>
        <w:rPr>
          <w:rFonts w:eastAsia="黑体"/>
          <w:bCs/>
          <w:caps/>
          <w:color w:val="000000"/>
          <w:sz w:val="22"/>
          <w:szCs w:val="22"/>
        </w:rPr>
        <w:tab/>
      </w:r>
      <w:r>
        <w:rPr>
          <w:rFonts w:eastAsia="黑体"/>
          <w:bCs/>
          <w:caps/>
          <w:color w:val="000000"/>
          <w:sz w:val="22"/>
          <w:szCs w:val="22"/>
        </w:rPr>
        <w:fldChar w:fldCharType="begin"/>
      </w:r>
      <w:r>
        <w:rPr>
          <w:rFonts w:eastAsia="黑体"/>
          <w:bCs/>
          <w:caps/>
          <w:color w:val="000000"/>
          <w:sz w:val="22"/>
          <w:szCs w:val="22"/>
        </w:rPr>
        <w:instrText xml:space="preserve"> PAGEREF _Toc25842063 \h </w:instrText>
      </w:r>
      <w:r>
        <w:rPr>
          <w:rFonts w:eastAsia="黑体"/>
          <w:bCs/>
          <w:caps/>
          <w:color w:val="000000"/>
          <w:sz w:val="22"/>
          <w:szCs w:val="22"/>
        </w:rPr>
        <w:fldChar w:fldCharType="separate"/>
      </w:r>
      <w:r>
        <w:rPr>
          <w:rFonts w:eastAsia="黑体"/>
          <w:bCs/>
          <w:caps/>
          <w:color w:val="000000"/>
          <w:sz w:val="22"/>
          <w:szCs w:val="22"/>
        </w:rPr>
        <w:t>116</w:t>
      </w:r>
      <w:r>
        <w:rPr>
          <w:rFonts w:eastAsia="黑体"/>
          <w:bCs/>
          <w:caps/>
          <w:color w:val="000000"/>
          <w:sz w:val="22"/>
          <w:szCs w:val="22"/>
        </w:rPr>
        <w:fldChar w:fldCharType="end"/>
      </w:r>
      <w:r>
        <w:rPr>
          <w:rFonts w:eastAsia="黑体"/>
          <w:bCs/>
          <w:caps/>
          <w:color w:val="000000"/>
          <w:sz w:val="22"/>
          <w:szCs w:val="22"/>
        </w:rPr>
        <w:fldChar w:fldCharType="end"/>
      </w:r>
    </w:p>
    <w:p>
      <w:pPr>
        <w:tabs>
          <w:tab w:val="right" w:leader="dot" w:pos="8296"/>
        </w:tabs>
        <w:spacing w:line="360" w:lineRule="exact"/>
        <w:jc w:val="left"/>
        <w:rPr>
          <w:color w:val="000000"/>
          <w:szCs w:val="22"/>
        </w:rPr>
      </w:pPr>
      <w:r>
        <w:fldChar w:fldCharType="begin"/>
      </w:r>
      <w:r>
        <w:instrText xml:space="preserve"> HYPERLINK \l "_Toc25842064" </w:instrText>
      </w:r>
      <w:r>
        <w:fldChar w:fldCharType="separate"/>
      </w:r>
      <w:r>
        <w:rPr>
          <w:rFonts w:eastAsia="黑体"/>
          <w:bCs/>
          <w:caps/>
          <w:color w:val="000000"/>
          <w:sz w:val="22"/>
          <w:szCs w:val="22"/>
        </w:rPr>
        <w:t>附件10：股票期权合格投资者数据报送接口定义表</w:t>
      </w:r>
      <w:r>
        <w:rPr>
          <w:rFonts w:eastAsia="黑体"/>
          <w:bCs/>
          <w:caps/>
          <w:color w:val="000000"/>
          <w:sz w:val="22"/>
          <w:szCs w:val="22"/>
        </w:rPr>
        <w:tab/>
      </w:r>
      <w:r>
        <w:rPr>
          <w:rFonts w:eastAsia="黑体"/>
          <w:bCs/>
          <w:caps/>
          <w:color w:val="000000"/>
          <w:sz w:val="22"/>
          <w:szCs w:val="22"/>
        </w:rPr>
        <w:fldChar w:fldCharType="begin"/>
      </w:r>
      <w:r>
        <w:rPr>
          <w:rFonts w:eastAsia="黑体"/>
          <w:bCs/>
          <w:caps/>
          <w:color w:val="000000"/>
          <w:sz w:val="22"/>
          <w:szCs w:val="22"/>
        </w:rPr>
        <w:instrText xml:space="preserve"> PAGEREF _Toc25842064 \h </w:instrText>
      </w:r>
      <w:r>
        <w:rPr>
          <w:rFonts w:eastAsia="黑体"/>
          <w:bCs/>
          <w:caps/>
          <w:color w:val="000000"/>
          <w:sz w:val="22"/>
          <w:szCs w:val="22"/>
        </w:rPr>
        <w:fldChar w:fldCharType="separate"/>
      </w:r>
      <w:r>
        <w:rPr>
          <w:rFonts w:eastAsia="黑体"/>
          <w:bCs/>
          <w:caps/>
          <w:color w:val="000000"/>
          <w:sz w:val="22"/>
          <w:szCs w:val="22"/>
        </w:rPr>
        <w:t>117</w:t>
      </w:r>
      <w:r>
        <w:rPr>
          <w:rFonts w:eastAsia="黑体"/>
          <w:bCs/>
          <w:caps/>
          <w:color w:val="000000"/>
          <w:sz w:val="22"/>
          <w:szCs w:val="22"/>
        </w:rPr>
        <w:fldChar w:fldCharType="end"/>
      </w:r>
      <w:r>
        <w:rPr>
          <w:rFonts w:eastAsia="黑体"/>
          <w:bCs/>
          <w:caps/>
          <w:color w:val="000000"/>
          <w:sz w:val="22"/>
          <w:szCs w:val="22"/>
        </w:rPr>
        <w:fldChar w:fldCharType="end"/>
      </w:r>
    </w:p>
    <w:p>
      <w:pPr>
        <w:tabs>
          <w:tab w:val="right" w:leader="dot" w:pos="8296"/>
        </w:tabs>
        <w:spacing w:line="360" w:lineRule="exact"/>
        <w:jc w:val="left"/>
        <w:rPr>
          <w:color w:val="000000"/>
          <w:szCs w:val="22"/>
        </w:rPr>
      </w:pPr>
      <w:r>
        <w:fldChar w:fldCharType="begin"/>
      </w:r>
      <w:r>
        <w:instrText xml:space="preserve"> HYPERLINK \l "_Toc25842065" </w:instrText>
      </w:r>
      <w:r>
        <w:fldChar w:fldCharType="separate"/>
      </w:r>
      <w:r>
        <w:rPr>
          <w:rFonts w:eastAsia="黑体"/>
          <w:bCs/>
          <w:caps/>
          <w:color w:val="000000"/>
          <w:sz w:val="22"/>
          <w:szCs w:val="22"/>
        </w:rPr>
        <w:t>附件11：股票期权业务程序化交易报备表</w:t>
      </w:r>
      <w:r>
        <w:rPr>
          <w:rFonts w:eastAsia="黑体"/>
          <w:bCs/>
          <w:caps/>
          <w:color w:val="000000"/>
          <w:sz w:val="22"/>
          <w:szCs w:val="22"/>
        </w:rPr>
        <w:tab/>
      </w:r>
      <w:r>
        <w:rPr>
          <w:rFonts w:eastAsia="黑体"/>
          <w:bCs/>
          <w:caps/>
          <w:color w:val="000000"/>
          <w:sz w:val="22"/>
          <w:szCs w:val="22"/>
        </w:rPr>
        <w:fldChar w:fldCharType="begin"/>
      </w:r>
      <w:r>
        <w:rPr>
          <w:rFonts w:eastAsia="黑体"/>
          <w:bCs/>
          <w:caps/>
          <w:color w:val="000000"/>
          <w:sz w:val="22"/>
          <w:szCs w:val="22"/>
        </w:rPr>
        <w:instrText xml:space="preserve"> PAGEREF _Toc25842065 \h </w:instrText>
      </w:r>
      <w:r>
        <w:rPr>
          <w:rFonts w:eastAsia="黑体"/>
          <w:bCs/>
          <w:caps/>
          <w:color w:val="000000"/>
          <w:sz w:val="22"/>
          <w:szCs w:val="22"/>
        </w:rPr>
        <w:fldChar w:fldCharType="separate"/>
      </w:r>
      <w:r>
        <w:rPr>
          <w:rFonts w:eastAsia="黑体"/>
          <w:bCs/>
          <w:caps/>
          <w:color w:val="000000"/>
          <w:sz w:val="22"/>
          <w:szCs w:val="22"/>
        </w:rPr>
        <w:t>121</w:t>
      </w:r>
      <w:r>
        <w:rPr>
          <w:rFonts w:eastAsia="黑体"/>
          <w:bCs/>
          <w:caps/>
          <w:color w:val="000000"/>
          <w:sz w:val="22"/>
          <w:szCs w:val="22"/>
        </w:rPr>
        <w:fldChar w:fldCharType="end"/>
      </w:r>
      <w:r>
        <w:rPr>
          <w:rFonts w:eastAsia="黑体"/>
          <w:bCs/>
          <w:caps/>
          <w:color w:val="000000"/>
          <w:sz w:val="22"/>
          <w:szCs w:val="22"/>
        </w:rPr>
        <w:fldChar w:fldCharType="end"/>
      </w:r>
    </w:p>
    <w:p>
      <w:pPr>
        <w:tabs>
          <w:tab w:val="right" w:leader="dot" w:pos="8296"/>
        </w:tabs>
        <w:spacing w:line="360" w:lineRule="exact"/>
        <w:jc w:val="left"/>
        <w:rPr>
          <w:color w:val="000000"/>
          <w:szCs w:val="22"/>
        </w:rPr>
      </w:pPr>
      <w:r>
        <w:fldChar w:fldCharType="begin"/>
      </w:r>
      <w:r>
        <w:instrText xml:space="preserve"> HYPERLINK \l "_Toc25842066" </w:instrText>
      </w:r>
      <w:r>
        <w:fldChar w:fldCharType="separate"/>
      </w:r>
      <w:r>
        <w:rPr>
          <w:rFonts w:eastAsia="黑体"/>
          <w:bCs/>
          <w:caps/>
          <w:color w:val="000000"/>
          <w:sz w:val="22"/>
          <w:szCs w:val="22"/>
        </w:rPr>
        <w:t>附件12：股票期权大户持仓报告表</w:t>
      </w:r>
      <w:r>
        <w:rPr>
          <w:rFonts w:eastAsia="黑体"/>
          <w:bCs/>
          <w:caps/>
          <w:color w:val="000000"/>
          <w:sz w:val="22"/>
          <w:szCs w:val="22"/>
        </w:rPr>
        <w:tab/>
      </w:r>
      <w:r>
        <w:rPr>
          <w:rFonts w:eastAsia="黑体"/>
          <w:bCs/>
          <w:caps/>
          <w:color w:val="000000"/>
          <w:sz w:val="22"/>
          <w:szCs w:val="22"/>
        </w:rPr>
        <w:fldChar w:fldCharType="begin"/>
      </w:r>
      <w:r>
        <w:rPr>
          <w:rFonts w:eastAsia="黑体"/>
          <w:bCs/>
          <w:caps/>
          <w:color w:val="000000"/>
          <w:sz w:val="22"/>
          <w:szCs w:val="22"/>
        </w:rPr>
        <w:instrText xml:space="preserve"> PAGEREF _Toc25842066 \h </w:instrText>
      </w:r>
      <w:r>
        <w:rPr>
          <w:rFonts w:eastAsia="黑体"/>
          <w:bCs/>
          <w:caps/>
          <w:color w:val="000000"/>
          <w:sz w:val="22"/>
          <w:szCs w:val="22"/>
        </w:rPr>
        <w:fldChar w:fldCharType="separate"/>
      </w:r>
      <w:r>
        <w:rPr>
          <w:rFonts w:eastAsia="黑体"/>
          <w:bCs/>
          <w:caps/>
          <w:color w:val="000000"/>
          <w:sz w:val="22"/>
          <w:szCs w:val="22"/>
        </w:rPr>
        <w:t>125</w:t>
      </w:r>
      <w:r>
        <w:rPr>
          <w:rFonts w:eastAsia="黑体"/>
          <w:bCs/>
          <w:caps/>
          <w:color w:val="000000"/>
          <w:sz w:val="22"/>
          <w:szCs w:val="22"/>
        </w:rPr>
        <w:fldChar w:fldCharType="end"/>
      </w:r>
      <w:r>
        <w:rPr>
          <w:rFonts w:eastAsia="黑体"/>
          <w:bCs/>
          <w:caps/>
          <w:color w:val="000000"/>
          <w:sz w:val="22"/>
          <w:szCs w:val="22"/>
        </w:rPr>
        <w:fldChar w:fldCharType="end"/>
      </w:r>
    </w:p>
    <w:p>
      <w:pPr>
        <w:tabs>
          <w:tab w:val="right" w:leader="dot" w:pos="8296"/>
        </w:tabs>
        <w:spacing w:line="360" w:lineRule="exact"/>
        <w:jc w:val="left"/>
        <w:rPr>
          <w:color w:val="000000"/>
          <w:szCs w:val="22"/>
        </w:rPr>
      </w:pPr>
      <w:r>
        <w:fldChar w:fldCharType="begin"/>
      </w:r>
      <w:r>
        <w:instrText xml:space="preserve"> HYPERLINK \l "_Toc25842067" </w:instrText>
      </w:r>
      <w:r>
        <w:fldChar w:fldCharType="separate"/>
      </w:r>
      <w:r>
        <w:rPr>
          <w:rFonts w:eastAsia="黑体"/>
          <w:bCs/>
          <w:caps/>
          <w:color w:val="000000"/>
          <w:sz w:val="22"/>
          <w:szCs w:val="22"/>
        </w:rPr>
        <w:t>附件13：介绍业务协议范本</w:t>
      </w:r>
      <w:r>
        <w:rPr>
          <w:rFonts w:eastAsia="黑体"/>
          <w:bCs/>
          <w:caps/>
          <w:color w:val="000000"/>
          <w:sz w:val="22"/>
          <w:szCs w:val="22"/>
        </w:rPr>
        <w:tab/>
      </w:r>
      <w:r>
        <w:rPr>
          <w:rFonts w:eastAsia="黑体"/>
          <w:bCs/>
          <w:caps/>
          <w:color w:val="000000"/>
          <w:sz w:val="22"/>
          <w:szCs w:val="22"/>
        </w:rPr>
        <w:fldChar w:fldCharType="begin"/>
      </w:r>
      <w:r>
        <w:rPr>
          <w:rFonts w:eastAsia="黑体"/>
          <w:bCs/>
          <w:caps/>
          <w:color w:val="000000"/>
          <w:sz w:val="22"/>
          <w:szCs w:val="22"/>
        </w:rPr>
        <w:instrText xml:space="preserve"> PAGEREF _Toc25842067 \h </w:instrText>
      </w:r>
      <w:r>
        <w:rPr>
          <w:rFonts w:eastAsia="黑体"/>
          <w:bCs/>
          <w:caps/>
          <w:color w:val="000000"/>
          <w:sz w:val="22"/>
          <w:szCs w:val="22"/>
        </w:rPr>
        <w:fldChar w:fldCharType="separate"/>
      </w:r>
      <w:r>
        <w:rPr>
          <w:rFonts w:eastAsia="黑体"/>
          <w:bCs/>
          <w:caps/>
          <w:color w:val="000000"/>
          <w:sz w:val="22"/>
          <w:szCs w:val="22"/>
        </w:rPr>
        <w:t>127</w:t>
      </w:r>
      <w:r>
        <w:rPr>
          <w:rFonts w:eastAsia="黑体"/>
          <w:bCs/>
          <w:caps/>
          <w:color w:val="000000"/>
          <w:sz w:val="22"/>
          <w:szCs w:val="22"/>
        </w:rPr>
        <w:fldChar w:fldCharType="end"/>
      </w:r>
      <w:r>
        <w:rPr>
          <w:rFonts w:eastAsia="黑体"/>
          <w:bCs/>
          <w:caps/>
          <w:color w:val="000000"/>
          <w:sz w:val="22"/>
          <w:szCs w:val="22"/>
        </w:rPr>
        <w:fldChar w:fldCharType="end"/>
      </w:r>
    </w:p>
    <w:p>
      <w:pPr>
        <w:tabs>
          <w:tab w:val="right" w:leader="dot" w:pos="8296"/>
        </w:tabs>
        <w:spacing w:line="360" w:lineRule="exact"/>
        <w:jc w:val="left"/>
        <w:rPr>
          <w:color w:val="000000"/>
          <w:szCs w:val="22"/>
        </w:rPr>
      </w:pPr>
      <w:r>
        <w:fldChar w:fldCharType="begin"/>
      </w:r>
      <w:r>
        <w:instrText xml:space="preserve"> HYPERLINK \l "_Toc25842068" </w:instrText>
      </w:r>
      <w:r>
        <w:fldChar w:fldCharType="separate"/>
      </w:r>
      <w:r>
        <w:rPr>
          <w:rFonts w:eastAsia="黑体"/>
          <w:bCs/>
          <w:caps/>
          <w:color w:val="000000"/>
          <w:sz w:val="22"/>
          <w:szCs w:val="22"/>
        </w:rPr>
        <w:t>附件14：深圳证券交易所股票期权试点经纪合同示范文本</w:t>
      </w:r>
      <w:r>
        <w:rPr>
          <w:rFonts w:eastAsia="黑体"/>
          <w:bCs/>
          <w:caps/>
          <w:color w:val="000000"/>
          <w:sz w:val="22"/>
          <w:szCs w:val="22"/>
        </w:rPr>
        <w:tab/>
      </w:r>
      <w:r>
        <w:rPr>
          <w:rFonts w:eastAsia="黑体"/>
          <w:bCs/>
          <w:caps/>
          <w:color w:val="000000"/>
          <w:sz w:val="22"/>
          <w:szCs w:val="22"/>
        </w:rPr>
        <w:fldChar w:fldCharType="begin"/>
      </w:r>
      <w:r>
        <w:rPr>
          <w:rFonts w:eastAsia="黑体"/>
          <w:bCs/>
          <w:caps/>
          <w:color w:val="000000"/>
          <w:sz w:val="22"/>
          <w:szCs w:val="22"/>
        </w:rPr>
        <w:instrText xml:space="preserve"> PAGEREF _Toc25842068 \h </w:instrText>
      </w:r>
      <w:r>
        <w:rPr>
          <w:rFonts w:eastAsia="黑体"/>
          <w:bCs/>
          <w:caps/>
          <w:color w:val="000000"/>
          <w:sz w:val="22"/>
          <w:szCs w:val="22"/>
        </w:rPr>
        <w:fldChar w:fldCharType="separate"/>
      </w:r>
      <w:r>
        <w:rPr>
          <w:rFonts w:eastAsia="黑体"/>
          <w:bCs/>
          <w:caps/>
          <w:color w:val="000000"/>
          <w:sz w:val="22"/>
          <w:szCs w:val="22"/>
        </w:rPr>
        <w:t>135</w:t>
      </w:r>
      <w:r>
        <w:rPr>
          <w:rFonts w:eastAsia="黑体"/>
          <w:bCs/>
          <w:caps/>
          <w:color w:val="000000"/>
          <w:sz w:val="22"/>
          <w:szCs w:val="22"/>
        </w:rPr>
        <w:fldChar w:fldCharType="end"/>
      </w:r>
      <w:r>
        <w:rPr>
          <w:rFonts w:eastAsia="黑体"/>
          <w:bCs/>
          <w:caps/>
          <w:color w:val="000000"/>
          <w:sz w:val="22"/>
          <w:szCs w:val="22"/>
        </w:rPr>
        <w:fldChar w:fldCharType="end"/>
      </w:r>
    </w:p>
    <w:p>
      <w:pPr>
        <w:tabs>
          <w:tab w:val="right" w:leader="dot" w:pos="8296"/>
        </w:tabs>
        <w:spacing w:line="360" w:lineRule="exact"/>
        <w:jc w:val="left"/>
        <w:rPr>
          <w:color w:val="000000"/>
          <w:szCs w:val="22"/>
        </w:rPr>
      </w:pPr>
      <w:r>
        <w:fldChar w:fldCharType="begin"/>
      </w:r>
      <w:r>
        <w:instrText xml:space="preserve"> HYPERLINK \l "_Toc25842069" </w:instrText>
      </w:r>
      <w:r>
        <w:fldChar w:fldCharType="separate"/>
      </w:r>
      <w:r>
        <w:rPr>
          <w:rFonts w:eastAsia="黑体"/>
          <w:bCs/>
          <w:caps/>
          <w:color w:val="000000"/>
          <w:sz w:val="22"/>
          <w:szCs w:val="22"/>
        </w:rPr>
        <w:t>附件15：深圳证券交易所交易参与人申请书</w:t>
      </w:r>
      <w:r>
        <w:rPr>
          <w:rFonts w:eastAsia="黑体"/>
          <w:bCs/>
          <w:caps/>
          <w:color w:val="000000"/>
          <w:sz w:val="22"/>
          <w:szCs w:val="22"/>
        </w:rPr>
        <w:tab/>
      </w:r>
      <w:r>
        <w:rPr>
          <w:rFonts w:eastAsia="黑体"/>
          <w:bCs/>
          <w:caps/>
          <w:color w:val="000000"/>
          <w:sz w:val="22"/>
          <w:szCs w:val="22"/>
        </w:rPr>
        <w:fldChar w:fldCharType="begin"/>
      </w:r>
      <w:r>
        <w:rPr>
          <w:rFonts w:eastAsia="黑体"/>
          <w:bCs/>
          <w:caps/>
          <w:color w:val="000000"/>
          <w:sz w:val="22"/>
          <w:szCs w:val="22"/>
        </w:rPr>
        <w:instrText xml:space="preserve"> PAGEREF _Toc25842069 \h </w:instrText>
      </w:r>
      <w:r>
        <w:rPr>
          <w:rFonts w:eastAsia="黑体"/>
          <w:bCs/>
          <w:caps/>
          <w:color w:val="000000"/>
          <w:sz w:val="22"/>
          <w:szCs w:val="22"/>
        </w:rPr>
        <w:fldChar w:fldCharType="separate"/>
      </w:r>
      <w:r>
        <w:rPr>
          <w:rFonts w:eastAsia="黑体"/>
          <w:bCs/>
          <w:caps/>
          <w:color w:val="000000"/>
          <w:sz w:val="22"/>
          <w:szCs w:val="22"/>
        </w:rPr>
        <w:t>181</w:t>
      </w:r>
      <w:r>
        <w:rPr>
          <w:rFonts w:eastAsia="黑体"/>
          <w:bCs/>
          <w:caps/>
          <w:color w:val="000000"/>
          <w:sz w:val="22"/>
          <w:szCs w:val="22"/>
        </w:rPr>
        <w:fldChar w:fldCharType="end"/>
      </w:r>
      <w:r>
        <w:rPr>
          <w:rFonts w:eastAsia="黑体"/>
          <w:bCs/>
          <w:caps/>
          <w:color w:val="000000"/>
          <w:sz w:val="22"/>
          <w:szCs w:val="22"/>
        </w:rPr>
        <w:fldChar w:fldCharType="end"/>
      </w:r>
    </w:p>
    <w:p>
      <w:pPr>
        <w:tabs>
          <w:tab w:val="right" w:leader="dot" w:pos="8296"/>
        </w:tabs>
        <w:spacing w:line="360" w:lineRule="exact"/>
        <w:jc w:val="left"/>
        <w:rPr>
          <w:color w:val="000000"/>
          <w:szCs w:val="22"/>
        </w:rPr>
      </w:pPr>
      <w:r>
        <w:fldChar w:fldCharType="begin"/>
      </w:r>
      <w:r>
        <w:instrText xml:space="preserve"> HYPERLINK \l "_Toc25842070" </w:instrText>
      </w:r>
      <w:r>
        <w:fldChar w:fldCharType="separate"/>
      </w:r>
      <w:r>
        <w:rPr>
          <w:rFonts w:eastAsia="黑体"/>
          <w:bCs/>
          <w:caps/>
          <w:color w:val="000000"/>
          <w:sz w:val="22"/>
          <w:szCs w:val="22"/>
        </w:rPr>
        <w:t>附件16：股票期权经纪业务准备情况表</w:t>
      </w:r>
      <w:r>
        <w:rPr>
          <w:rFonts w:eastAsia="黑体"/>
          <w:bCs/>
          <w:caps/>
          <w:color w:val="000000"/>
          <w:sz w:val="22"/>
          <w:szCs w:val="22"/>
        </w:rPr>
        <w:tab/>
      </w:r>
      <w:r>
        <w:rPr>
          <w:rFonts w:eastAsia="黑体"/>
          <w:bCs/>
          <w:caps/>
          <w:color w:val="000000"/>
          <w:sz w:val="22"/>
          <w:szCs w:val="22"/>
        </w:rPr>
        <w:fldChar w:fldCharType="begin"/>
      </w:r>
      <w:r>
        <w:rPr>
          <w:rFonts w:eastAsia="黑体"/>
          <w:bCs/>
          <w:caps/>
          <w:color w:val="000000"/>
          <w:sz w:val="22"/>
          <w:szCs w:val="22"/>
        </w:rPr>
        <w:instrText xml:space="preserve"> PAGEREF _Toc25842070 \h </w:instrText>
      </w:r>
      <w:r>
        <w:rPr>
          <w:rFonts w:eastAsia="黑体"/>
          <w:bCs/>
          <w:caps/>
          <w:color w:val="000000"/>
          <w:sz w:val="22"/>
          <w:szCs w:val="22"/>
        </w:rPr>
        <w:fldChar w:fldCharType="separate"/>
      </w:r>
      <w:r>
        <w:rPr>
          <w:rFonts w:eastAsia="黑体"/>
          <w:bCs/>
          <w:caps/>
          <w:color w:val="000000"/>
          <w:sz w:val="22"/>
          <w:szCs w:val="22"/>
        </w:rPr>
        <w:t>182</w:t>
      </w:r>
      <w:r>
        <w:rPr>
          <w:rFonts w:eastAsia="黑体"/>
          <w:bCs/>
          <w:caps/>
          <w:color w:val="000000"/>
          <w:sz w:val="22"/>
          <w:szCs w:val="22"/>
        </w:rPr>
        <w:fldChar w:fldCharType="end"/>
      </w:r>
      <w:r>
        <w:rPr>
          <w:rFonts w:eastAsia="黑体"/>
          <w:bCs/>
          <w:caps/>
          <w:color w:val="000000"/>
          <w:sz w:val="22"/>
          <w:szCs w:val="22"/>
        </w:rPr>
        <w:fldChar w:fldCharType="end"/>
      </w:r>
    </w:p>
    <w:p>
      <w:pPr>
        <w:widowControl/>
        <w:spacing w:line="360" w:lineRule="exact"/>
        <w:jc w:val="left"/>
        <w:rPr>
          <w:rFonts w:ascii="Calibri" w:hAnsi="Calibri" w:cs="Calibri"/>
          <w:b/>
          <w:sz w:val="28"/>
          <w:szCs w:val="28"/>
        </w:rPr>
        <w:sectPr>
          <w:pgSz w:w="11906" w:h="16838"/>
          <w:pgMar w:top="2098" w:right="1588" w:bottom="1985" w:left="1701" w:header="851" w:footer="992" w:gutter="0"/>
          <w:pgNumType w:start="1"/>
          <w:cols w:space="425" w:num="1"/>
          <w:titlePg/>
          <w:docGrid w:type="lines" w:linePitch="312" w:charSpace="0"/>
        </w:sectPr>
      </w:pPr>
      <w:r>
        <w:rPr>
          <w:color w:val="000000"/>
          <w:sz w:val="28"/>
          <w:szCs w:val="28"/>
        </w:rPr>
        <w:fldChar w:fldCharType="end"/>
      </w:r>
    </w:p>
    <w:p>
      <w:pPr>
        <w:spacing w:before="156" w:beforeLines="50" w:after="156" w:afterLines="50"/>
        <w:jc w:val="center"/>
        <w:outlineLvl w:val="0"/>
        <w:rPr>
          <w:rFonts w:ascii="方正小标宋简体" w:hAnsi="黑体" w:eastAsia="方正小标宋简体"/>
          <w:bCs/>
          <w:sz w:val="40"/>
          <w:szCs w:val="40"/>
        </w:rPr>
      </w:pPr>
      <w:bookmarkStart w:id="0" w:name="_Toc408665026"/>
      <w:bookmarkStart w:id="1" w:name="_Toc25841971"/>
    </w:p>
    <w:p>
      <w:pPr>
        <w:spacing w:before="156" w:beforeLines="50" w:after="156" w:afterLines="50"/>
        <w:jc w:val="center"/>
        <w:outlineLvl w:val="0"/>
        <w:rPr>
          <w:rFonts w:ascii="方正小标宋简体" w:hAnsi="黑体" w:eastAsia="方正小标宋简体"/>
          <w:bCs/>
          <w:sz w:val="40"/>
          <w:szCs w:val="40"/>
        </w:rPr>
      </w:pPr>
      <w:r>
        <w:rPr>
          <w:rFonts w:hint="eastAsia" w:ascii="方正小标宋简体" w:hAnsi="黑体" w:eastAsia="方正小标宋简体"/>
          <w:bCs/>
          <w:sz w:val="40"/>
          <w:szCs w:val="40"/>
        </w:rPr>
        <w:t>说明及声明</w:t>
      </w:r>
      <w:bookmarkEnd w:id="0"/>
      <w:bookmarkEnd w:id="1"/>
    </w:p>
    <w:p>
      <w:pPr>
        <w:spacing w:line="560" w:lineRule="exact"/>
        <w:ind w:firstLine="600" w:firstLineChars="200"/>
        <w:rPr>
          <w:rFonts w:eastAsia="方正仿宋简体"/>
          <w:kern w:val="0"/>
          <w:sz w:val="30"/>
          <w:szCs w:val="30"/>
        </w:rPr>
      </w:pPr>
      <w:bookmarkStart w:id="2" w:name="_Toc406436498"/>
      <w:bookmarkStart w:id="3" w:name="_Toc406438947"/>
      <w:bookmarkStart w:id="4" w:name="_Toc406438871"/>
      <w:bookmarkStart w:id="5" w:name="_Toc406439132"/>
      <w:r>
        <w:rPr>
          <w:rFonts w:eastAsia="方正仿宋简体"/>
          <w:sz w:val="30"/>
          <w:szCs w:val="30"/>
        </w:rPr>
        <w:t>为便于期货公司参与深圳证券交易所</w:t>
      </w:r>
      <w:r>
        <w:rPr>
          <w:rFonts w:eastAsia="方正仿宋简体"/>
          <w:kern w:val="0"/>
          <w:sz w:val="30"/>
          <w:szCs w:val="30"/>
        </w:rPr>
        <w:t>（以下简称本所）股票期权业务，规范开展股票期权经纪业务，防范业务风险，本所根据</w:t>
      </w:r>
      <w:r>
        <w:rPr>
          <w:rFonts w:eastAsia="方正仿宋简体"/>
          <w:sz w:val="30"/>
          <w:szCs w:val="30"/>
        </w:rPr>
        <w:t>股票期权业务规则</w:t>
      </w:r>
      <w:r>
        <w:rPr>
          <w:rFonts w:eastAsia="方正仿宋简体"/>
          <w:kern w:val="0"/>
          <w:sz w:val="30"/>
          <w:szCs w:val="30"/>
        </w:rPr>
        <w:t>制定本指南，供期货公司开展股票期权经纪业务时参考。本指南内容如与股票期权业务规则不一致，以股票期权业务规则为准。</w:t>
      </w:r>
    </w:p>
    <w:p>
      <w:pPr>
        <w:spacing w:line="560" w:lineRule="exact"/>
        <w:ind w:firstLine="600" w:firstLineChars="200"/>
        <w:rPr>
          <w:rFonts w:eastAsia="方正仿宋简体"/>
          <w:kern w:val="0"/>
          <w:sz w:val="30"/>
          <w:szCs w:val="30"/>
        </w:rPr>
      </w:pPr>
      <w:r>
        <w:rPr>
          <w:rFonts w:eastAsia="方正仿宋简体"/>
          <w:kern w:val="0"/>
          <w:sz w:val="30"/>
          <w:szCs w:val="30"/>
        </w:rPr>
        <w:t>期货公司与客户之间经纪业务关系以其与客户签订的经纪合同中约定为准，本指南不作为处理相关纠纷的依据。本所将根据股票期权业务的进展情况，对本指南进行更新和调整。</w:t>
      </w:r>
    </w:p>
    <w:p>
      <w:pPr>
        <w:ind w:firstLine="560" w:firstLineChars="200"/>
        <w:rPr>
          <w:rFonts w:eastAsia="仿宋_GB2312"/>
          <w:kern w:val="0"/>
          <w:sz w:val="28"/>
          <w:szCs w:val="28"/>
        </w:rPr>
      </w:pPr>
    </w:p>
    <w:p>
      <w:pPr>
        <w:numPr>
          <w:ilvl w:val="0"/>
          <w:numId w:val="2"/>
        </w:numPr>
        <w:spacing w:before="156" w:beforeLines="50" w:after="156" w:afterLines="50"/>
        <w:ind w:left="0" w:firstLine="0"/>
        <w:jc w:val="center"/>
        <w:outlineLvl w:val="0"/>
        <w:rPr>
          <w:rFonts w:eastAsia="仿宋_GB2312"/>
          <w:b/>
          <w:bCs/>
          <w:sz w:val="30"/>
          <w:szCs w:val="30"/>
        </w:rPr>
        <w:sectPr>
          <w:footerReference r:id="rId3" w:type="first"/>
          <w:pgSz w:w="11906" w:h="16838"/>
          <w:pgMar w:top="2155" w:right="1588" w:bottom="1985" w:left="1701" w:header="851" w:footer="992" w:gutter="0"/>
          <w:pgNumType w:start="6"/>
          <w:cols w:space="425" w:num="1"/>
          <w:titlePg/>
          <w:docGrid w:type="lines" w:linePitch="312" w:charSpace="0"/>
        </w:sectPr>
      </w:pPr>
    </w:p>
    <w:p>
      <w:pPr>
        <w:numPr>
          <w:ilvl w:val="0"/>
          <w:numId w:val="3"/>
        </w:numPr>
        <w:spacing w:line="560" w:lineRule="exact"/>
        <w:ind w:left="0" w:firstLine="0"/>
        <w:jc w:val="center"/>
        <w:outlineLvl w:val="0"/>
        <w:rPr>
          <w:rFonts w:ascii="黑体" w:hAnsi="黑体" w:eastAsia="黑体"/>
          <w:b/>
          <w:bCs/>
          <w:sz w:val="30"/>
          <w:szCs w:val="30"/>
        </w:rPr>
      </w:pPr>
      <w:bookmarkStart w:id="6" w:name="_Toc25841972"/>
      <w:r>
        <w:rPr>
          <w:rFonts w:ascii="黑体" w:hAnsi="黑体" w:eastAsia="黑体"/>
          <w:bCs/>
          <w:sz w:val="30"/>
          <w:szCs w:val="30"/>
        </w:rPr>
        <w:t>总体要求</w:t>
      </w:r>
      <w:bookmarkEnd w:id="2"/>
      <w:bookmarkEnd w:id="3"/>
      <w:bookmarkEnd w:id="4"/>
      <w:bookmarkEnd w:id="5"/>
      <w:bookmarkEnd w:id="6"/>
    </w:p>
    <w:p>
      <w:pPr>
        <w:spacing w:line="560" w:lineRule="exact"/>
        <w:ind w:firstLine="600" w:firstLineChars="200"/>
        <w:rPr>
          <w:rFonts w:eastAsia="方正仿宋简体"/>
          <w:sz w:val="30"/>
          <w:szCs w:val="30"/>
        </w:rPr>
      </w:pPr>
      <w:r>
        <w:rPr>
          <w:rFonts w:eastAsia="方正仿宋简体"/>
          <w:sz w:val="30"/>
          <w:szCs w:val="30"/>
        </w:rPr>
        <w:t>期货公司应当根据本所、中国证券登记结算有限责任公司（以下简称中国结算）股票期权业务相关规则，制定股票期权交易、结算、风险控制等经纪业务规则。期货公司应当合理设置股票期权业务的组织架构，组织架构和岗位设置须考虑期权业务和相关证券现货业务的隔离，明确股票期权经纪业务部门和各相关部门、分支机构的职责分工，并恰当安排股票期权业务相关岗位、配备相关人员。</w:t>
      </w:r>
    </w:p>
    <w:p>
      <w:pPr>
        <w:numPr>
          <w:ilvl w:val="0"/>
          <w:numId w:val="4"/>
        </w:numPr>
        <w:spacing w:line="560" w:lineRule="exact"/>
        <w:ind w:left="0" w:firstLine="601" w:firstLineChars="200"/>
        <w:outlineLvl w:val="1"/>
        <w:rPr>
          <w:rFonts w:eastAsia="方正仿宋简体"/>
          <w:b/>
          <w:bCs/>
          <w:kern w:val="0"/>
          <w:sz w:val="30"/>
          <w:szCs w:val="30"/>
          <w:lang w:val="zh-CN" w:eastAsia="zh-CN"/>
        </w:rPr>
      </w:pPr>
      <w:bookmarkStart w:id="7" w:name="_Toc25841973"/>
      <w:r>
        <w:rPr>
          <w:rFonts w:eastAsia="方正仿宋简体"/>
          <w:b/>
          <w:bCs/>
          <w:kern w:val="0"/>
          <w:sz w:val="30"/>
          <w:szCs w:val="30"/>
          <w:lang w:val="zh-CN" w:eastAsia="zh-CN"/>
        </w:rPr>
        <w:t>组织架构和职责分工</w:t>
      </w:r>
      <w:bookmarkEnd w:id="7"/>
    </w:p>
    <w:p>
      <w:pPr>
        <w:keepNext/>
        <w:keepLines/>
        <w:numPr>
          <w:ilvl w:val="1"/>
          <w:numId w:val="5"/>
        </w:numPr>
        <w:spacing w:line="560" w:lineRule="exact"/>
        <w:ind w:left="0" w:firstLine="601" w:firstLineChars="200"/>
        <w:outlineLvl w:val="2"/>
        <w:rPr>
          <w:rFonts w:eastAsia="方正仿宋简体"/>
          <w:b/>
          <w:bCs/>
          <w:kern w:val="0"/>
          <w:sz w:val="30"/>
          <w:szCs w:val="30"/>
          <w:lang w:val="zh-CN" w:eastAsia="zh-CN"/>
        </w:rPr>
      </w:pPr>
      <w:bookmarkStart w:id="8" w:name="_Toc408300963"/>
      <w:r>
        <w:rPr>
          <w:rFonts w:eastAsia="方正仿宋简体"/>
          <w:b/>
          <w:bCs/>
          <w:kern w:val="0"/>
          <w:sz w:val="30"/>
          <w:szCs w:val="30"/>
          <w:lang w:val="zh-CN" w:eastAsia="zh-CN"/>
        </w:rPr>
        <w:t>公司总部</w:t>
      </w:r>
      <w:bookmarkEnd w:id="8"/>
    </w:p>
    <w:p>
      <w:pPr>
        <w:spacing w:line="560" w:lineRule="exact"/>
        <w:ind w:firstLine="600" w:firstLineChars="200"/>
        <w:rPr>
          <w:rFonts w:eastAsia="方正仿宋简体"/>
          <w:sz w:val="30"/>
          <w:szCs w:val="30"/>
        </w:rPr>
      </w:pPr>
      <w:r>
        <w:rPr>
          <w:rFonts w:eastAsia="方正仿宋简体"/>
          <w:sz w:val="30"/>
          <w:szCs w:val="30"/>
        </w:rPr>
        <w:t>期货公司股票期权经纪业务由公司总部统一集中管理。公司总部需要指定负责股票期权经纪业务的部门（一级或二级部门），职责可包括但不限于股票期权经纪业务制度与流程制定、业务统筹规划以及与股票期权业务密切相关的运营管理、风险管理、投资者适当性管理、客户关系管理、投资者教育等，并对分支机构开展股票期权业务进行管理和持续督导。公司总部应设立独立的证券经纪业务部门（一级或二级部门）专门从事股票期权相关现货业务。</w:t>
      </w:r>
    </w:p>
    <w:p>
      <w:pPr>
        <w:spacing w:line="560" w:lineRule="exact"/>
        <w:ind w:firstLine="600" w:firstLineChars="200"/>
        <w:rPr>
          <w:rFonts w:eastAsia="方正仿宋简体"/>
          <w:sz w:val="30"/>
          <w:szCs w:val="30"/>
        </w:rPr>
      </w:pPr>
      <w:r>
        <w:rPr>
          <w:rFonts w:eastAsia="方正仿宋简体"/>
          <w:sz w:val="30"/>
          <w:szCs w:val="30"/>
        </w:rPr>
        <w:t>公司总部其他相关部门应承担与股票期权经纪业务相关的职责，包括但不限于合规管理、风险控制、资金清算、技术系统的开发与维护等。</w:t>
      </w:r>
    </w:p>
    <w:p>
      <w:pPr>
        <w:spacing w:line="560" w:lineRule="exact"/>
        <w:ind w:firstLine="600" w:firstLineChars="200"/>
        <w:rPr>
          <w:rFonts w:eastAsia="方正仿宋简体"/>
          <w:sz w:val="30"/>
          <w:szCs w:val="30"/>
        </w:rPr>
      </w:pPr>
      <w:r>
        <w:rPr>
          <w:rFonts w:eastAsia="方正仿宋简体"/>
          <w:sz w:val="30"/>
          <w:szCs w:val="30"/>
        </w:rPr>
        <w:t>期货公司从事股票期权经纪业务的，应当建立健全并有效执行信息隔离制度，防止敏感信息的不当流动和使用，严格防范损害客户利益。</w:t>
      </w:r>
    </w:p>
    <w:p>
      <w:pPr>
        <w:keepNext/>
        <w:keepLines/>
        <w:numPr>
          <w:ilvl w:val="1"/>
          <w:numId w:val="5"/>
        </w:numPr>
        <w:spacing w:line="560" w:lineRule="exact"/>
        <w:ind w:left="0" w:firstLine="601" w:firstLineChars="200"/>
        <w:outlineLvl w:val="2"/>
        <w:rPr>
          <w:rFonts w:eastAsia="方正仿宋简体"/>
          <w:b/>
          <w:bCs/>
          <w:kern w:val="0"/>
          <w:sz w:val="30"/>
          <w:szCs w:val="30"/>
          <w:lang w:val="zh-CN" w:eastAsia="zh-CN"/>
        </w:rPr>
      </w:pPr>
      <w:bookmarkStart w:id="9" w:name="_Toc408300964"/>
      <w:r>
        <w:rPr>
          <w:rFonts w:eastAsia="方正仿宋简体"/>
          <w:b/>
          <w:bCs/>
          <w:kern w:val="0"/>
          <w:sz w:val="30"/>
          <w:szCs w:val="30"/>
          <w:lang w:val="zh-CN" w:eastAsia="zh-CN"/>
        </w:rPr>
        <w:t>分支机构</w:t>
      </w:r>
      <w:bookmarkEnd w:id="9"/>
    </w:p>
    <w:p>
      <w:pPr>
        <w:spacing w:line="560" w:lineRule="exact"/>
        <w:ind w:firstLine="600" w:firstLineChars="200"/>
        <w:rPr>
          <w:rFonts w:eastAsia="方正仿宋简体"/>
          <w:kern w:val="0"/>
          <w:sz w:val="30"/>
          <w:szCs w:val="30"/>
        </w:rPr>
      </w:pPr>
      <w:r>
        <w:rPr>
          <w:rFonts w:eastAsia="方正仿宋简体"/>
          <w:kern w:val="0"/>
          <w:sz w:val="30"/>
          <w:szCs w:val="30"/>
        </w:rPr>
        <w:t>分支机构应当在公司总部授权范围内规范开展股票期权经纪业务，负责本分支机构投资者衍生品和相关证券现货账户的开立与日常管理、信息收集、投资者教育、投诉处理等工作，并协助公司总部落实本分支机构投资者适当性管理、档案管理、风险管理等工作。</w:t>
      </w:r>
    </w:p>
    <w:p>
      <w:pPr>
        <w:numPr>
          <w:ilvl w:val="0"/>
          <w:numId w:val="4"/>
        </w:numPr>
        <w:spacing w:line="560" w:lineRule="exact"/>
        <w:ind w:left="0" w:firstLine="601" w:firstLineChars="200"/>
        <w:outlineLvl w:val="1"/>
        <w:rPr>
          <w:rFonts w:eastAsia="方正仿宋简体"/>
          <w:b/>
          <w:bCs/>
          <w:kern w:val="0"/>
          <w:sz w:val="30"/>
          <w:szCs w:val="30"/>
          <w:lang w:val="zh-CN" w:eastAsia="zh-CN"/>
        </w:rPr>
      </w:pPr>
      <w:bookmarkStart w:id="10" w:name="_Toc25841974"/>
      <w:bookmarkStart w:id="11" w:name="_Toc408300965"/>
      <w:r>
        <w:rPr>
          <w:rFonts w:eastAsia="方正仿宋简体"/>
          <w:b/>
          <w:bCs/>
          <w:kern w:val="0"/>
          <w:sz w:val="30"/>
          <w:szCs w:val="30"/>
          <w:lang w:val="zh-CN" w:eastAsia="zh-CN"/>
        </w:rPr>
        <w:t>岗位设置</w:t>
      </w:r>
      <w:bookmarkEnd w:id="10"/>
      <w:bookmarkEnd w:id="11"/>
    </w:p>
    <w:p>
      <w:pPr>
        <w:spacing w:line="560" w:lineRule="exact"/>
        <w:ind w:firstLine="600" w:firstLineChars="200"/>
        <w:rPr>
          <w:rFonts w:eastAsia="方正仿宋简体"/>
          <w:kern w:val="0"/>
          <w:sz w:val="30"/>
          <w:szCs w:val="30"/>
        </w:rPr>
      </w:pPr>
      <w:r>
        <w:rPr>
          <w:rFonts w:eastAsia="方正仿宋简体"/>
          <w:kern w:val="0"/>
          <w:sz w:val="30"/>
          <w:szCs w:val="30"/>
        </w:rPr>
        <w:t>期货公司应当恰当安排股票期权经纪业务岗位，明确岗位职能，建立岗位责任制度。</w:t>
      </w:r>
    </w:p>
    <w:p>
      <w:pPr>
        <w:keepNext/>
        <w:keepLines/>
        <w:numPr>
          <w:ilvl w:val="0"/>
          <w:numId w:val="6"/>
        </w:numPr>
        <w:spacing w:line="560" w:lineRule="exact"/>
        <w:ind w:left="0" w:firstLine="601" w:firstLineChars="200"/>
        <w:outlineLvl w:val="2"/>
        <w:rPr>
          <w:rFonts w:eastAsia="方正仿宋简体"/>
          <w:b/>
          <w:bCs/>
          <w:kern w:val="0"/>
          <w:sz w:val="30"/>
          <w:szCs w:val="30"/>
          <w:lang w:val="zh-CN" w:eastAsia="zh-CN"/>
        </w:rPr>
      </w:pPr>
      <w:bookmarkStart w:id="12" w:name="_Toc408300966"/>
      <w:r>
        <w:rPr>
          <w:rFonts w:eastAsia="方正仿宋简体"/>
          <w:b/>
          <w:bCs/>
          <w:kern w:val="0"/>
          <w:sz w:val="30"/>
          <w:szCs w:val="30"/>
          <w:lang w:val="zh-CN" w:eastAsia="zh-CN"/>
        </w:rPr>
        <w:t>公司总部</w:t>
      </w:r>
      <w:bookmarkEnd w:id="12"/>
    </w:p>
    <w:p>
      <w:pPr>
        <w:spacing w:line="560" w:lineRule="exact"/>
        <w:ind w:firstLine="600" w:firstLineChars="200"/>
        <w:rPr>
          <w:rFonts w:eastAsia="方正仿宋简体"/>
          <w:kern w:val="0"/>
          <w:sz w:val="30"/>
          <w:szCs w:val="30"/>
        </w:rPr>
      </w:pPr>
      <w:r>
        <w:rPr>
          <w:rFonts w:eastAsia="方正仿宋简体"/>
          <w:kern w:val="0"/>
          <w:sz w:val="30"/>
          <w:szCs w:val="30"/>
        </w:rPr>
        <w:t>为确保股票期权经纪业务的平稳运行，建议设立包括但不限于如下岗位:</w:t>
      </w:r>
    </w:p>
    <w:p>
      <w:pPr>
        <w:widowControl/>
        <w:numPr>
          <w:ilvl w:val="0"/>
          <w:numId w:val="7"/>
        </w:numPr>
        <w:spacing w:line="560" w:lineRule="exact"/>
        <w:ind w:left="0" w:firstLine="600" w:firstLineChars="200"/>
        <w:rPr>
          <w:rFonts w:eastAsia="方正仿宋简体"/>
          <w:kern w:val="0"/>
          <w:sz w:val="30"/>
          <w:szCs w:val="30"/>
        </w:rPr>
      </w:pPr>
      <w:r>
        <w:rPr>
          <w:rFonts w:eastAsia="方正仿宋简体"/>
          <w:kern w:val="0"/>
          <w:sz w:val="30"/>
          <w:szCs w:val="30"/>
        </w:rPr>
        <w:t>客户适当性管理岗，主要职责包括投资者适当性综合评估、分级管理、额度核定与调整、持续适当性评估等；</w:t>
      </w:r>
    </w:p>
    <w:p>
      <w:pPr>
        <w:widowControl/>
        <w:numPr>
          <w:ilvl w:val="0"/>
          <w:numId w:val="7"/>
        </w:numPr>
        <w:spacing w:line="560" w:lineRule="exact"/>
        <w:ind w:left="0" w:firstLine="600" w:firstLineChars="200"/>
        <w:rPr>
          <w:rFonts w:eastAsia="方正仿宋简体"/>
          <w:kern w:val="0"/>
          <w:sz w:val="30"/>
          <w:szCs w:val="30"/>
        </w:rPr>
      </w:pPr>
      <w:r>
        <w:rPr>
          <w:rFonts w:eastAsia="方正仿宋简体"/>
          <w:kern w:val="0"/>
          <w:sz w:val="30"/>
          <w:szCs w:val="30"/>
        </w:rPr>
        <w:t>合规与风险管理岗，主要职责包括对公司期权业务合规审查、风险总控管理等；</w:t>
      </w:r>
    </w:p>
    <w:p>
      <w:pPr>
        <w:widowControl/>
        <w:numPr>
          <w:ilvl w:val="0"/>
          <w:numId w:val="7"/>
        </w:numPr>
        <w:spacing w:line="560" w:lineRule="exact"/>
        <w:ind w:left="0" w:firstLine="600" w:firstLineChars="200"/>
        <w:rPr>
          <w:rFonts w:eastAsia="方正仿宋简体"/>
          <w:kern w:val="0"/>
          <w:sz w:val="30"/>
          <w:szCs w:val="30"/>
        </w:rPr>
      </w:pPr>
      <w:r>
        <w:rPr>
          <w:rFonts w:eastAsia="方正仿宋简体"/>
          <w:kern w:val="0"/>
          <w:sz w:val="30"/>
          <w:szCs w:val="30"/>
        </w:rPr>
        <w:t>风险监控岗，主要职责包括对盘中交易风险、保证金风险、持仓风险等实时动态监控；</w:t>
      </w:r>
    </w:p>
    <w:p>
      <w:pPr>
        <w:widowControl/>
        <w:numPr>
          <w:ilvl w:val="0"/>
          <w:numId w:val="7"/>
        </w:numPr>
        <w:spacing w:line="560" w:lineRule="exact"/>
        <w:ind w:left="0" w:firstLine="600" w:firstLineChars="200"/>
        <w:rPr>
          <w:rFonts w:eastAsia="方正仿宋简体"/>
          <w:kern w:val="0"/>
          <w:sz w:val="30"/>
          <w:szCs w:val="30"/>
        </w:rPr>
      </w:pPr>
      <w:r>
        <w:rPr>
          <w:rFonts w:eastAsia="方正仿宋简体"/>
          <w:kern w:val="0"/>
          <w:sz w:val="30"/>
          <w:szCs w:val="30"/>
        </w:rPr>
        <w:t>风险处置岗，主要职责包括发布风险警示与平仓通知、强行平仓、违约处置等；</w:t>
      </w:r>
    </w:p>
    <w:p>
      <w:pPr>
        <w:widowControl/>
        <w:numPr>
          <w:ilvl w:val="0"/>
          <w:numId w:val="7"/>
        </w:numPr>
        <w:spacing w:line="560" w:lineRule="exact"/>
        <w:ind w:left="0" w:firstLine="600" w:firstLineChars="200"/>
        <w:rPr>
          <w:rFonts w:eastAsia="方正仿宋简体"/>
          <w:kern w:val="0"/>
          <w:sz w:val="30"/>
          <w:szCs w:val="30"/>
        </w:rPr>
      </w:pPr>
      <w:r>
        <w:rPr>
          <w:rFonts w:eastAsia="方正仿宋简体"/>
          <w:kern w:val="0"/>
          <w:sz w:val="30"/>
          <w:szCs w:val="30"/>
        </w:rPr>
        <w:t>运行管理岗，主要职责包括业务流程管理、合约管理、参数管理等；</w:t>
      </w:r>
    </w:p>
    <w:p>
      <w:pPr>
        <w:widowControl/>
        <w:numPr>
          <w:ilvl w:val="0"/>
          <w:numId w:val="7"/>
        </w:numPr>
        <w:spacing w:line="560" w:lineRule="exact"/>
        <w:ind w:left="0" w:firstLine="600" w:firstLineChars="200"/>
        <w:rPr>
          <w:rFonts w:eastAsia="方正仿宋简体"/>
          <w:kern w:val="0"/>
          <w:sz w:val="30"/>
          <w:szCs w:val="30"/>
        </w:rPr>
      </w:pPr>
      <w:r>
        <w:rPr>
          <w:rFonts w:eastAsia="方正仿宋简体"/>
          <w:kern w:val="0"/>
          <w:sz w:val="30"/>
          <w:szCs w:val="30"/>
        </w:rPr>
        <w:t>投资者教育岗，主要职责包括统筹、规划、安排全公司及分支机构的股票期权投资者教育工作等；</w:t>
      </w:r>
    </w:p>
    <w:p>
      <w:pPr>
        <w:widowControl/>
        <w:numPr>
          <w:ilvl w:val="0"/>
          <w:numId w:val="7"/>
        </w:numPr>
        <w:spacing w:line="560" w:lineRule="exact"/>
        <w:ind w:left="0" w:firstLine="600" w:firstLineChars="200"/>
        <w:rPr>
          <w:rFonts w:eastAsia="方正仿宋简体"/>
          <w:kern w:val="0"/>
          <w:sz w:val="30"/>
          <w:szCs w:val="30"/>
        </w:rPr>
      </w:pPr>
      <w:r>
        <w:rPr>
          <w:rFonts w:eastAsia="方正仿宋简体"/>
          <w:kern w:val="0"/>
          <w:sz w:val="30"/>
          <w:szCs w:val="30"/>
        </w:rPr>
        <w:t>资金管理岗，主要职责包括资金盯市、（发起）资金调度、客户资金流动性分析与管理、客户保证金缺口计算与垫资管理等。</w:t>
      </w:r>
    </w:p>
    <w:p>
      <w:pPr>
        <w:spacing w:line="560" w:lineRule="exact"/>
        <w:ind w:firstLine="600" w:firstLineChars="200"/>
        <w:rPr>
          <w:rFonts w:eastAsia="方正仿宋简体"/>
          <w:kern w:val="0"/>
          <w:sz w:val="30"/>
          <w:szCs w:val="30"/>
        </w:rPr>
      </w:pPr>
      <w:r>
        <w:rPr>
          <w:rFonts w:eastAsia="方正仿宋简体"/>
          <w:kern w:val="0"/>
          <w:sz w:val="30"/>
          <w:szCs w:val="30"/>
        </w:rPr>
        <w:t>对风险监控岗、风险处置岗、运行管理岗等重点岗位，建立备岗制度。</w:t>
      </w:r>
    </w:p>
    <w:p>
      <w:pPr>
        <w:spacing w:line="560" w:lineRule="exact"/>
        <w:ind w:firstLine="600" w:firstLineChars="200"/>
        <w:rPr>
          <w:rFonts w:eastAsia="方正仿宋简体"/>
          <w:kern w:val="0"/>
          <w:sz w:val="30"/>
          <w:szCs w:val="30"/>
        </w:rPr>
      </w:pPr>
      <w:r>
        <w:rPr>
          <w:rFonts w:eastAsia="方正仿宋简体"/>
          <w:kern w:val="0"/>
          <w:sz w:val="30"/>
          <w:szCs w:val="30"/>
        </w:rPr>
        <w:t>总部其他相关部门应当就股票期权经纪业务的风险管理、合规管理、清算与资金管理、技术开发等设立相关岗位。</w:t>
      </w:r>
    </w:p>
    <w:p>
      <w:pPr>
        <w:spacing w:line="560" w:lineRule="exact"/>
        <w:ind w:firstLine="600" w:firstLineChars="200"/>
        <w:rPr>
          <w:rFonts w:eastAsia="方正仿宋简体"/>
          <w:kern w:val="0"/>
          <w:sz w:val="30"/>
          <w:szCs w:val="30"/>
        </w:rPr>
      </w:pPr>
      <w:r>
        <w:rPr>
          <w:rFonts w:eastAsia="方正仿宋简体"/>
          <w:kern w:val="0"/>
          <w:sz w:val="30"/>
          <w:szCs w:val="30"/>
        </w:rPr>
        <w:t>股票期权经纪业务部门与总部其他相关部门应明确各岗位的权责关系，保障期权经纪业务有序、平稳开展。</w:t>
      </w:r>
    </w:p>
    <w:p>
      <w:pPr>
        <w:spacing w:line="560" w:lineRule="exact"/>
        <w:ind w:firstLine="600" w:firstLineChars="200"/>
        <w:rPr>
          <w:rFonts w:eastAsia="方正仿宋简体"/>
          <w:kern w:val="0"/>
          <w:sz w:val="30"/>
          <w:szCs w:val="30"/>
        </w:rPr>
      </w:pPr>
      <w:r>
        <w:rPr>
          <w:rFonts w:eastAsia="方正仿宋简体"/>
          <w:kern w:val="0"/>
          <w:sz w:val="30"/>
          <w:szCs w:val="30"/>
        </w:rPr>
        <w:t>证券经纪业务部门应当做好标的证券的管理工作，岗位设置包括但不限于运行管理岗、系统维护岗、资金管理岗等，确保与股票期权备兑开仓以及行权相关的证券现货经纪业务平稳、有序开展。</w:t>
      </w:r>
    </w:p>
    <w:p>
      <w:pPr>
        <w:keepNext/>
        <w:keepLines/>
        <w:numPr>
          <w:ilvl w:val="0"/>
          <w:numId w:val="6"/>
        </w:numPr>
        <w:spacing w:line="560" w:lineRule="exact"/>
        <w:ind w:left="0" w:firstLine="601" w:firstLineChars="200"/>
        <w:outlineLvl w:val="2"/>
        <w:rPr>
          <w:rFonts w:eastAsia="方正仿宋简体"/>
          <w:b/>
          <w:bCs/>
          <w:kern w:val="0"/>
          <w:sz w:val="30"/>
          <w:szCs w:val="30"/>
          <w:lang w:val="zh-CN" w:eastAsia="zh-CN"/>
        </w:rPr>
      </w:pPr>
      <w:bookmarkStart w:id="13" w:name="_Toc408300967"/>
      <w:r>
        <w:rPr>
          <w:rFonts w:eastAsia="方正仿宋简体"/>
          <w:b/>
          <w:bCs/>
          <w:kern w:val="0"/>
          <w:sz w:val="30"/>
          <w:szCs w:val="30"/>
          <w:lang w:val="zh-CN" w:eastAsia="zh-CN"/>
        </w:rPr>
        <w:t>分支机构</w:t>
      </w:r>
      <w:bookmarkEnd w:id="13"/>
    </w:p>
    <w:p>
      <w:pPr>
        <w:spacing w:line="560" w:lineRule="exact"/>
        <w:ind w:firstLine="600" w:firstLineChars="200"/>
        <w:rPr>
          <w:rFonts w:eastAsia="方正仿宋简体"/>
          <w:kern w:val="0"/>
          <w:sz w:val="30"/>
          <w:szCs w:val="30"/>
        </w:rPr>
      </w:pPr>
      <w:r>
        <w:rPr>
          <w:rFonts w:eastAsia="方正仿宋简体"/>
          <w:kern w:val="0"/>
          <w:sz w:val="30"/>
          <w:szCs w:val="30"/>
        </w:rPr>
        <w:t>分支机构应指定股票期权和证券经纪业务负责人，并根据需要设立股票期权与证券现货开户岗、运营岗、合规与风险管理岗、投资者教育培训岗、客户回访岗、客户投诉处理岗等岗位。开户岗和运营岗建立备岗机制。分支机构可根据实际情况合理设置兼岗。</w:t>
      </w:r>
    </w:p>
    <w:p>
      <w:pPr>
        <w:widowControl/>
        <w:spacing w:line="560" w:lineRule="exact"/>
        <w:ind w:firstLine="600" w:firstLineChars="200"/>
        <w:rPr>
          <w:rFonts w:eastAsia="方正仿宋简体"/>
          <w:kern w:val="0"/>
          <w:sz w:val="30"/>
          <w:szCs w:val="30"/>
        </w:rPr>
      </w:pPr>
      <w:r>
        <w:rPr>
          <w:rFonts w:eastAsia="方正仿宋简体"/>
          <w:kern w:val="0"/>
          <w:sz w:val="30"/>
          <w:szCs w:val="30"/>
        </w:rPr>
        <w:br w:type="page"/>
      </w:r>
    </w:p>
    <w:p>
      <w:pPr>
        <w:numPr>
          <w:ilvl w:val="0"/>
          <w:numId w:val="4"/>
        </w:numPr>
        <w:spacing w:line="560" w:lineRule="exact"/>
        <w:ind w:left="0" w:firstLine="601" w:firstLineChars="200"/>
        <w:outlineLvl w:val="1"/>
        <w:rPr>
          <w:rFonts w:eastAsia="方正仿宋简体"/>
          <w:b/>
          <w:bCs/>
          <w:kern w:val="0"/>
          <w:sz w:val="30"/>
          <w:szCs w:val="30"/>
          <w:lang w:val="zh-CN" w:eastAsia="zh-CN"/>
        </w:rPr>
      </w:pPr>
      <w:bookmarkStart w:id="14" w:name="_Toc408300968"/>
      <w:bookmarkStart w:id="15" w:name="_Toc25841975"/>
      <w:r>
        <w:rPr>
          <w:rFonts w:eastAsia="方正仿宋简体"/>
          <w:b/>
          <w:bCs/>
          <w:kern w:val="0"/>
          <w:sz w:val="30"/>
          <w:szCs w:val="30"/>
          <w:lang w:val="zh-CN" w:eastAsia="zh-CN"/>
        </w:rPr>
        <w:t>制度与流程</w:t>
      </w:r>
      <w:bookmarkEnd w:id="14"/>
      <w:bookmarkEnd w:id="15"/>
    </w:p>
    <w:p>
      <w:pPr>
        <w:spacing w:line="560" w:lineRule="exact"/>
        <w:ind w:firstLine="600" w:firstLineChars="200"/>
        <w:rPr>
          <w:rFonts w:eastAsia="方正仿宋简体"/>
          <w:kern w:val="0"/>
          <w:sz w:val="30"/>
          <w:szCs w:val="30"/>
        </w:rPr>
      </w:pPr>
      <w:r>
        <w:rPr>
          <w:rFonts w:eastAsia="方正仿宋简体"/>
          <w:kern w:val="0"/>
          <w:sz w:val="30"/>
          <w:szCs w:val="30"/>
        </w:rPr>
        <w:t>期货公司应当制定健全的业务制度和完备的业务流程，涵盖股票期权和相关证券现货业务的交易管理、客户适当性评估以及分级管理、结算管理、风险管理、内部控制、投资者教育、合规管理、分支机构相关业务管理、分支机构相关内部控制等各个环节。</w:t>
      </w:r>
    </w:p>
    <w:p>
      <w:pPr>
        <w:spacing w:line="560" w:lineRule="exact"/>
        <w:ind w:firstLine="600" w:firstLineChars="200"/>
        <w:rPr>
          <w:rFonts w:eastAsia="方正仿宋简体"/>
          <w:kern w:val="0"/>
          <w:sz w:val="30"/>
          <w:szCs w:val="30"/>
        </w:rPr>
      </w:pPr>
      <w:r>
        <w:rPr>
          <w:rFonts w:eastAsia="方正仿宋简体"/>
          <w:kern w:val="0"/>
          <w:sz w:val="30"/>
          <w:szCs w:val="30"/>
        </w:rPr>
        <w:t>期货公司应当制定股票期权经纪业务应急预案，以应对业务突发事件，保障业务平稳开展。</w:t>
      </w:r>
    </w:p>
    <w:p>
      <w:pPr>
        <w:numPr>
          <w:ilvl w:val="0"/>
          <w:numId w:val="4"/>
        </w:numPr>
        <w:spacing w:line="560" w:lineRule="exact"/>
        <w:ind w:left="0" w:firstLine="601" w:firstLineChars="200"/>
        <w:outlineLvl w:val="1"/>
        <w:rPr>
          <w:rFonts w:eastAsia="方正仿宋简体"/>
          <w:b/>
          <w:bCs/>
          <w:kern w:val="0"/>
          <w:sz w:val="30"/>
          <w:szCs w:val="30"/>
          <w:lang w:val="zh-CN" w:eastAsia="zh-CN"/>
        </w:rPr>
      </w:pPr>
      <w:bookmarkStart w:id="16" w:name="_Toc25841976"/>
      <w:r>
        <w:rPr>
          <w:rFonts w:eastAsia="方正仿宋简体"/>
          <w:b/>
          <w:bCs/>
          <w:kern w:val="0"/>
          <w:sz w:val="30"/>
          <w:szCs w:val="30"/>
          <w:lang w:val="zh-CN" w:eastAsia="zh-CN"/>
        </w:rPr>
        <w:t>合规与内控管理</w:t>
      </w:r>
      <w:bookmarkEnd w:id="16"/>
    </w:p>
    <w:p>
      <w:pPr>
        <w:keepNext/>
        <w:keepLines/>
        <w:numPr>
          <w:ilvl w:val="0"/>
          <w:numId w:val="8"/>
        </w:numPr>
        <w:spacing w:line="560" w:lineRule="exact"/>
        <w:ind w:left="0" w:firstLine="601" w:firstLineChars="200"/>
        <w:outlineLvl w:val="2"/>
        <w:rPr>
          <w:rFonts w:eastAsia="方正仿宋简体"/>
          <w:b/>
          <w:bCs/>
          <w:kern w:val="0"/>
          <w:sz w:val="30"/>
          <w:szCs w:val="30"/>
          <w:lang w:val="zh-CN" w:eastAsia="zh-CN"/>
        </w:rPr>
      </w:pPr>
      <w:r>
        <w:rPr>
          <w:rFonts w:eastAsia="方正仿宋简体"/>
          <w:b/>
          <w:bCs/>
          <w:kern w:val="0"/>
          <w:sz w:val="30"/>
          <w:szCs w:val="30"/>
          <w:lang w:val="zh-CN" w:eastAsia="zh-CN"/>
        </w:rPr>
        <w:t>合规管理制度</w:t>
      </w:r>
    </w:p>
    <w:p>
      <w:pPr>
        <w:spacing w:line="560" w:lineRule="exact"/>
        <w:ind w:firstLine="600" w:firstLineChars="200"/>
        <w:rPr>
          <w:rFonts w:eastAsia="方正仿宋简体"/>
          <w:sz w:val="30"/>
          <w:szCs w:val="30"/>
        </w:rPr>
      </w:pPr>
      <w:r>
        <w:rPr>
          <w:rFonts w:eastAsia="方正仿宋简体"/>
          <w:sz w:val="30"/>
          <w:szCs w:val="30"/>
          <w:lang w:bidi="ar"/>
        </w:rPr>
        <w:t>期货公司须建立防范利益冲突相关的合规制度，确保期权业务在信息、人员、系统、资金和账户等方面实现隔离，在业务开展中须防止敏感信息的不当流动，建立跨墙管理制度。同时，应防范不同利益主体之间的利益冲突。</w:t>
      </w:r>
    </w:p>
    <w:p>
      <w:pPr>
        <w:widowControl/>
        <w:numPr>
          <w:ilvl w:val="0"/>
          <w:numId w:val="9"/>
        </w:numPr>
        <w:spacing w:line="560" w:lineRule="exact"/>
        <w:ind w:left="0" w:firstLine="600" w:firstLineChars="200"/>
        <w:rPr>
          <w:rFonts w:eastAsia="方正仿宋简体"/>
          <w:kern w:val="0"/>
          <w:sz w:val="30"/>
          <w:szCs w:val="30"/>
        </w:rPr>
      </w:pPr>
      <w:r>
        <w:rPr>
          <w:rFonts w:eastAsia="方正仿宋简体"/>
          <w:kern w:val="0"/>
          <w:sz w:val="30"/>
          <w:szCs w:val="30"/>
        </w:rPr>
        <w:t>隔离制度</w:t>
      </w:r>
    </w:p>
    <w:p>
      <w:pPr>
        <w:spacing w:line="560" w:lineRule="exact"/>
        <w:ind w:firstLine="600" w:firstLineChars="200"/>
        <w:rPr>
          <w:rFonts w:eastAsia="方正仿宋简体"/>
          <w:sz w:val="30"/>
          <w:szCs w:val="30"/>
        </w:rPr>
      </w:pPr>
      <w:r>
        <w:rPr>
          <w:rFonts w:eastAsia="方正仿宋简体"/>
          <w:sz w:val="30"/>
          <w:szCs w:val="30"/>
        </w:rPr>
        <w:t>从事期权的经纪业务部门应使用相对独立的办公场所，期权业务、风控系统、办公系统、外部互联网有效隔离。</w:t>
      </w:r>
    </w:p>
    <w:p>
      <w:pPr>
        <w:widowControl/>
        <w:numPr>
          <w:ilvl w:val="0"/>
          <w:numId w:val="9"/>
        </w:numPr>
        <w:spacing w:line="560" w:lineRule="exact"/>
        <w:ind w:left="0" w:firstLine="600" w:firstLineChars="200"/>
        <w:rPr>
          <w:rFonts w:eastAsia="方正仿宋简体"/>
          <w:sz w:val="30"/>
          <w:szCs w:val="30"/>
        </w:rPr>
      </w:pPr>
      <w:r>
        <w:rPr>
          <w:rFonts w:eastAsia="方正仿宋简体"/>
          <w:sz w:val="30"/>
          <w:szCs w:val="30"/>
          <w:lang w:bidi="ar"/>
        </w:rPr>
        <w:t>利益冲突防范制度</w:t>
      </w:r>
    </w:p>
    <w:p>
      <w:pPr>
        <w:spacing w:line="560" w:lineRule="exact"/>
        <w:ind w:firstLine="600" w:firstLineChars="200"/>
        <w:rPr>
          <w:rFonts w:eastAsia="方正仿宋简体"/>
          <w:sz w:val="30"/>
          <w:szCs w:val="30"/>
        </w:rPr>
      </w:pPr>
      <w:r>
        <w:rPr>
          <w:rFonts w:eastAsia="方正仿宋简体"/>
          <w:sz w:val="30"/>
          <w:szCs w:val="30"/>
          <w:lang w:bidi="ar"/>
        </w:rPr>
        <w:t>公司应当针对期权的特点及监管要求，对开展期权业务所导致的利益冲突进行识别、评估、防范和管理，公司合规部应当在日常合规管理中保持对期权业务利益冲突的持续关注。</w:t>
      </w:r>
    </w:p>
    <w:p>
      <w:pPr>
        <w:widowControl/>
        <w:numPr>
          <w:ilvl w:val="0"/>
          <w:numId w:val="9"/>
        </w:numPr>
        <w:spacing w:line="560" w:lineRule="exact"/>
        <w:ind w:left="0" w:firstLine="600" w:firstLineChars="200"/>
        <w:rPr>
          <w:rFonts w:eastAsia="方正仿宋简体"/>
          <w:sz w:val="30"/>
          <w:szCs w:val="30"/>
        </w:rPr>
      </w:pPr>
      <w:r>
        <w:rPr>
          <w:rFonts w:eastAsia="方正仿宋简体"/>
          <w:sz w:val="30"/>
          <w:szCs w:val="30"/>
          <w:lang w:bidi="ar"/>
        </w:rPr>
        <w:t>合规检查制度</w:t>
      </w:r>
    </w:p>
    <w:p>
      <w:pPr>
        <w:spacing w:line="560" w:lineRule="exact"/>
        <w:ind w:firstLine="600" w:firstLineChars="200"/>
        <w:rPr>
          <w:rFonts w:eastAsia="方正仿宋简体"/>
          <w:sz w:val="30"/>
          <w:szCs w:val="30"/>
        </w:rPr>
      </w:pPr>
      <w:r>
        <w:rPr>
          <w:rFonts w:eastAsia="方正仿宋简体"/>
          <w:sz w:val="30"/>
          <w:szCs w:val="30"/>
          <w:lang w:bidi="ar"/>
        </w:rPr>
        <w:t>公司应当安排例行检查和专项检查，并根据情况采取现场检查和非现场检查两种方式结合进行，内容包括相关制度和流程是否完备、各项工作开展是否符合合规要求、员工行为是否合规等。</w:t>
      </w:r>
    </w:p>
    <w:p>
      <w:pPr>
        <w:widowControl/>
        <w:numPr>
          <w:ilvl w:val="0"/>
          <w:numId w:val="9"/>
        </w:numPr>
        <w:spacing w:line="560" w:lineRule="exact"/>
        <w:ind w:left="0" w:firstLine="600" w:firstLineChars="200"/>
        <w:rPr>
          <w:rFonts w:eastAsia="方正仿宋简体"/>
          <w:sz w:val="30"/>
          <w:szCs w:val="30"/>
        </w:rPr>
      </w:pPr>
      <w:r>
        <w:rPr>
          <w:rFonts w:eastAsia="方正仿宋简体"/>
          <w:sz w:val="30"/>
          <w:szCs w:val="30"/>
          <w:lang w:bidi="ar"/>
        </w:rPr>
        <w:t>考核问责制度</w:t>
      </w:r>
    </w:p>
    <w:p>
      <w:pPr>
        <w:spacing w:line="560" w:lineRule="exact"/>
        <w:ind w:firstLine="600" w:firstLineChars="200"/>
        <w:rPr>
          <w:rFonts w:eastAsia="方正仿宋简体"/>
          <w:sz w:val="30"/>
          <w:szCs w:val="30"/>
        </w:rPr>
      </w:pPr>
      <w:r>
        <w:rPr>
          <w:rFonts w:eastAsia="方正仿宋简体"/>
          <w:sz w:val="30"/>
          <w:szCs w:val="30"/>
          <w:lang w:bidi="ar"/>
        </w:rPr>
        <w:t>公司应当进行合规考核与问责，对于严重的违规情况，应当给予相应的处罚。</w:t>
      </w:r>
    </w:p>
    <w:p>
      <w:pPr>
        <w:keepNext/>
        <w:keepLines/>
        <w:numPr>
          <w:ilvl w:val="0"/>
          <w:numId w:val="8"/>
        </w:numPr>
        <w:spacing w:line="560" w:lineRule="exact"/>
        <w:ind w:left="0" w:firstLine="601" w:firstLineChars="200"/>
        <w:outlineLvl w:val="2"/>
        <w:rPr>
          <w:rFonts w:eastAsia="方正仿宋简体"/>
          <w:b/>
          <w:bCs/>
          <w:kern w:val="0"/>
          <w:sz w:val="30"/>
          <w:szCs w:val="30"/>
          <w:lang w:val="zh-CN" w:eastAsia="zh-CN"/>
        </w:rPr>
      </w:pPr>
      <w:r>
        <w:rPr>
          <w:rFonts w:eastAsia="方正仿宋简体"/>
          <w:b/>
          <w:bCs/>
          <w:kern w:val="0"/>
          <w:sz w:val="30"/>
          <w:szCs w:val="30"/>
          <w:lang w:val="zh-CN" w:eastAsia="zh-CN"/>
        </w:rPr>
        <w:t>内控制度原则</w:t>
      </w:r>
    </w:p>
    <w:p>
      <w:pPr>
        <w:spacing w:line="560" w:lineRule="exact"/>
        <w:ind w:firstLine="600" w:firstLineChars="200"/>
        <w:rPr>
          <w:rFonts w:eastAsia="方正仿宋简体"/>
          <w:sz w:val="30"/>
          <w:szCs w:val="30"/>
        </w:rPr>
      </w:pPr>
      <w:r>
        <w:rPr>
          <w:rFonts w:eastAsia="方正仿宋简体"/>
          <w:sz w:val="30"/>
          <w:szCs w:val="30"/>
        </w:rPr>
        <w:t>期货公司制定期权业务的内控制度，应遵循如下原则：</w:t>
      </w:r>
    </w:p>
    <w:p>
      <w:pPr>
        <w:numPr>
          <w:ilvl w:val="0"/>
          <w:numId w:val="10"/>
        </w:numPr>
        <w:spacing w:line="560" w:lineRule="exact"/>
        <w:ind w:left="0" w:firstLine="600" w:firstLineChars="200"/>
        <w:rPr>
          <w:rFonts w:eastAsia="方正仿宋简体"/>
          <w:sz w:val="30"/>
          <w:szCs w:val="30"/>
        </w:rPr>
      </w:pPr>
      <w:r>
        <w:rPr>
          <w:rFonts w:eastAsia="方正仿宋简体"/>
          <w:sz w:val="30"/>
          <w:szCs w:val="30"/>
          <w:lang w:bidi="ar"/>
        </w:rPr>
        <w:t>建立开展期权业务的决策、授权和业务执行机制；</w:t>
      </w:r>
    </w:p>
    <w:p>
      <w:pPr>
        <w:numPr>
          <w:ilvl w:val="0"/>
          <w:numId w:val="10"/>
        </w:numPr>
        <w:spacing w:line="560" w:lineRule="exact"/>
        <w:ind w:left="0" w:firstLine="600" w:firstLineChars="200"/>
        <w:rPr>
          <w:rFonts w:eastAsia="方正仿宋简体"/>
          <w:sz w:val="30"/>
          <w:szCs w:val="30"/>
        </w:rPr>
      </w:pPr>
      <w:r>
        <w:rPr>
          <w:rFonts w:eastAsia="方正仿宋简体"/>
          <w:sz w:val="30"/>
          <w:szCs w:val="30"/>
          <w:lang w:bidi="ar"/>
        </w:rPr>
        <w:t>确保前、中、后台相互分离、相互制约，各主要环节分别由不同的部门和岗位负责，不得进行业务间的混合操作；</w:t>
      </w:r>
    </w:p>
    <w:p>
      <w:pPr>
        <w:numPr>
          <w:ilvl w:val="0"/>
          <w:numId w:val="10"/>
        </w:numPr>
        <w:spacing w:line="560" w:lineRule="exact"/>
        <w:ind w:left="0" w:firstLine="600" w:firstLineChars="200"/>
        <w:rPr>
          <w:rFonts w:eastAsia="方正仿宋简体"/>
          <w:sz w:val="30"/>
          <w:szCs w:val="30"/>
        </w:rPr>
      </w:pPr>
      <w:r>
        <w:rPr>
          <w:rFonts w:eastAsia="方正仿宋简体"/>
          <w:sz w:val="30"/>
          <w:szCs w:val="30"/>
          <w:lang w:bidi="ar"/>
        </w:rPr>
        <w:t>建立事前防范、事中监控、事后处置的风险管理体系；</w:t>
      </w:r>
    </w:p>
    <w:p>
      <w:pPr>
        <w:numPr>
          <w:ilvl w:val="0"/>
          <w:numId w:val="10"/>
        </w:numPr>
        <w:spacing w:line="560" w:lineRule="exact"/>
        <w:ind w:left="0" w:firstLine="600" w:firstLineChars="200"/>
        <w:rPr>
          <w:rFonts w:eastAsia="方正仿宋简体"/>
          <w:sz w:val="30"/>
          <w:szCs w:val="30"/>
        </w:rPr>
      </w:pPr>
      <w:r>
        <w:rPr>
          <w:rFonts w:eastAsia="方正仿宋简体"/>
          <w:sz w:val="30"/>
          <w:szCs w:val="30"/>
          <w:lang w:bidi="ar"/>
        </w:rPr>
        <w:t>对各流程运作设定控制点，做好流程的内部控制的管理制度，具体流程明确到部门、岗位和时间点。</w:t>
      </w:r>
    </w:p>
    <w:p>
      <w:pPr>
        <w:keepNext/>
        <w:keepLines/>
        <w:numPr>
          <w:ilvl w:val="0"/>
          <w:numId w:val="8"/>
        </w:numPr>
        <w:spacing w:line="560" w:lineRule="exact"/>
        <w:ind w:left="0" w:firstLine="601" w:firstLineChars="200"/>
        <w:outlineLvl w:val="2"/>
        <w:rPr>
          <w:rFonts w:eastAsia="方正仿宋简体"/>
          <w:b/>
          <w:bCs/>
          <w:kern w:val="0"/>
          <w:sz w:val="30"/>
          <w:szCs w:val="30"/>
          <w:lang w:val="zh-CN" w:eastAsia="zh-CN"/>
        </w:rPr>
      </w:pPr>
      <w:r>
        <w:rPr>
          <w:rFonts w:eastAsia="方正仿宋简体"/>
          <w:b/>
          <w:bCs/>
          <w:kern w:val="0"/>
          <w:sz w:val="30"/>
          <w:szCs w:val="30"/>
          <w:lang w:val="zh-CN" w:eastAsia="zh-CN"/>
        </w:rPr>
        <w:t>内控制度内容</w:t>
      </w:r>
    </w:p>
    <w:p>
      <w:pPr>
        <w:spacing w:line="560" w:lineRule="exact"/>
        <w:ind w:firstLine="600" w:firstLineChars="200"/>
        <w:rPr>
          <w:rFonts w:eastAsia="方正仿宋简体"/>
          <w:sz w:val="30"/>
          <w:szCs w:val="30"/>
        </w:rPr>
      </w:pPr>
      <w:r>
        <w:rPr>
          <w:rFonts w:eastAsia="方正仿宋简体"/>
          <w:sz w:val="30"/>
          <w:szCs w:val="30"/>
        </w:rPr>
        <w:t>期货公司制定期权业务的内控制度，至少包括以下内容：</w:t>
      </w:r>
    </w:p>
    <w:p>
      <w:pPr>
        <w:numPr>
          <w:ilvl w:val="0"/>
          <w:numId w:val="11"/>
        </w:numPr>
        <w:spacing w:line="560" w:lineRule="exact"/>
        <w:ind w:left="0" w:firstLine="600" w:firstLineChars="200"/>
        <w:rPr>
          <w:rFonts w:eastAsia="方正仿宋简体"/>
          <w:sz w:val="30"/>
          <w:szCs w:val="30"/>
        </w:rPr>
      </w:pPr>
      <w:r>
        <w:rPr>
          <w:rFonts w:eastAsia="方正仿宋简体"/>
          <w:sz w:val="30"/>
          <w:szCs w:val="30"/>
          <w:lang w:bidi="ar"/>
        </w:rPr>
        <w:t>交易系统的内部控制，如交易委托管理和交易系统管理；</w:t>
      </w:r>
    </w:p>
    <w:p>
      <w:pPr>
        <w:numPr>
          <w:ilvl w:val="0"/>
          <w:numId w:val="11"/>
        </w:numPr>
        <w:spacing w:line="560" w:lineRule="exact"/>
        <w:ind w:left="0" w:firstLine="600" w:firstLineChars="200"/>
        <w:rPr>
          <w:rFonts w:eastAsia="方正仿宋简体"/>
          <w:sz w:val="30"/>
          <w:szCs w:val="30"/>
          <w:lang w:bidi="ar"/>
        </w:rPr>
      </w:pPr>
      <w:r>
        <w:rPr>
          <w:rFonts w:eastAsia="方正仿宋简体"/>
          <w:sz w:val="30"/>
          <w:szCs w:val="30"/>
          <w:lang w:bidi="ar"/>
        </w:rPr>
        <w:t xml:space="preserve">风险监控、风险处置与应急管理的内部控制，要点包括保证金标准的制定与调整、盘中交易风险实时动态监控、强行平仓及监控、结算后对客户账户风险的分析预测及风险客户的平仓通知、违约处理等，以及对于各环节中可能出现的各种技术故障、通信故障，应制订可行的应急措施与方案； </w:t>
      </w:r>
    </w:p>
    <w:p>
      <w:pPr>
        <w:numPr>
          <w:ilvl w:val="0"/>
          <w:numId w:val="11"/>
        </w:numPr>
        <w:spacing w:line="560" w:lineRule="exact"/>
        <w:ind w:left="0" w:firstLine="600" w:firstLineChars="200"/>
        <w:rPr>
          <w:rFonts w:eastAsia="方正仿宋简体"/>
          <w:sz w:val="30"/>
          <w:szCs w:val="30"/>
          <w:lang w:bidi="ar"/>
        </w:rPr>
      </w:pPr>
      <w:r>
        <w:rPr>
          <w:rFonts w:eastAsia="方正仿宋简体"/>
          <w:sz w:val="30"/>
          <w:szCs w:val="30"/>
          <w:lang w:bidi="ar"/>
        </w:rPr>
        <w:t>客户选择与资信记录，制定包括投资者准入和分级、买入限额、教育与市场营销管理等制度；</w:t>
      </w:r>
    </w:p>
    <w:p>
      <w:pPr>
        <w:numPr>
          <w:ilvl w:val="0"/>
          <w:numId w:val="11"/>
        </w:numPr>
        <w:spacing w:line="560" w:lineRule="exact"/>
        <w:ind w:left="0" w:firstLine="600" w:firstLineChars="200"/>
        <w:rPr>
          <w:rFonts w:eastAsia="方正仿宋简体"/>
          <w:sz w:val="30"/>
          <w:szCs w:val="30"/>
          <w:lang w:bidi="ar"/>
        </w:rPr>
      </w:pPr>
      <w:r>
        <w:rPr>
          <w:rFonts w:eastAsia="方正仿宋简体"/>
          <w:sz w:val="30"/>
          <w:szCs w:val="30"/>
          <w:lang w:bidi="ar"/>
        </w:rPr>
        <w:t>客户档案与客户投诉的内部控制，制定包括客户档案管理，开销户业务的要点，如资格认定、合同签署、账户申请、销户等，妥善保管合同和印章，以及现场投诉、专线投诉、信件投诉和监管机关转发投诉的受理和处理流程，投诉事项定期检查和回访制度；</w:t>
      </w:r>
    </w:p>
    <w:p>
      <w:pPr>
        <w:numPr>
          <w:ilvl w:val="0"/>
          <w:numId w:val="11"/>
        </w:numPr>
        <w:spacing w:line="560" w:lineRule="exact"/>
        <w:ind w:left="0" w:firstLine="600" w:firstLineChars="200"/>
        <w:rPr>
          <w:rFonts w:eastAsia="方正仿宋简体"/>
          <w:sz w:val="30"/>
          <w:szCs w:val="30"/>
          <w:lang w:bidi="ar"/>
        </w:rPr>
      </w:pPr>
      <w:r>
        <w:rPr>
          <w:rFonts w:eastAsia="方正仿宋简体"/>
          <w:sz w:val="30"/>
          <w:szCs w:val="30"/>
          <w:lang w:bidi="ar"/>
        </w:rPr>
        <w:t>客户回访及客户服务的内部控制，客户服务人员可以对追加保证金进程跟踪、强行平仓通知确认、账户发生重大或异常交易、资讯产品使用效果等进行跟踪回访，并建立客户服务记录的支持系统；</w:t>
      </w:r>
    </w:p>
    <w:p>
      <w:pPr>
        <w:numPr>
          <w:ilvl w:val="0"/>
          <w:numId w:val="11"/>
        </w:numPr>
        <w:spacing w:line="560" w:lineRule="exact"/>
        <w:ind w:left="0" w:firstLine="600" w:firstLineChars="200"/>
        <w:rPr>
          <w:rFonts w:eastAsia="方正仿宋简体"/>
          <w:sz w:val="30"/>
          <w:szCs w:val="30"/>
          <w:lang w:bidi="ar"/>
        </w:rPr>
      </w:pPr>
      <w:r>
        <w:rPr>
          <w:rFonts w:eastAsia="方正仿宋简体"/>
          <w:sz w:val="30"/>
          <w:szCs w:val="30"/>
          <w:lang w:bidi="ar"/>
        </w:rPr>
        <w:t>行权、清算与结算过程的内部控制，要点包括参数配置与调整，行权处理、实物交收、结算数据接收、清算、汇总与复核等；</w:t>
      </w:r>
    </w:p>
    <w:p>
      <w:pPr>
        <w:numPr>
          <w:ilvl w:val="0"/>
          <w:numId w:val="11"/>
        </w:numPr>
        <w:spacing w:line="560" w:lineRule="exact"/>
        <w:ind w:left="0" w:firstLine="600" w:firstLineChars="200"/>
        <w:rPr>
          <w:rFonts w:eastAsia="方正仿宋简体"/>
          <w:sz w:val="30"/>
          <w:szCs w:val="30"/>
          <w:lang w:bidi="ar"/>
        </w:rPr>
      </w:pPr>
      <w:r>
        <w:rPr>
          <w:rFonts w:eastAsia="方正仿宋简体"/>
          <w:sz w:val="30"/>
          <w:szCs w:val="30"/>
          <w:lang w:bidi="ar"/>
        </w:rPr>
        <w:t>财务、审计的内部控制；</w:t>
      </w:r>
    </w:p>
    <w:p>
      <w:pPr>
        <w:numPr>
          <w:ilvl w:val="0"/>
          <w:numId w:val="11"/>
        </w:numPr>
        <w:spacing w:line="560" w:lineRule="exact"/>
        <w:ind w:left="0" w:firstLine="600" w:firstLineChars="200"/>
        <w:rPr>
          <w:rFonts w:eastAsia="方正仿宋简体"/>
          <w:sz w:val="30"/>
          <w:szCs w:val="30"/>
          <w:lang w:bidi="ar"/>
        </w:rPr>
      </w:pPr>
      <w:r>
        <w:rPr>
          <w:rFonts w:eastAsia="方正仿宋简体"/>
          <w:sz w:val="30"/>
          <w:szCs w:val="30"/>
          <w:lang w:bidi="ar"/>
        </w:rPr>
        <w:t>信息系统的内部控制，建立交易、结算、财务数据的备份制度；</w:t>
      </w:r>
    </w:p>
    <w:p>
      <w:pPr>
        <w:numPr>
          <w:ilvl w:val="0"/>
          <w:numId w:val="11"/>
        </w:numPr>
        <w:spacing w:line="560" w:lineRule="exact"/>
        <w:ind w:left="0" w:firstLine="600" w:firstLineChars="200"/>
        <w:rPr>
          <w:rFonts w:eastAsia="方正仿宋简体"/>
          <w:sz w:val="30"/>
          <w:szCs w:val="30"/>
          <w:lang w:bidi="ar"/>
        </w:rPr>
      </w:pPr>
      <w:r>
        <w:rPr>
          <w:rFonts w:eastAsia="方正仿宋简体"/>
          <w:sz w:val="30"/>
          <w:szCs w:val="30"/>
          <w:lang w:bidi="ar"/>
        </w:rPr>
        <w:t>信息报送的内部控制，应按照规定及时向本所报送客户限购额度、客户分级、衍生品业务风险管理部负责人与联系人相关信息等资料，做好保证金封闭管理的相关数据报送，应保证报送的数据真实、准确、完整、及时。</w:t>
      </w:r>
    </w:p>
    <w:p>
      <w:pPr>
        <w:spacing w:line="560" w:lineRule="exact"/>
        <w:ind w:firstLine="601" w:firstLineChars="200"/>
        <w:rPr>
          <w:rFonts w:eastAsia="方正仿宋简体"/>
          <w:b/>
          <w:bCs/>
          <w:sz w:val="30"/>
          <w:szCs w:val="30"/>
          <w:lang w:bidi="ar"/>
        </w:rPr>
      </w:pPr>
      <w:bookmarkStart w:id="17" w:name="_Toc8308"/>
      <w:bookmarkStart w:id="18" w:name="_Toc8576"/>
      <w:bookmarkStart w:id="19" w:name="_Toc12344"/>
      <w:bookmarkStart w:id="20" w:name="_Toc14000"/>
      <w:bookmarkStart w:id="21" w:name="_Toc452021113"/>
      <w:bookmarkStart w:id="22" w:name="_Toc452021452"/>
      <w:bookmarkStart w:id="23" w:name="_Toc28415"/>
      <w:r>
        <w:rPr>
          <w:rFonts w:eastAsia="方正仿宋简体"/>
          <w:b/>
          <w:bCs/>
          <w:sz w:val="30"/>
          <w:szCs w:val="30"/>
          <w:lang w:bidi="ar"/>
        </w:rPr>
        <w:t>（四）风险管理岗位联系方式报备</w:t>
      </w:r>
      <w:bookmarkEnd w:id="17"/>
      <w:bookmarkEnd w:id="18"/>
      <w:bookmarkEnd w:id="19"/>
      <w:bookmarkEnd w:id="20"/>
      <w:bookmarkEnd w:id="21"/>
      <w:bookmarkEnd w:id="22"/>
      <w:bookmarkEnd w:id="23"/>
    </w:p>
    <w:p>
      <w:pPr>
        <w:spacing w:line="560" w:lineRule="exact"/>
        <w:ind w:firstLine="600" w:firstLineChars="200"/>
        <w:rPr>
          <w:rFonts w:eastAsia="方正仿宋简体"/>
          <w:sz w:val="30"/>
          <w:szCs w:val="30"/>
        </w:rPr>
      </w:pPr>
      <w:r>
        <w:rPr>
          <w:rFonts w:eastAsia="方正仿宋简体"/>
          <w:sz w:val="30"/>
          <w:szCs w:val="30"/>
          <w:lang w:bidi="ar"/>
        </w:rPr>
        <w:t>期货公司应通过本所期权业务专区（网址：https://sso.szse.cn/sso/，以下略）向本所报备以下人员联系方式（包括联系电话、手机、邮箱、传真等）：期权业务异常情况应急负责人、期权业务风险管理负责人、期权经纪业务风险管理联系人（如有经纪业务）、期权做市业务风险管理联系人（如有做市业务）。上述人员或联系方式如有变更，应于工作日15:00前通过本所期权业务专区及时向本所更新报备。</w:t>
      </w:r>
    </w:p>
    <w:p>
      <w:pPr>
        <w:numPr>
          <w:ilvl w:val="0"/>
          <w:numId w:val="4"/>
        </w:numPr>
        <w:spacing w:line="560" w:lineRule="exact"/>
        <w:ind w:left="0" w:firstLine="601" w:firstLineChars="200"/>
        <w:outlineLvl w:val="1"/>
        <w:rPr>
          <w:rFonts w:eastAsia="方正仿宋简体"/>
          <w:sz w:val="30"/>
          <w:szCs w:val="30"/>
        </w:rPr>
      </w:pPr>
      <w:bookmarkStart w:id="24" w:name="_Toc10200"/>
      <w:bookmarkStart w:id="25" w:name="_Toc408749903"/>
      <w:bookmarkStart w:id="26" w:name="_Toc3209"/>
      <w:bookmarkStart w:id="27" w:name="_Toc2604"/>
      <w:bookmarkStart w:id="28" w:name="_Toc21314"/>
      <w:bookmarkStart w:id="29" w:name="_Toc13142"/>
      <w:bookmarkStart w:id="30" w:name="_Toc25841977"/>
      <w:r>
        <w:rPr>
          <w:rFonts w:eastAsia="方正仿宋简体"/>
          <w:b/>
          <w:bCs/>
          <w:kern w:val="0"/>
          <w:sz w:val="30"/>
          <w:szCs w:val="30"/>
          <w:lang w:val="zh-CN" w:eastAsia="zh-CN"/>
        </w:rPr>
        <w:t>技术系统</w:t>
      </w:r>
      <w:bookmarkEnd w:id="24"/>
      <w:bookmarkEnd w:id="25"/>
      <w:bookmarkEnd w:id="26"/>
      <w:bookmarkEnd w:id="27"/>
      <w:bookmarkEnd w:id="28"/>
      <w:bookmarkEnd w:id="29"/>
      <w:bookmarkEnd w:id="30"/>
    </w:p>
    <w:p>
      <w:pPr>
        <w:spacing w:line="560" w:lineRule="exact"/>
        <w:ind w:firstLine="600" w:firstLineChars="200"/>
        <w:rPr>
          <w:rFonts w:eastAsia="方正仿宋简体"/>
          <w:sz w:val="30"/>
          <w:szCs w:val="30"/>
        </w:rPr>
      </w:pPr>
      <w:r>
        <w:rPr>
          <w:rFonts w:eastAsia="方正仿宋简体"/>
          <w:sz w:val="30"/>
          <w:szCs w:val="30"/>
        </w:rPr>
        <w:t>（一）股票期权经纪业务系统。期货公司应建立股票期权经纪业务系统，支持客户开户、分级管理、交易及非交易指令、日终结算、强行平仓等业务功能。</w:t>
      </w:r>
    </w:p>
    <w:p>
      <w:pPr>
        <w:spacing w:line="560" w:lineRule="exact"/>
        <w:ind w:firstLine="600" w:firstLineChars="200"/>
        <w:rPr>
          <w:rFonts w:eastAsia="方正仿宋简体"/>
          <w:sz w:val="30"/>
          <w:szCs w:val="30"/>
        </w:rPr>
      </w:pPr>
      <w:r>
        <w:rPr>
          <w:rFonts w:eastAsia="方正仿宋简体"/>
          <w:sz w:val="30"/>
          <w:szCs w:val="30"/>
        </w:rPr>
        <w:t>（二）股票现货业务系统。期货公司应配置股票经纪业务系统，并根据期货公司现货业务范围，相应设置系统交易权限。</w:t>
      </w:r>
    </w:p>
    <w:p>
      <w:pPr>
        <w:spacing w:line="560" w:lineRule="exact"/>
        <w:ind w:firstLine="600" w:firstLineChars="200"/>
        <w:rPr>
          <w:rFonts w:eastAsia="方正仿宋简体"/>
          <w:sz w:val="30"/>
          <w:szCs w:val="30"/>
        </w:rPr>
      </w:pPr>
      <w:r>
        <w:rPr>
          <w:rFonts w:eastAsia="方正仿宋简体"/>
          <w:sz w:val="30"/>
          <w:szCs w:val="30"/>
        </w:rPr>
        <w:t>（三）与登记结算相关的技术系统。支持股票期权和相关现货的清算、交收。</w:t>
      </w:r>
    </w:p>
    <w:p>
      <w:pPr>
        <w:spacing w:line="560" w:lineRule="exact"/>
        <w:ind w:firstLine="600" w:firstLineChars="200"/>
        <w:rPr>
          <w:rFonts w:eastAsia="方正仿宋简体"/>
          <w:sz w:val="30"/>
          <w:szCs w:val="30"/>
        </w:rPr>
      </w:pPr>
      <w:r>
        <w:rPr>
          <w:rFonts w:eastAsia="方正仿宋简体"/>
          <w:sz w:val="30"/>
          <w:szCs w:val="30"/>
        </w:rPr>
        <w:t>（四）期货公司应配置相应的通讯与行情链路。</w:t>
      </w:r>
    </w:p>
    <w:p>
      <w:pPr>
        <w:spacing w:line="560" w:lineRule="exact"/>
        <w:ind w:firstLine="600" w:firstLineChars="200"/>
        <w:rPr>
          <w:rFonts w:eastAsia="方正仿宋简体"/>
          <w:sz w:val="30"/>
          <w:szCs w:val="30"/>
        </w:rPr>
      </w:pPr>
      <w:r>
        <w:rPr>
          <w:rFonts w:eastAsia="方正仿宋简体"/>
          <w:sz w:val="30"/>
          <w:szCs w:val="30"/>
        </w:rPr>
        <w:t>（五）本所股票期权业务要求的其他技术系统准备。</w:t>
      </w:r>
    </w:p>
    <w:p>
      <w:pPr>
        <w:numPr>
          <w:ilvl w:val="0"/>
          <w:numId w:val="4"/>
        </w:numPr>
        <w:spacing w:line="560" w:lineRule="exact"/>
        <w:ind w:left="0" w:firstLine="601" w:firstLineChars="200"/>
        <w:outlineLvl w:val="1"/>
        <w:rPr>
          <w:rFonts w:eastAsia="方正仿宋简体"/>
          <w:sz w:val="30"/>
          <w:szCs w:val="30"/>
        </w:rPr>
      </w:pPr>
      <w:bookmarkStart w:id="31" w:name="_Toc486416325"/>
      <w:bookmarkEnd w:id="31"/>
      <w:bookmarkStart w:id="32" w:name="_Toc10557"/>
      <w:bookmarkStart w:id="33" w:name="_Toc9750"/>
      <w:bookmarkStart w:id="34" w:name="_Toc29485"/>
      <w:bookmarkStart w:id="35" w:name="_Toc408749904"/>
      <w:bookmarkStart w:id="36" w:name="_Toc31216"/>
      <w:bookmarkStart w:id="37" w:name="_Toc25841978"/>
      <w:bookmarkStart w:id="38" w:name="_Toc31491"/>
      <w:r>
        <w:rPr>
          <w:rFonts w:eastAsia="方正仿宋简体"/>
          <w:b/>
          <w:bCs/>
          <w:kern w:val="0"/>
          <w:sz w:val="30"/>
          <w:szCs w:val="30"/>
          <w:lang w:val="zh-CN" w:eastAsia="zh-CN"/>
        </w:rPr>
        <w:t>交易单元</w:t>
      </w:r>
      <w:bookmarkEnd w:id="32"/>
      <w:bookmarkEnd w:id="33"/>
      <w:bookmarkEnd w:id="34"/>
      <w:bookmarkEnd w:id="35"/>
      <w:bookmarkEnd w:id="36"/>
      <w:bookmarkEnd w:id="37"/>
      <w:bookmarkEnd w:id="38"/>
    </w:p>
    <w:p>
      <w:pPr>
        <w:spacing w:line="560" w:lineRule="exact"/>
        <w:ind w:firstLine="600" w:firstLineChars="200"/>
        <w:rPr>
          <w:rFonts w:eastAsia="方正仿宋简体"/>
          <w:sz w:val="30"/>
          <w:szCs w:val="30"/>
        </w:rPr>
      </w:pPr>
      <w:r>
        <w:rPr>
          <w:rFonts w:eastAsia="方正仿宋简体"/>
          <w:sz w:val="30"/>
          <w:szCs w:val="30"/>
        </w:rPr>
        <w:t>期货公司申请成为本所交易参与人后，可设立交易单元从事股票期权经纪业务，以及与股票期权备兑开仓、行权相关的证券现货经纪业务。期货公司需要对证券现货交易进行前端控制（仅限交易与股票期权相关标的）。如果标的是交易所交易基金的，只能做二级市场份额买卖，不能在一级市场进行申赎。期货公司相关费用比照会员收取。</w:t>
      </w:r>
    </w:p>
    <w:p>
      <w:pPr>
        <w:keepNext w:val="0"/>
        <w:keepLines w:val="0"/>
        <w:pageBreakBefore w:val="0"/>
        <w:widowControl w:val="0"/>
        <w:numPr>
          <w:ilvl w:val="0"/>
          <w:numId w:val="3"/>
        </w:numPr>
        <w:kinsoku/>
        <w:wordWrap/>
        <w:overflowPunct/>
        <w:topLinePunct w:val="0"/>
        <w:autoSpaceDE/>
        <w:autoSpaceDN/>
        <w:bidi w:val="0"/>
        <w:adjustRightInd/>
        <w:snapToGrid/>
        <w:spacing w:line="560" w:lineRule="exact"/>
        <w:ind w:left="0" w:firstLine="0" w:firstLineChars="0"/>
        <w:jc w:val="center"/>
        <w:textAlignment w:val="auto"/>
        <w:outlineLvl w:val="0"/>
        <w:rPr>
          <w:rFonts w:ascii="黑体" w:hAnsi="黑体" w:eastAsia="黑体"/>
          <w:bCs/>
          <w:sz w:val="30"/>
          <w:szCs w:val="30"/>
        </w:rPr>
      </w:pPr>
      <w:bookmarkStart w:id="39" w:name="_Toc408300969"/>
      <w:r>
        <w:rPr>
          <w:rFonts w:eastAsia="方正仿宋简体"/>
          <w:bCs/>
          <w:sz w:val="30"/>
          <w:szCs w:val="30"/>
        </w:rPr>
        <w:br w:type="page"/>
      </w:r>
      <w:bookmarkEnd w:id="39"/>
      <w:bookmarkStart w:id="40" w:name="_Toc534301580"/>
      <w:bookmarkEnd w:id="40"/>
      <w:bookmarkStart w:id="41" w:name="_Toc534301597"/>
      <w:bookmarkEnd w:id="41"/>
      <w:bookmarkStart w:id="42" w:name="_Toc534301584"/>
      <w:bookmarkEnd w:id="42"/>
      <w:bookmarkStart w:id="43" w:name="_Toc534301570"/>
      <w:bookmarkEnd w:id="43"/>
      <w:bookmarkStart w:id="44" w:name="_Toc534301586"/>
      <w:bookmarkEnd w:id="44"/>
      <w:bookmarkStart w:id="45" w:name="_Toc534301579"/>
      <w:bookmarkEnd w:id="45"/>
      <w:bookmarkStart w:id="46" w:name="_Toc534301565"/>
      <w:bookmarkEnd w:id="46"/>
      <w:bookmarkStart w:id="47" w:name="_Toc534301574"/>
      <w:bookmarkEnd w:id="47"/>
      <w:bookmarkStart w:id="48" w:name="_Toc534301562"/>
      <w:bookmarkEnd w:id="48"/>
      <w:bookmarkStart w:id="49" w:name="_Toc534301591"/>
      <w:bookmarkEnd w:id="49"/>
      <w:bookmarkStart w:id="50" w:name="_Toc534301576"/>
      <w:bookmarkEnd w:id="50"/>
      <w:bookmarkStart w:id="51" w:name="_Toc534301596"/>
      <w:bookmarkEnd w:id="51"/>
      <w:bookmarkStart w:id="52" w:name="_Toc534301572"/>
      <w:bookmarkEnd w:id="52"/>
      <w:bookmarkStart w:id="53" w:name="_Toc534301568"/>
      <w:bookmarkEnd w:id="53"/>
      <w:bookmarkStart w:id="54" w:name="_Toc534301571"/>
      <w:bookmarkEnd w:id="54"/>
      <w:bookmarkStart w:id="55" w:name="_Toc534301577"/>
      <w:bookmarkEnd w:id="55"/>
      <w:bookmarkStart w:id="56" w:name="_Toc534301573"/>
      <w:bookmarkEnd w:id="56"/>
      <w:bookmarkStart w:id="57" w:name="_Toc534301595"/>
      <w:bookmarkEnd w:id="57"/>
      <w:bookmarkStart w:id="58" w:name="_Toc534301563"/>
      <w:bookmarkEnd w:id="58"/>
      <w:bookmarkStart w:id="59" w:name="_Toc534301578"/>
      <w:bookmarkEnd w:id="59"/>
      <w:bookmarkStart w:id="60" w:name="_Toc534301566"/>
      <w:bookmarkEnd w:id="60"/>
      <w:bookmarkStart w:id="61" w:name="_Toc534301567"/>
      <w:bookmarkEnd w:id="61"/>
      <w:bookmarkStart w:id="62" w:name="_Toc534301582"/>
      <w:bookmarkEnd w:id="62"/>
      <w:bookmarkStart w:id="63" w:name="_Toc534301575"/>
      <w:bookmarkEnd w:id="63"/>
      <w:bookmarkStart w:id="64" w:name="_Toc534301585"/>
      <w:bookmarkEnd w:id="64"/>
      <w:bookmarkStart w:id="65" w:name="_Toc534301593"/>
      <w:bookmarkEnd w:id="65"/>
      <w:bookmarkStart w:id="66" w:name="_Toc534301569"/>
      <w:bookmarkEnd w:id="66"/>
      <w:bookmarkStart w:id="67" w:name="_Toc534301590"/>
      <w:bookmarkEnd w:id="67"/>
      <w:bookmarkStart w:id="68" w:name="_Toc534301594"/>
      <w:bookmarkEnd w:id="68"/>
      <w:bookmarkStart w:id="69" w:name="_Toc534301588"/>
      <w:bookmarkEnd w:id="69"/>
      <w:bookmarkStart w:id="70" w:name="_Toc534301587"/>
      <w:bookmarkEnd w:id="70"/>
      <w:bookmarkStart w:id="71" w:name="_Toc534301592"/>
      <w:bookmarkEnd w:id="71"/>
      <w:bookmarkStart w:id="72" w:name="_Toc534301581"/>
      <w:bookmarkEnd w:id="72"/>
      <w:bookmarkStart w:id="73" w:name="_Toc534301598"/>
      <w:bookmarkEnd w:id="73"/>
      <w:bookmarkStart w:id="74" w:name="_Toc534301589"/>
      <w:bookmarkEnd w:id="74"/>
      <w:bookmarkStart w:id="75" w:name="_Toc534301583"/>
      <w:bookmarkEnd w:id="75"/>
      <w:bookmarkStart w:id="76" w:name="_Toc534301564"/>
      <w:bookmarkEnd w:id="76"/>
      <w:bookmarkStart w:id="77" w:name="_Toc533777770"/>
      <w:bookmarkStart w:id="78" w:name="_Toc25841979"/>
      <w:bookmarkStart w:id="79" w:name="_Toc408300973"/>
      <w:r>
        <w:rPr>
          <w:rFonts w:ascii="黑体" w:hAnsi="黑体" w:eastAsia="黑体"/>
          <w:bCs/>
          <w:sz w:val="30"/>
          <w:szCs w:val="30"/>
        </w:rPr>
        <w:t>交易参与人申请及权限开通</w:t>
      </w:r>
      <w:bookmarkEnd w:id="77"/>
      <w:bookmarkEnd w:id="78"/>
    </w:p>
    <w:p>
      <w:pPr>
        <w:spacing w:line="560" w:lineRule="exact"/>
        <w:ind w:firstLine="600" w:firstLineChars="200"/>
        <w:rPr>
          <w:rFonts w:eastAsia="方正仿宋简体"/>
          <w:sz w:val="30"/>
          <w:szCs w:val="30"/>
        </w:rPr>
      </w:pPr>
      <w:r>
        <w:rPr>
          <w:rFonts w:eastAsia="方正仿宋简体"/>
          <w:sz w:val="30"/>
          <w:szCs w:val="30"/>
        </w:rPr>
        <w:t>符合《证券期货经营机构参与股票期权交易试点指引》《交易规则》相关要求，且通过本所期权业务现场检查的期货公司可以向本所申请成为交易参与人及开通股票期权交易权限，具体流程如下：</w:t>
      </w:r>
    </w:p>
    <w:p>
      <w:pPr>
        <w:numPr>
          <w:ilvl w:val="0"/>
          <w:numId w:val="12"/>
        </w:numPr>
        <w:spacing w:line="560" w:lineRule="exact"/>
        <w:ind w:left="0" w:firstLine="601" w:firstLineChars="200"/>
        <w:outlineLvl w:val="1"/>
        <w:rPr>
          <w:rFonts w:eastAsia="方正仿宋简体"/>
          <w:b/>
          <w:bCs/>
          <w:kern w:val="0"/>
          <w:sz w:val="30"/>
          <w:szCs w:val="30"/>
          <w:lang w:val="zh-CN" w:eastAsia="zh-CN"/>
        </w:rPr>
      </w:pPr>
      <w:bookmarkStart w:id="80" w:name="_Toc533777771"/>
      <w:bookmarkStart w:id="81" w:name="_Toc25841980"/>
      <w:r>
        <w:rPr>
          <w:rFonts w:eastAsia="方正仿宋简体"/>
          <w:b/>
          <w:bCs/>
          <w:kern w:val="0"/>
          <w:sz w:val="30"/>
          <w:szCs w:val="30"/>
        </w:rPr>
        <w:t>准备</w:t>
      </w:r>
      <w:r>
        <w:rPr>
          <w:rFonts w:eastAsia="方正仿宋简体"/>
          <w:b/>
          <w:bCs/>
          <w:kern w:val="0"/>
          <w:sz w:val="30"/>
          <w:szCs w:val="30"/>
          <w:lang w:val="zh-CN"/>
        </w:rPr>
        <w:t>数字证书业务办理材料</w:t>
      </w:r>
      <w:bookmarkEnd w:id="80"/>
      <w:bookmarkEnd w:id="81"/>
    </w:p>
    <w:p>
      <w:pPr>
        <w:numPr>
          <w:ilvl w:val="1"/>
          <w:numId w:val="13"/>
        </w:numPr>
        <w:spacing w:line="560" w:lineRule="exact"/>
        <w:ind w:left="0" w:firstLine="600" w:firstLineChars="200"/>
        <w:rPr>
          <w:rFonts w:eastAsia="方正仿宋简体"/>
          <w:sz w:val="30"/>
          <w:szCs w:val="30"/>
        </w:rPr>
      </w:pPr>
      <w:r>
        <w:rPr>
          <w:rFonts w:eastAsia="方正仿宋简体"/>
          <w:sz w:val="30"/>
          <w:szCs w:val="30"/>
        </w:rPr>
        <w:t>填写《深圳证券数字证书业务申请表（深交所单位用户专用）》，打印一式三份，分别签名并加盖单位公章。</w:t>
      </w:r>
    </w:p>
    <w:p>
      <w:pPr>
        <w:numPr>
          <w:ilvl w:val="1"/>
          <w:numId w:val="13"/>
        </w:numPr>
        <w:spacing w:line="560" w:lineRule="exact"/>
        <w:ind w:left="0" w:firstLine="600" w:firstLineChars="200"/>
        <w:rPr>
          <w:rFonts w:eastAsia="方正仿宋简体"/>
          <w:sz w:val="30"/>
          <w:szCs w:val="30"/>
        </w:rPr>
      </w:pPr>
      <w:r>
        <w:rPr>
          <w:rFonts w:eastAsia="方正仿宋简体"/>
          <w:sz w:val="30"/>
          <w:szCs w:val="30"/>
        </w:rPr>
        <w:t>打印《深圳证券数字证书用户责任条款》一式两份，分别加盖单位公章、签署日期。</w:t>
      </w:r>
    </w:p>
    <w:p>
      <w:pPr>
        <w:numPr>
          <w:ilvl w:val="1"/>
          <w:numId w:val="13"/>
        </w:numPr>
        <w:spacing w:line="560" w:lineRule="exact"/>
        <w:ind w:left="0" w:firstLine="600" w:firstLineChars="200"/>
        <w:rPr>
          <w:rFonts w:eastAsia="方正仿宋简体"/>
          <w:sz w:val="30"/>
          <w:szCs w:val="30"/>
        </w:rPr>
      </w:pPr>
      <w:r>
        <w:rPr>
          <w:rFonts w:eastAsia="方正仿宋简体"/>
          <w:sz w:val="30"/>
          <w:szCs w:val="30"/>
        </w:rPr>
        <w:t>填写《深圳证券数字证书业务授权办理证明》，打印一式两份，分别加盖单位公章、签署日期。</w:t>
      </w:r>
    </w:p>
    <w:p>
      <w:pPr>
        <w:numPr>
          <w:ilvl w:val="1"/>
          <w:numId w:val="13"/>
        </w:numPr>
        <w:spacing w:line="560" w:lineRule="exact"/>
        <w:ind w:left="0" w:firstLine="600" w:firstLineChars="200"/>
        <w:rPr>
          <w:rFonts w:eastAsia="方正仿宋简体"/>
          <w:sz w:val="30"/>
          <w:szCs w:val="30"/>
        </w:rPr>
      </w:pPr>
      <w:r>
        <w:rPr>
          <w:rFonts w:eastAsia="方正仿宋简体"/>
          <w:sz w:val="30"/>
          <w:szCs w:val="30"/>
        </w:rPr>
        <w:t>复印企业法人营业执照一式两份，分别加盖单位公章。</w:t>
      </w:r>
    </w:p>
    <w:p>
      <w:pPr>
        <w:numPr>
          <w:ilvl w:val="1"/>
          <w:numId w:val="13"/>
        </w:numPr>
        <w:spacing w:line="560" w:lineRule="exact"/>
        <w:ind w:left="0" w:firstLine="600" w:firstLineChars="200"/>
        <w:rPr>
          <w:rFonts w:eastAsia="方正仿宋简体"/>
          <w:sz w:val="30"/>
          <w:szCs w:val="30"/>
        </w:rPr>
      </w:pPr>
      <w:r>
        <w:rPr>
          <w:rFonts w:eastAsia="方正仿宋简体"/>
          <w:sz w:val="30"/>
          <w:szCs w:val="30"/>
        </w:rPr>
        <w:t>复印授权办理人身份证一式两份，授权办理人分别签名、签署日期，并加盖单位公章。</w:t>
      </w:r>
    </w:p>
    <w:p>
      <w:pPr>
        <w:spacing w:line="560" w:lineRule="exact"/>
        <w:ind w:firstLine="600" w:firstLineChars="200"/>
        <w:rPr>
          <w:rFonts w:eastAsia="方正仿宋简体"/>
          <w:sz w:val="30"/>
          <w:szCs w:val="30"/>
        </w:rPr>
      </w:pPr>
      <w:r>
        <w:rPr>
          <w:rFonts w:eastAsia="方正仿宋简体"/>
          <w:sz w:val="30"/>
          <w:szCs w:val="30"/>
        </w:rPr>
        <w:t>注：业务申请表、用户责任条款、授权办理证明可以从深圳证券数字证书认证中心网站（http://ca.szse.cn/）下载。</w:t>
      </w:r>
    </w:p>
    <w:p>
      <w:pPr>
        <w:numPr>
          <w:ilvl w:val="0"/>
          <w:numId w:val="12"/>
        </w:numPr>
        <w:spacing w:line="560" w:lineRule="exact"/>
        <w:ind w:left="0" w:firstLine="601" w:firstLineChars="200"/>
        <w:outlineLvl w:val="1"/>
        <w:rPr>
          <w:rFonts w:eastAsia="方正仿宋简体"/>
          <w:b/>
          <w:bCs/>
          <w:kern w:val="0"/>
          <w:sz w:val="30"/>
          <w:szCs w:val="30"/>
          <w:lang w:val="zh-CN"/>
        </w:rPr>
      </w:pPr>
      <w:bookmarkStart w:id="82" w:name="_Toc25841981"/>
      <w:bookmarkStart w:id="83" w:name="_Toc533777772"/>
      <w:r>
        <w:rPr>
          <w:rFonts w:eastAsia="方正仿宋简体"/>
          <w:b/>
          <w:bCs/>
          <w:kern w:val="0"/>
          <w:sz w:val="30"/>
          <w:szCs w:val="30"/>
          <w:lang w:val="zh-CN"/>
        </w:rPr>
        <w:t>办理数字证书</w:t>
      </w:r>
      <w:bookmarkEnd w:id="82"/>
      <w:bookmarkEnd w:id="83"/>
    </w:p>
    <w:p>
      <w:pPr>
        <w:numPr>
          <w:ilvl w:val="0"/>
          <w:numId w:val="14"/>
        </w:numPr>
        <w:spacing w:line="560" w:lineRule="exact"/>
        <w:ind w:left="0" w:firstLine="600" w:firstLineChars="200"/>
        <w:rPr>
          <w:rFonts w:eastAsia="方正仿宋简体"/>
          <w:sz w:val="30"/>
          <w:szCs w:val="30"/>
        </w:rPr>
      </w:pPr>
      <w:r>
        <w:rPr>
          <w:rFonts w:eastAsia="方正仿宋简体"/>
          <w:sz w:val="30"/>
          <w:szCs w:val="30"/>
        </w:rPr>
        <w:t>申请人可以选择采用邮寄或现场办理方式，如果采用邮寄办理方式，则需将业务办理材料（包括需要</w:t>
      </w:r>
      <w:r>
        <w:rPr>
          <w:rFonts w:hint="eastAsia" w:ascii="方正仿宋简体" w:eastAsia="方正仿宋简体"/>
          <w:sz w:val="30"/>
          <w:szCs w:val="30"/>
        </w:rPr>
        <w:t>“</w:t>
      </w:r>
      <w:r>
        <w:rPr>
          <w:rFonts w:eastAsia="方正仿宋简体"/>
          <w:sz w:val="30"/>
          <w:szCs w:val="30"/>
        </w:rPr>
        <w:t>更新</w:t>
      </w:r>
      <w:r>
        <w:rPr>
          <w:rFonts w:hint="eastAsia" w:ascii="方正仿宋简体" w:eastAsia="方正仿宋简体"/>
          <w:sz w:val="30"/>
          <w:szCs w:val="30"/>
        </w:rPr>
        <w:t>”</w:t>
      </w:r>
      <w:r>
        <w:rPr>
          <w:rFonts w:eastAsia="方正仿宋简体"/>
          <w:sz w:val="30"/>
          <w:szCs w:val="30"/>
        </w:rPr>
        <w:t>或</w:t>
      </w:r>
      <w:r>
        <w:rPr>
          <w:rFonts w:hint="eastAsia" w:ascii="方正仿宋简体" w:eastAsia="方正仿宋简体"/>
          <w:sz w:val="30"/>
          <w:szCs w:val="30"/>
        </w:rPr>
        <w:t>“</w:t>
      </w:r>
      <w:r>
        <w:rPr>
          <w:rFonts w:eastAsia="方正仿宋简体"/>
          <w:sz w:val="30"/>
          <w:szCs w:val="30"/>
        </w:rPr>
        <w:t>解锁</w:t>
      </w:r>
      <w:r>
        <w:rPr>
          <w:rFonts w:hint="eastAsia" w:ascii="方正仿宋简体" w:eastAsia="方正仿宋简体"/>
          <w:sz w:val="30"/>
          <w:szCs w:val="30"/>
        </w:rPr>
        <w:t>”</w:t>
      </w:r>
      <w:r>
        <w:rPr>
          <w:rFonts w:eastAsia="方正仿宋简体"/>
          <w:sz w:val="30"/>
          <w:szCs w:val="30"/>
        </w:rPr>
        <w:t>的数字证书硬件）一同邮寄至相应的受理点；如果采用现场办理方式，则需将业务办理材料（包括需要</w:t>
      </w:r>
      <w:r>
        <w:rPr>
          <w:rFonts w:hint="eastAsia" w:ascii="方正仿宋简体" w:eastAsia="方正仿宋简体"/>
          <w:sz w:val="30"/>
          <w:szCs w:val="30"/>
        </w:rPr>
        <w:t>“</w:t>
      </w:r>
      <w:r>
        <w:rPr>
          <w:rFonts w:eastAsia="方正仿宋简体"/>
          <w:sz w:val="30"/>
          <w:szCs w:val="30"/>
        </w:rPr>
        <w:t>更新</w:t>
      </w:r>
      <w:r>
        <w:rPr>
          <w:rFonts w:hint="eastAsia" w:ascii="方正仿宋简体" w:eastAsia="方正仿宋简体"/>
          <w:sz w:val="30"/>
          <w:szCs w:val="30"/>
        </w:rPr>
        <w:t>”</w:t>
      </w:r>
      <w:r>
        <w:rPr>
          <w:rFonts w:eastAsia="方正仿宋简体"/>
          <w:sz w:val="30"/>
          <w:szCs w:val="30"/>
        </w:rPr>
        <w:t>或</w:t>
      </w:r>
      <w:r>
        <w:rPr>
          <w:rFonts w:hint="eastAsia" w:ascii="方正仿宋简体" w:eastAsia="方正仿宋简体"/>
          <w:sz w:val="30"/>
          <w:szCs w:val="30"/>
        </w:rPr>
        <w:t>“</w:t>
      </w:r>
      <w:r>
        <w:rPr>
          <w:rFonts w:eastAsia="方正仿宋简体"/>
          <w:sz w:val="30"/>
          <w:szCs w:val="30"/>
        </w:rPr>
        <w:t>解锁</w:t>
      </w:r>
      <w:r>
        <w:rPr>
          <w:rFonts w:hint="eastAsia" w:ascii="方正仿宋简体" w:eastAsia="方正仿宋简体"/>
          <w:sz w:val="30"/>
          <w:szCs w:val="30"/>
        </w:rPr>
        <w:t>”</w:t>
      </w:r>
      <w:r>
        <w:rPr>
          <w:rFonts w:eastAsia="方正仿宋简体"/>
          <w:sz w:val="30"/>
          <w:szCs w:val="30"/>
        </w:rPr>
        <w:t>的数字证书硬件）一同携带至相应的受理点现场。</w:t>
      </w:r>
    </w:p>
    <w:p>
      <w:pPr>
        <w:numPr>
          <w:ilvl w:val="0"/>
          <w:numId w:val="14"/>
        </w:numPr>
        <w:spacing w:line="560" w:lineRule="exact"/>
        <w:ind w:left="0" w:firstLine="600" w:firstLineChars="200"/>
        <w:rPr>
          <w:rFonts w:eastAsia="方正仿宋简体"/>
          <w:sz w:val="30"/>
          <w:szCs w:val="30"/>
        </w:rPr>
      </w:pPr>
      <w:r>
        <w:rPr>
          <w:rFonts w:eastAsia="方正仿宋简体"/>
          <w:sz w:val="30"/>
          <w:szCs w:val="30"/>
        </w:rPr>
        <w:t>相应的受理点在收到申请材料后，即根据申请信息进行审核（现场办理方式需要核对身份证件原件），通过审核后，即进行业务办理。</w:t>
      </w:r>
    </w:p>
    <w:p>
      <w:pPr>
        <w:numPr>
          <w:ilvl w:val="0"/>
          <w:numId w:val="14"/>
        </w:numPr>
        <w:spacing w:line="560" w:lineRule="exact"/>
        <w:ind w:left="0" w:firstLine="600" w:firstLineChars="200"/>
        <w:rPr>
          <w:rFonts w:eastAsia="方正仿宋简体"/>
          <w:sz w:val="30"/>
          <w:szCs w:val="30"/>
        </w:rPr>
      </w:pPr>
      <w:r>
        <w:rPr>
          <w:rFonts w:eastAsia="方正仿宋简体"/>
          <w:sz w:val="30"/>
          <w:szCs w:val="30"/>
        </w:rPr>
        <w:t>如果采用现场办理方式，申请人等待制证完成后可取回《深圳证券数字证书业务申请表》及办理后的数字证书硬件；如果采用邮寄办理方式，受理点将《深圳证券数字证书业务申请表》及办理后的数字证书硬件邮寄到申请表中的邮寄地址。</w:t>
      </w:r>
    </w:p>
    <w:p>
      <w:pPr>
        <w:spacing w:line="560" w:lineRule="exact"/>
        <w:ind w:firstLine="600" w:firstLineChars="200"/>
        <w:rPr>
          <w:rFonts w:eastAsia="方正仿宋简体"/>
          <w:sz w:val="30"/>
          <w:szCs w:val="30"/>
        </w:rPr>
      </w:pPr>
      <w:r>
        <w:rPr>
          <w:rFonts w:eastAsia="方正仿宋简体"/>
          <w:sz w:val="30"/>
          <w:szCs w:val="30"/>
        </w:rPr>
        <w:t>申请人如需加急办理证书业务，请采用现场办理方式，深证通用户也可直接与客户经理联系。</w:t>
      </w:r>
    </w:p>
    <w:p>
      <w:pPr>
        <w:numPr>
          <w:ilvl w:val="0"/>
          <w:numId w:val="12"/>
        </w:numPr>
        <w:spacing w:line="560" w:lineRule="exact"/>
        <w:ind w:left="0" w:firstLine="601" w:firstLineChars="200"/>
        <w:outlineLvl w:val="1"/>
        <w:rPr>
          <w:rFonts w:eastAsia="方正仿宋简体"/>
          <w:b/>
          <w:bCs/>
          <w:kern w:val="0"/>
          <w:sz w:val="30"/>
          <w:szCs w:val="30"/>
          <w:lang w:val="zh-CN"/>
        </w:rPr>
      </w:pPr>
      <w:bookmarkStart w:id="84" w:name="_Toc25841982"/>
      <w:bookmarkStart w:id="85" w:name="_Toc533777773"/>
      <w:r>
        <w:rPr>
          <w:rFonts w:eastAsia="方正仿宋简体"/>
          <w:b/>
          <w:bCs/>
          <w:kern w:val="0"/>
          <w:sz w:val="30"/>
          <w:szCs w:val="30"/>
          <w:lang w:val="zh-CN"/>
        </w:rPr>
        <w:t>申请交易参与人</w:t>
      </w:r>
      <w:bookmarkEnd w:id="84"/>
      <w:bookmarkEnd w:id="85"/>
    </w:p>
    <w:p>
      <w:pPr>
        <w:spacing w:line="560" w:lineRule="exact"/>
        <w:ind w:firstLine="600" w:firstLineChars="200"/>
        <w:rPr>
          <w:rFonts w:eastAsia="方正仿宋简体"/>
          <w:sz w:val="30"/>
          <w:szCs w:val="30"/>
        </w:rPr>
      </w:pPr>
      <w:r>
        <w:rPr>
          <w:rFonts w:eastAsia="方正仿宋简体"/>
          <w:sz w:val="30"/>
          <w:szCs w:val="30"/>
        </w:rPr>
        <w:t>申请交易参与人应通过本所会员业务专区办理，网址为：</w:t>
      </w:r>
    </w:p>
    <w:p>
      <w:pPr>
        <w:spacing w:line="560" w:lineRule="exact"/>
        <w:ind w:firstLine="420" w:firstLineChars="200"/>
        <w:rPr>
          <w:rFonts w:eastAsia="方正仿宋简体"/>
          <w:sz w:val="30"/>
          <w:szCs w:val="30"/>
        </w:rPr>
      </w:pPr>
      <w:r>
        <w:fldChar w:fldCharType="begin"/>
      </w:r>
      <w:r>
        <w:instrText xml:space="preserve"> HYPERLINK "https://business.szse.cn/szseMemberPortal/" </w:instrText>
      </w:r>
      <w:r>
        <w:fldChar w:fldCharType="separate"/>
      </w:r>
      <w:r>
        <w:rPr>
          <w:rFonts w:eastAsia="方正仿宋简体"/>
          <w:color w:val="0000FF"/>
          <w:sz w:val="30"/>
          <w:szCs w:val="30"/>
          <w:u w:val="single"/>
        </w:rPr>
        <w:t>https://business.szse.cn/szseMemberPortal/</w:t>
      </w:r>
      <w:r>
        <w:rPr>
          <w:rFonts w:eastAsia="方正仿宋简体"/>
          <w:color w:val="0000FF"/>
          <w:sz w:val="30"/>
          <w:szCs w:val="30"/>
          <w:u w:val="single"/>
        </w:rPr>
        <w:fldChar w:fldCharType="end"/>
      </w:r>
      <w:r>
        <w:rPr>
          <w:rFonts w:eastAsia="方正仿宋简体"/>
          <w:sz w:val="30"/>
          <w:szCs w:val="30"/>
        </w:rPr>
        <w:t>，操作手册参照《会员网上业务专区用户手册V8.0》以下简称《手册》（可在</w:t>
      </w:r>
      <w:r>
        <w:rPr>
          <w:rFonts w:hint="eastAsia" w:ascii="方正仿宋简体" w:eastAsia="方正仿宋简体"/>
          <w:sz w:val="30"/>
          <w:szCs w:val="30"/>
        </w:rPr>
        <w:t>“</w:t>
      </w:r>
      <w:r>
        <w:rPr>
          <w:rFonts w:eastAsia="方正仿宋简体"/>
          <w:sz w:val="30"/>
          <w:szCs w:val="30"/>
        </w:rPr>
        <w:t>会员业务专区-业务指引</w:t>
      </w:r>
      <w:r>
        <w:rPr>
          <w:rFonts w:hint="eastAsia" w:ascii="方正仿宋简体" w:eastAsia="方正仿宋简体"/>
          <w:sz w:val="30"/>
          <w:szCs w:val="30"/>
        </w:rPr>
        <w:t>”</w:t>
      </w:r>
      <w:r>
        <w:rPr>
          <w:rFonts w:eastAsia="方正仿宋简体"/>
          <w:sz w:val="30"/>
          <w:szCs w:val="30"/>
        </w:rPr>
        <w:t>下载）；</w:t>
      </w:r>
    </w:p>
    <w:p>
      <w:pPr>
        <w:spacing w:line="560" w:lineRule="exact"/>
        <w:ind w:firstLine="600" w:firstLineChars="200"/>
        <w:rPr>
          <w:rFonts w:eastAsia="方正仿宋简体"/>
          <w:sz w:val="30"/>
          <w:szCs w:val="30"/>
        </w:rPr>
      </w:pPr>
      <w:r>
        <w:rPr>
          <w:rFonts w:eastAsia="方正仿宋简体"/>
          <w:sz w:val="30"/>
          <w:szCs w:val="30"/>
        </w:rPr>
        <w:t>登录本所会员业务专区必须使用</w:t>
      </w:r>
      <w:r>
        <w:rPr>
          <w:rFonts w:hint="eastAsia" w:ascii="方正仿宋简体" w:eastAsia="方正仿宋简体"/>
          <w:sz w:val="30"/>
          <w:szCs w:val="30"/>
        </w:rPr>
        <w:t>“</w:t>
      </w:r>
      <w:r>
        <w:rPr>
          <w:rFonts w:eastAsia="方正仿宋简体"/>
          <w:sz w:val="30"/>
          <w:szCs w:val="30"/>
        </w:rPr>
        <w:t>深圳证券数字证书认证中心</w:t>
      </w:r>
      <w:r>
        <w:rPr>
          <w:rFonts w:hint="eastAsia" w:ascii="方正仿宋简体" w:eastAsia="方正仿宋简体"/>
          <w:sz w:val="30"/>
          <w:szCs w:val="30"/>
        </w:rPr>
        <w:t>”</w:t>
      </w:r>
      <w:r>
        <w:rPr>
          <w:rFonts w:eastAsia="方正仿宋简体"/>
          <w:sz w:val="30"/>
          <w:szCs w:val="30"/>
        </w:rPr>
        <w:t>制作的专用电子证书（Ekey）。登录后应当按以下流程完成交易参与人申请（参照《手册》6.2.1）：</w:t>
      </w:r>
    </w:p>
    <w:p>
      <w:pPr>
        <w:numPr>
          <w:ilvl w:val="1"/>
          <w:numId w:val="15"/>
        </w:numPr>
        <w:spacing w:line="560" w:lineRule="exact"/>
        <w:ind w:left="0" w:firstLine="600" w:firstLineChars="200"/>
        <w:rPr>
          <w:rFonts w:eastAsia="方正仿宋简体"/>
          <w:sz w:val="30"/>
          <w:szCs w:val="30"/>
        </w:rPr>
      </w:pPr>
      <w:r>
        <w:rPr>
          <w:rFonts w:eastAsia="方正仿宋简体"/>
          <w:sz w:val="30"/>
          <w:szCs w:val="30"/>
        </w:rPr>
        <w:t>通过首页菜单</w:t>
      </w:r>
      <w:r>
        <w:rPr>
          <w:rFonts w:hint="eastAsia" w:ascii="方正仿宋简体" w:eastAsia="方正仿宋简体"/>
          <w:sz w:val="30"/>
          <w:szCs w:val="30"/>
        </w:rPr>
        <w:t>“</w:t>
      </w:r>
      <w:r>
        <w:rPr>
          <w:rFonts w:eastAsia="方正仿宋简体"/>
          <w:sz w:val="30"/>
          <w:szCs w:val="30"/>
        </w:rPr>
        <w:t>业务办理--&gt;非会员交易参与人资格注册</w:t>
      </w:r>
      <w:r>
        <w:rPr>
          <w:rFonts w:hint="eastAsia" w:ascii="方正仿宋简体" w:eastAsia="方正仿宋简体"/>
          <w:sz w:val="30"/>
          <w:szCs w:val="30"/>
        </w:rPr>
        <w:t>”</w:t>
      </w:r>
      <w:r>
        <w:rPr>
          <w:rFonts w:eastAsia="方正仿宋简体"/>
          <w:sz w:val="30"/>
          <w:szCs w:val="30"/>
        </w:rPr>
        <w:t>栏目，进入机构注册页面；</w:t>
      </w:r>
    </w:p>
    <w:p>
      <w:pPr>
        <w:numPr>
          <w:ilvl w:val="1"/>
          <w:numId w:val="15"/>
        </w:numPr>
        <w:spacing w:line="560" w:lineRule="exact"/>
        <w:ind w:left="0" w:firstLine="600" w:firstLineChars="200"/>
        <w:rPr>
          <w:rFonts w:eastAsia="方正仿宋简体"/>
          <w:sz w:val="30"/>
          <w:szCs w:val="30"/>
        </w:rPr>
      </w:pPr>
      <w:r>
        <w:rPr>
          <w:rFonts w:eastAsia="方正仿宋简体"/>
          <w:sz w:val="30"/>
          <w:szCs w:val="30"/>
        </w:rPr>
        <w:t>录入机构名称（中文全称）；</w:t>
      </w:r>
    </w:p>
    <w:p>
      <w:pPr>
        <w:numPr>
          <w:ilvl w:val="1"/>
          <w:numId w:val="15"/>
        </w:numPr>
        <w:spacing w:line="560" w:lineRule="exact"/>
        <w:ind w:left="0" w:firstLine="600" w:firstLineChars="200"/>
        <w:rPr>
          <w:rFonts w:eastAsia="方正仿宋简体"/>
          <w:sz w:val="30"/>
          <w:szCs w:val="30"/>
        </w:rPr>
      </w:pPr>
      <w:r>
        <w:rPr>
          <w:rFonts w:eastAsia="方正仿宋简体"/>
          <w:sz w:val="30"/>
          <w:szCs w:val="30"/>
        </w:rPr>
        <w:t>录入机构基本信息，高管及相关人员信息和联络方式，主要股东名称、出资额及持股比例等各项资料；</w:t>
      </w:r>
    </w:p>
    <w:p>
      <w:pPr>
        <w:numPr>
          <w:ilvl w:val="1"/>
          <w:numId w:val="15"/>
        </w:numPr>
        <w:spacing w:line="560" w:lineRule="exact"/>
        <w:ind w:left="0" w:firstLine="600" w:firstLineChars="200"/>
        <w:rPr>
          <w:rFonts w:eastAsia="方正仿宋简体"/>
          <w:sz w:val="30"/>
          <w:szCs w:val="30"/>
        </w:rPr>
      </w:pPr>
      <w:r>
        <w:rPr>
          <w:rFonts w:eastAsia="方正仿宋简体"/>
          <w:sz w:val="30"/>
          <w:szCs w:val="30"/>
        </w:rPr>
        <w:t>上传以下材料：</w:t>
      </w:r>
    </w:p>
    <w:p>
      <w:pPr>
        <w:spacing w:line="560" w:lineRule="exact"/>
        <w:ind w:firstLine="600" w:firstLineChars="200"/>
        <w:rPr>
          <w:rFonts w:eastAsia="方正仿宋简体"/>
          <w:sz w:val="30"/>
          <w:szCs w:val="30"/>
        </w:rPr>
      </w:pPr>
      <w:r>
        <w:rPr>
          <w:rFonts w:eastAsia="方正仿宋简体"/>
          <w:sz w:val="30"/>
          <w:szCs w:val="30"/>
        </w:rPr>
        <w:t>（1）申请书（见附件15）；</w:t>
      </w:r>
    </w:p>
    <w:p>
      <w:pPr>
        <w:spacing w:line="560" w:lineRule="exact"/>
        <w:ind w:firstLine="600" w:firstLineChars="200"/>
        <w:rPr>
          <w:rFonts w:eastAsia="方正仿宋简体"/>
          <w:sz w:val="30"/>
          <w:szCs w:val="30"/>
        </w:rPr>
      </w:pPr>
      <w:r>
        <w:rPr>
          <w:rFonts w:eastAsia="方正仿宋简体"/>
          <w:sz w:val="30"/>
          <w:szCs w:val="30"/>
        </w:rPr>
        <w:t>（2）企业法人营业执照（加盖公章）；</w:t>
      </w:r>
    </w:p>
    <w:p>
      <w:pPr>
        <w:spacing w:line="560" w:lineRule="exact"/>
        <w:ind w:firstLine="600" w:firstLineChars="200"/>
        <w:rPr>
          <w:rFonts w:eastAsia="方正仿宋简体"/>
          <w:sz w:val="30"/>
          <w:szCs w:val="30"/>
        </w:rPr>
      </w:pPr>
      <w:r>
        <w:rPr>
          <w:rFonts w:eastAsia="方正仿宋简体"/>
          <w:sz w:val="30"/>
          <w:szCs w:val="30"/>
        </w:rPr>
        <w:t>（3）公司章程（加盖公章）；</w:t>
      </w:r>
    </w:p>
    <w:p>
      <w:pPr>
        <w:spacing w:line="560" w:lineRule="exact"/>
        <w:ind w:firstLine="600" w:firstLineChars="200"/>
        <w:rPr>
          <w:rFonts w:eastAsia="方正仿宋简体"/>
          <w:sz w:val="30"/>
          <w:szCs w:val="30"/>
        </w:rPr>
      </w:pPr>
      <w:r>
        <w:rPr>
          <w:rFonts w:eastAsia="方正仿宋简体"/>
          <w:sz w:val="30"/>
          <w:szCs w:val="30"/>
        </w:rPr>
        <w:t>（4）经营证券期货业务许可证（副本复印件加盖公章）；</w:t>
      </w:r>
    </w:p>
    <w:p>
      <w:pPr>
        <w:spacing w:line="560" w:lineRule="exact"/>
        <w:ind w:firstLine="600" w:firstLineChars="200"/>
        <w:rPr>
          <w:rFonts w:eastAsia="方正仿宋简体"/>
          <w:sz w:val="30"/>
          <w:szCs w:val="30"/>
        </w:rPr>
      </w:pPr>
      <w:r>
        <w:rPr>
          <w:rFonts w:eastAsia="方正仿宋简体"/>
          <w:sz w:val="30"/>
          <w:szCs w:val="30"/>
        </w:rPr>
        <w:t>（5）本所要求提交的其他文件。</w:t>
      </w:r>
    </w:p>
    <w:p>
      <w:pPr>
        <w:numPr>
          <w:ilvl w:val="1"/>
          <w:numId w:val="15"/>
        </w:numPr>
        <w:spacing w:line="560" w:lineRule="exact"/>
        <w:ind w:left="0" w:firstLine="600" w:firstLineChars="200"/>
        <w:rPr>
          <w:rFonts w:eastAsia="方正仿宋简体"/>
          <w:sz w:val="30"/>
          <w:szCs w:val="30"/>
        </w:rPr>
      </w:pPr>
      <w:r>
        <w:rPr>
          <w:rFonts w:eastAsia="方正仿宋简体"/>
          <w:sz w:val="30"/>
          <w:szCs w:val="30"/>
        </w:rPr>
        <w:t>全部资料填写完成后点击</w:t>
      </w:r>
      <w:r>
        <w:rPr>
          <w:rFonts w:hint="eastAsia" w:ascii="方正仿宋简体" w:eastAsia="方正仿宋简体"/>
          <w:sz w:val="30"/>
          <w:szCs w:val="30"/>
        </w:rPr>
        <w:t>“</w:t>
      </w:r>
      <w:r>
        <w:rPr>
          <w:rFonts w:eastAsia="方正仿宋简体"/>
          <w:sz w:val="30"/>
          <w:szCs w:val="30"/>
        </w:rPr>
        <w:t>提交</w:t>
      </w:r>
      <w:r>
        <w:rPr>
          <w:rFonts w:hint="eastAsia" w:ascii="方正仿宋简体" w:eastAsia="方正仿宋简体"/>
          <w:sz w:val="30"/>
          <w:szCs w:val="30"/>
        </w:rPr>
        <w:t>”</w:t>
      </w:r>
      <w:r>
        <w:rPr>
          <w:rFonts w:eastAsia="方正仿宋简体"/>
          <w:sz w:val="30"/>
          <w:szCs w:val="30"/>
        </w:rPr>
        <w:t>。</w:t>
      </w:r>
    </w:p>
    <w:p>
      <w:pPr>
        <w:spacing w:line="560" w:lineRule="exact"/>
        <w:ind w:firstLine="600" w:firstLineChars="200"/>
        <w:rPr>
          <w:rFonts w:eastAsia="方正仿宋简体"/>
          <w:sz w:val="30"/>
          <w:szCs w:val="30"/>
        </w:rPr>
      </w:pPr>
      <w:r>
        <w:rPr>
          <w:rFonts w:eastAsia="方正仿宋简体"/>
          <w:sz w:val="30"/>
          <w:szCs w:val="30"/>
        </w:rPr>
        <w:t>材料齐备的，本所在五个交易日内予以办理。</w:t>
      </w:r>
    </w:p>
    <w:p>
      <w:pPr>
        <w:numPr>
          <w:ilvl w:val="0"/>
          <w:numId w:val="12"/>
        </w:numPr>
        <w:spacing w:line="560" w:lineRule="exact"/>
        <w:ind w:left="0" w:firstLine="601" w:firstLineChars="200"/>
        <w:outlineLvl w:val="1"/>
        <w:rPr>
          <w:rFonts w:eastAsia="方正仿宋简体"/>
          <w:b/>
          <w:bCs/>
          <w:kern w:val="0"/>
          <w:sz w:val="30"/>
          <w:szCs w:val="30"/>
          <w:lang w:val="zh-CN" w:eastAsia="zh-CN"/>
        </w:rPr>
      </w:pPr>
      <w:bookmarkStart w:id="86" w:name="_Toc25841983"/>
      <w:bookmarkStart w:id="87" w:name="_Toc533777774"/>
      <w:r>
        <w:rPr>
          <w:rFonts w:eastAsia="方正仿宋简体"/>
          <w:b/>
          <w:bCs/>
          <w:kern w:val="0"/>
          <w:sz w:val="30"/>
          <w:szCs w:val="30"/>
          <w:lang w:val="zh-CN" w:eastAsia="zh-CN"/>
        </w:rPr>
        <w:t>交易</w:t>
      </w:r>
      <w:r>
        <w:rPr>
          <w:rFonts w:eastAsia="方正仿宋简体"/>
          <w:b/>
          <w:bCs/>
          <w:kern w:val="0"/>
          <w:sz w:val="30"/>
          <w:szCs w:val="30"/>
          <w:lang w:val="zh-CN"/>
        </w:rPr>
        <w:t>单元设立及</w:t>
      </w:r>
      <w:r>
        <w:rPr>
          <w:rFonts w:eastAsia="方正仿宋简体"/>
          <w:b/>
          <w:bCs/>
          <w:kern w:val="0"/>
          <w:sz w:val="30"/>
          <w:szCs w:val="30"/>
          <w:lang w:val="zh-CN" w:eastAsia="zh-CN"/>
        </w:rPr>
        <w:t>权限开通</w:t>
      </w:r>
      <w:bookmarkEnd w:id="86"/>
      <w:bookmarkEnd w:id="87"/>
    </w:p>
    <w:p>
      <w:pPr>
        <w:spacing w:line="560" w:lineRule="exact"/>
        <w:ind w:firstLine="600" w:firstLineChars="200"/>
        <w:rPr>
          <w:rFonts w:eastAsia="方正仿宋简体"/>
          <w:sz w:val="30"/>
          <w:szCs w:val="30"/>
        </w:rPr>
      </w:pPr>
      <w:r>
        <w:rPr>
          <w:rFonts w:eastAsia="方正仿宋简体"/>
          <w:sz w:val="30"/>
          <w:szCs w:val="30"/>
        </w:rPr>
        <w:t>成为交易参与人后，可以向本所申请开通期权权限。开通期权权限应完成以下工作：</w:t>
      </w:r>
    </w:p>
    <w:p>
      <w:pPr>
        <w:spacing w:line="560" w:lineRule="exact"/>
        <w:ind w:firstLine="600" w:firstLineChars="200"/>
        <w:rPr>
          <w:rFonts w:eastAsia="方正仿宋简体"/>
          <w:sz w:val="30"/>
          <w:szCs w:val="30"/>
        </w:rPr>
      </w:pPr>
      <w:r>
        <w:rPr>
          <w:rFonts w:eastAsia="方正仿宋简体"/>
          <w:sz w:val="30"/>
          <w:szCs w:val="30"/>
        </w:rPr>
        <w:t>（一）设立专用交易单元。通过会员业务专区</w:t>
      </w:r>
      <w:r>
        <w:rPr>
          <w:rFonts w:hint="eastAsia" w:ascii="方正仿宋简体" w:eastAsia="方正仿宋简体"/>
          <w:sz w:val="30"/>
          <w:szCs w:val="30"/>
        </w:rPr>
        <w:t>“</w:t>
      </w:r>
      <w:r>
        <w:rPr>
          <w:rFonts w:eastAsia="方正仿宋简体"/>
          <w:sz w:val="30"/>
          <w:szCs w:val="30"/>
        </w:rPr>
        <w:t>自用交易单元开通</w:t>
      </w:r>
      <w:r>
        <w:rPr>
          <w:rFonts w:hint="eastAsia" w:ascii="方正仿宋简体" w:eastAsia="方正仿宋简体"/>
          <w:sz w:val="30"/>
          <w:szCs w:val="30"/>
        </w:rPr>
        <w:t>”</w:t>
      </w:r>
      <w:r>
        <w:rPr>
          <w:rFonts w:eastAsia="方正仿宋简体"/>
          <w:sz w:val="30"/>
          <w:szCs w:val="30"/>
        </w:rPr>
        <w:t>栏目提交交易单元设立申请（类型为</w:t>
      </w:r>
      <w:r>
        <w:rPr>
          <w:rFonts w:hint="eastAsia" w:ascii="方正仿宋简体" w:eastAsia="方正仿宋简体"/>
          <w:sz w:val="30"/>
          <w:szCs w:val="30"/>
        </w:rPr>
        <w:t>“</w:t>
      </w:r>
      <w:r>
        <w:rPr>
          <w:rFonts w:eastAsia="方正仿宋简体"/>
          <w:sz w:val="30"/>
          <w:szCs w:val="30"/>
        </w:rPr>
        <w:t>期货公司期权交易专用</w:t>
      </w:r>
      <w:r>
        <w:rPr>
          <w:rFonts w:hint="eastAsia" w:ascii="方正仿宋简体" w:eastAsia="方正仿宋简体"/>
          <w:sz w:val="30"/>
          <w:szCs w:val="30"/>
        </w:rPr>
        <w:t>”</w:t>
      </w:r>
      <w:r>
        <w:rPr>
          <w:rFonts w:eastAsia="方正仿宋简体"/>
          <w:sz w:val="30"/>
          <w:szCs w:val="30"/>
        </w:rPr>
        <w:t>，参照《手册》6.2.3.1），本所在五个交易日内予以办理。首次新设专用交易单元的，应通过会员业务专区</w:t>
      </w:r>
      <w:r>
        <w:rPr>
          <w:rFonts w:hint="eastAsia" w:ascii="方正仿宋简体" w:eastAsia="方正仿宋简体"/>
          <w:sz w:val="30"/>
          <w:szCs w:val="30"/>
        </w:rPr>
        <w:t>“</w:t>
      </w:r>
      <w:r>
        <w:rPr>
          <w:rFonts w:eastAsia="方正仿宋简体"/>
          <w:sz w:val="30"/>
          <w:szCs w:val="30"/>
        </w:rPr>
        <w:t>股票期权材料上传</w:t>
      </w:r>
      <w:r>
        <w:rPr>
          <w:rFonts w:hint="eastAsia" w:ascii="方正仿宋简体" w:eastAsia="方正仿宋简体"/>
          <w:sz w:val="30"/>
          <w:szCs w:val="30"/>
        </w:rPr>
        <w:t>”</w:t>
      </w:r>
      <w:r>
        <w:rPr>
          <w:rFonts w:eastAsia="方正仿宋简体"/>
          <w:sz w:val="30"/>
          <w:szCs w:val="30"/>
        </w:rPr>
        <w:t>栏目（参照《手册》5.10），上传《股票期权经纪业务准备情况表》（分管股票期权经纪业务的高级管理人员签字并加盖公章，见附件16）；</w:t>
      </w:r>
    </w:p>
    <w:p>
      <w:pPr>
        <w:spacing w:line="560" w:lineRule="exact"/>
        <w:ind w:firstLine="600" w:firstLineChars="200"/>
        <w:rPr>
          <w:rFonts w:eastAsia="方正仿宋简体"/>
          <w:sz w:val="30"/>
          <w:szCs w:val="30"/>
        </w:rPr>
      </w:pPr>
      <w:r>
        <w:rPr>
          <w:rFonts w:eastAsia="方正仿宋简体"/>
          <w:sz w:val="30"/>
          <w:szCs w:val="30"/>
        </w:rPr>
        <w:t>（二）申请交易通信网关。通过会员业务专区</w:t>
      </w:r>
      <w:r>
        <w:rPr>
          <w:rFonts w:hint="eastAsia" w:ascii="方正仿宋简体" w:eastAsia="方正仿宋简体"/>
          <w:sz w:val="30"/>
          <w:szCs w:val="30"/>
        </w:rPr>
        <w:t>“</w:t>
      </w:r>
      <w:r>
        <w:rPr>
          <w:rFonts w:eastAsia="方正仿宋简体"/>
          <w:sz w:val="30"/>
          <w:szCs w:val="30"/>
        </w:rPr>
        <w:t>交易通信网关新建</w:t>
      </w:r>
      <w:r>
        <w:rPr>
          <w:rFonts w:hint="eastAsia" w:ascii="方正仿宋简体" w:eastAsia="方正仿宋简体"/>
          <w:sz w:val="30"/>
          <w:szCs w:val="30"/>
        </w:rPr>
        <w:t>”</w:t>
      </w:r>
      <w:r>
        <w:rPr>
          <w:rFonts w:eastAsia="方正仿宋简体"/>
          <w:sz w:val="30"/>
          <w:szCs w:val="30"/>
        </w:rPr>
        <w:t>栏目提交交易通信网关新建申请（参照《手册》6.2.4.1），本所在两个交易日内予以办理；</w:t>
      </w:r>
    </w:p>
    <w:p>
      <w:pPr>
        <w:spacing w:line="560" w:lineRule="exact"/>
        <w:ind w:firstLine="600" w:firstLineChars="200"/>
        <w:rPr>
          <w:rFonts w:eastAsia="方正仿宋简体"/>
          <w:sz w:val="30"/>
          <w:szCs w:val="30"/>
        </w:rPr>
      </w:pPr>
      <w:r>
        <w:rPr>
          <w:rFonts w:eastAsia="方正仿宋简体"/>
          <w:sz w:val="30"/>
          <w:szCs w:val="30"/>
        </w:rPr>
        <w:t>（三）交易单元设立、交易通信网关申请完成后，通过会员业务专区</w:t>
      </w:r>
      <w:r>
        <w:rPr>
          <w:rFonts w:hint="eastAsia" w:ascii="方正仿宋简体" w:eastAsia="方正仿宋简体"/>
          <w:sz w:val="30"/>
          <w:szCs w:val="30"/>
        </w:rPr>
        <w:t>“</w:t>
      </w:r>
      <w:r>
        <w:rPr>
          <w:rFonts w:eastAsia="方正仿宋简体"/>
          <w:sz w:val="30"/>
          <w:szCs w:val="30"/>
        </w:rPr>
        <w:t>通信网关开通</w:t>
      </w:r>
      <w:r>
        <w:rPr>
          <w:rFonts w:hint="eastAsia" w:ascii="方正仿宋简体" w:eastAsia="方正仿宋简体"/>
          <w:sz w:val="30"/>
          <w:szCs w:val="30"/>
        </w:rPr>
        <w:t>”</w:t>
      </w:r>
      <w:r>
        <w:rPr>
          <w:rFonts w:eastAsia="方正仿宋简体"/>
          <w:sz w:val="30"/>
          <w:szCs w:val="30"/>
        </w:rPr>
        <w:t>栏目（参照《手册》6.2.4.2），开通交易单元和交易通信网关，本所在两个交易日内予以办理；</w:t>
      </w:r>
    </w:p>
    <w:p>
      <w:pPr>
        <w:spacing w:line="560" w:lineRule="exact"/>
        <w:ind w:firstLine="600" w:firstLineChars="200"/>
        <w:rPr>
          <w:rFonts w:eastAsia="方正仿宋简体"/>
          <w:sz w:val="30"/>
          <w:szCs w:val="30"/>
        </w:rPr>
      </w:pPr>
      <w:r>
        <w:rPr>
          <w:rFonts w:eastAsia="方正仿宋简体"/>
          <w:sz w:val="30"/>
          <w:szCs w:val="30"/>
        </w:rPr>
        <w:t>（四）完成期权结算参与人申请及获得结算账号。</w:t>
      </w:r>
    </w:p>
    <w:p>
      <w:pPr>
        <w:spacing w:line="560" w:lineRule="exact"/>
        <w:ind w:firstLine="600" w:firstLineChars="200"/>
        <w:rPr>
          <w:rFonts w:eastAsia="方正仿宋简体"/>
          <w:sz w:val="30"/>
          <w:szCs w:val="30"/>
        </w:rPr>
      </w:pPr>
      <w:r>
        <w:rPr>
          <w:rFonts w:eastAsia="方正仿宋简体"/>
          <w:sz w:val="30"/>
          <w:szCs w:val="30"/>
        </w:rPr>
        <w:t>完成以上工作后，期货公司可以通过会员业务专区</w:t>
      </w:r>
      <w:r>
        <w:rPr>
          <w:rFonts w:hint="eastAsia" w:ascii="方正仿宋简体" w:eastAsia="方正仿宋简体"/>
          <w:sz w:val="30"/>
          <w:szCs w:val="30"/>
        </w:rPr>
        <w:t>“</w:t>
      </w:r>
      <w:r>
        <w:rPr>
          <w:rFonts w:eastAsia="方正仿宋简体"/>
          <w:sz w:val="30"/>
          <w:szCs w:val="30"/>
        </w:rPr>
        <w:t>期权交易权限开通</w:t>
      </w:r>
      <w:r>
        <w:rPr>
          <w:rFonts w:hint="eastAsia" w:ascii="方正仿宋简体" w:eastAsia="方正仿宋简体"/>
          <w:sz w:val="30"/>
          <w:szCs w:val="30"/>
        </w:rPr>
        <w:t>”</w:t>
      </w:r>
      <w:r>
        <w:rPr>
          <w:rFonts w:eastAsia="方正仿宋简体"/>
          <w:sz w:val="30"/>
          <w:szCs w:val="30"/>
        </w:rPr>
        <w:t>栏目（参照《手册》6.2.3.17），选择拟开通期权交易权限的交易单元（单个业务流程最多可申请开通50个），填写期权结算账号，完成后提交。</w:t>
      </w:r>
    </w:p>
    <w:p>
      <w:pPr>
        <w:spacing w:line="560" w:lineRule="exact"/>
        <w:ind w:firstLine="600" w:firstLineChars="200"/>
        <w:rPr>
          <w:rFonts w:eastAsia="方正仿宋简体"/>
          <w:sz w:val="30"/>
          <w:szCs w:val="30"/>
        </w:rPr>
      </w:pPr>
      <w:r>
        <w:rPr>
          <w:rFonts w:eastAsia="方正仿宋简体"/>
          <w:sz w:val="30"/>
          <w:szCs w:val="30"/>
        </w:rPr>
        <w:t>期货公司如需关闭交易单元的期权交易权限，可通过会员业务专区</w:t>
      </w:r>
      <w:r>
        <w:rPr>
          <w:rFonts w:hint="eastAsia" w:ascii="方正仿宋简体" w:eastAsia="方正仿宋简体"/>
          <w:sz w:val="30"/>
          <w:szCs w:val="30"/>
        </w:rPr>
        <w:t>“</w:t>
      </w:r>
      <w:r>
        <w:rPr>
          <w:rFonts w:eastAsia="方正仿宋简体"/>
          <w:sz w:val="30"/>
          <w:szCs w:val="30"/>
        </w:rPr>
        <w:t>期权交易权限关闭</w:t>
      </w:r>
      <w:r>
        <w:rPr>
          <w:rFonts w:hint="eastAsia" w:ascii="方正仿宋简体" w:eastAsia="方正仿宋简体"/>
          <w:sz w:val="30"/>
          <w:szCs w:val="30"/>
        </w:rPr>
        <w:t>”</w:t>
      </w:r>
      <w:r>
        <w:rPr>
          <w:rFonts w:eastAsia="方正仿宋简体"/>
          <w:sz w:val="30"/>
          <w:szCs w:val="30"/>
        </w:rPr>
        <w:t>栏目（参照《手册》6.2.3.18）予以关闭；期货公司在交易单元中止时，也可一并关闭交易单元的期权交易权限。</w:t>
      </w:r>
      <w:r>
        <w:rPr>
          <w:rFonts w:eastAsia="方正仿宋简体"/>
          <w:sz w:val="30"/>
          <w:szCs w:val="30"/>
        </w:rPr>
        <w:br w:type="page"/>
      </w:r>
    </w:p>
    <w:p>
      <w:pPr>
        <w:keepNext w:val="0"/>
        <w:keepLines w:val="0"/>
        <w:pageBreakBefore w:val="0"/>
        <w:widowControl w:val="0"/>
        <w:numPr>
          <w:ilvl w:val="0"/>
          <w:numId w:val="16"/>
        </w:numPr>
        <w:kinsoku/>
        <w:wordWrap/>
        <w:overflowPunct/>
        <w:topLinePunct w:val="0"/>
        <w:autoSpaceDE/>
        <w:autoSpaceDN/>
        <w:bidi w:val="0"/>
        <w:adjustRightInd/>
        <w:snapToGrid/>
        <w:spacing w:line="560" w:lineRule="exact"/>
        <w:ind w:left="0" w:firstLine="0" w:firstLineChars="0"/>
        <w:jc w:val="center"/>
        <w:textAlignment w:val="auto"/>
        <w:outlineLvl w:val="0"/>
        <w:rPr>
          <w:rFonts w:ascii="黑体" w:hAnsi="黑体" w:eastAsia="黑体"/>
          <w:bCs/>
          <w:sz w:val="30"/>
          <w:szCs w:val="30"/>
        </w:rPr>
      </w:pPr>
      <w:bookmarkStart w:id="88" w:name="_Toc25841984"/>
      <w:r>
        <w:rPr>
          <w:rFonts w:ascii="黑体" w:hAnsi="黑体" w:eastAsia="黑体"/>
          <w:bCs/>
          <w:sz w:val="30"/>
          <w:szCs w:val="30"/>
        </w:rPr>
        <w:t>投资者适当性管理</w:t>
      </w:r>
      <w:bookmarkEnd w:id="79"/>
      <w:bookmarkEnd w:id="88"/>
    </w:p>
    <w:p>
      <w:pPr>
        <w:spacing w:line="560" w:lineRule="exact"/>
        <w:ind w:firstLine="600" w:firstLineChars="200"/>
        <w:rPr>
          <w:rFonts w:eastAsia="方正仿宋简体"/>
          <w:sz w:val="30"/>
          <w:szCs w:val="30"/>
        </w:rPr>
      </w:pPr>
      <w:r>
        <w:rPr>
          <w:rFonts w:eastAsia="方正仿宋简体"/>
          <w:sz w:val="30"/>
          <w:szCs w:val="30"/>
        </w:rPr>
        <w:t>期货公司应当严格执行股票期权投资者适当性管理制度，向客户全面介绍股票期权产品特征，充分揭示股票期权交易风险，对客户进行适当性评估并实施交易权限分级管理。期货公司不得接受不符合投资者适当性标准的客户从事股票期权交易。</w:t>
      </w:r>
    </w:p>
    <w:p>
      <w:pPr>
        <w:spacing w:line="560" w:lineRule="exact"/>
        <w:ind w:firstLine="600" w:firstLineChars="200"/>
        <w:rPr>
          <w:rFonts w:eastAsia="方正仿宋简体"/>
          <w:sz w:val="30"/>
          <w:szCs w:val="30"/>
        </w:rPr>
      </w:pPr>
      <w:r>
        <w:rPr>
          <w:rFonts w:eastAsia="方正仿宋简体"/>
          <w:sz w:val="30"/>
          <w:szCs w:val="30"/>
        </w:rPr>
        <w:t>投资者适当性评估及交易权限分级等事宜，应当由公司总部审核确定。</w:t>
      </w:r>
    </w:p>
    <w:p>
      <w:pPr>
        <w:numPr>
          <w:ilvl w:val="0"/>
          <w:numId w:val="17"/>
        </w:numPr>
        <w:spacing w:line="560" w:lineRule="exact"/>
        <w:ind w:left="0" w:firstLine="601" w:firstLineChars="200"/>
        <w:outlineLvl w:val="1"/>
        <w:rPr>
          <w:rFonts w:eastAsia="方正仿宋简体"/>
          <w:b/>
          <w:bCs/>
          <w:kern w:val="0"/>
          <w:sz w:val="30"/>
          <w:szCs w:val="30"/>
          <w:lang w:val="zh-CN" w:eastAsia="zh-CN"/>
        </w:rPr>
      </w:pPr>
      <w:bookmarkStart w:id="89" w:name="_Toc408300974"/>
      <w:bookmarkStart w:id="90" w:name="_Toc25841985"/>
      <w:r>
        <w:rPr>
          <w:rFonts w:eastAsia="方正仿宋简体"/>
          <w:b/>
          <w:bCs/>
          <w:kern w:val="0"/>
          <w:sz w:val="30"/>
          <w:szCs w:val="30"/>
          <w:lang w:val="zh-CN" w:eastAsia="zh-CN"/>
        </w:rPr>
        <w:t>投资者准入条件的认定</w:t>
      </w:r>
      <w:bookmarkEnd w:id="89"/>
      <w:bookmarkEnd w:id="90"/>
    </w:p>
    <w:p>
      <w:pPr>
        <w:keepNext/>
        <w:keepLines/>
        <w:numPr>
          <w:ilvl w:val="1"/>
          <w:numId w:val="18"/>
        </w:numPr>
        <w:spacing w:line="560" w:lineRule="exact"/>
        <w:ind w:left="0" w:firstLine="601" w:firstLineChars="200"/>
        <w:outlineLvl w:val="2"/>
        <w:rPr>
          <w:rFonts w:eastAsia="方正仿宋简体"/>
          <w:bCs/>
          <w:kern w:val="0"/>
          <w:sz w:val="30"/>
          <w:szCs w:val="30"/>
          <w:lang w:val="zh-CN" w:eastAsia="zh-CN"/>
        </w:rPr>
      </w:pPr>
      <w:bookmarkStart w:id="91" w:name="_Toc408300975"/>
      <w:r>
        <w:rPr>
          <w:rFonts w:eastAsia="方正仿宋简体"/>
          <w:b/>
          <w:bCs/>
          <w:kern w:val="0"/>
          <w:sz w:val="30"/>
          <w:szCs w:val="30"/>
          <w:lang w:val="zh-CN" w:eastAsia="zh-CN"/>
        </w:rPr>
        <w:t>个人投资者</w:t>
      </w:r>
      <w:bookmarkEnd w:id="91"/>
    </w:p>
    <w:p>
      <w:pPr>
        <w:spacing w:line="560" w:lineRule="exact"/>
        <w:ind w:firstLine="600" w:firstLineChars="200"/>
        <w:rPr>
          <w:rFonts w:eastAsia="方正仿宋简体"/>
          <w:sz w:val="30"/>
          <w:szCs w:val="30"/>
        </w:rPr>
      </w:pPr>
      <w:r>
        <w:rPr>
          <w:rFonts w:eastAsia="方正仿宋简体"/>
          <w:sz w:val="30"/>
          <w:szCs w:val="30"/>
        </w:rPr>
        <w:t>个人投资者参与期权交易，应当符合下列条件：</w:t>
      </w:r>
    </w:p>
    <w:p>
      <w:pPr>
        <w:numPr>
          <w:ilvl w:val="0"/>
          <w:numId w:val="19"/>
        </w:numPr>
        <w:spacing w:line="560" w:lineRule="exact"/>
        <w:ind w:left="0" w:firstLine="600" w:firstLineChars="200"/>
        <w:rPr>
          <w:rFonts w:eastAsia="方正仿宋简体"/>
          <w:sz w:val="30"/>
          <w:szCs w:val="30"/>
        </w:rPr>
      </w:pPr>
      <w:r>
        <w:rPr>
          <w:rFonts w:eastAsia="方正仿宋简体"/>
          <w:sz w:val="30"/>
          <w:szCs w:val="30"/>
        </w:rPr>
        <w:t>申请开户前20个交易日证券账户及资金账户内的资产日均不低于人民币 50万元（不包括该投资者通过融资融券融入的资金和证券）。</w:t>
      </w:r>
    </w:p>
    <w:p>
      <w:pPr>
        <w:spacing w:line="560" w:lineRule="exact"/>
        <w:ind w:firstLine="600" w:firstLineChars="200"/>
        <w:rPr>
          <w:rFonts w:eastAsia="方正仿宋简体"/>
          <w:sz w:val="30"/>
          <w:szCs w:val="30"/>
        </w:rPr>
      </w:pPr>
      <w:r>
        <w:rPr>
          <w:rFonts w:eastAsia="方正仿宋简体"/>
          <w:sz w:val="30"/>
          <w:szCs w:val="30"/>
        </w:rPr>
        <w:t>认定标准：上述所称投资者证券账户包括在中国结算开立的A股账户、B股账户、封闭式基金账户、开放式基金账户等证券账户，以及在会员开立的账户。在中国结算开立的账户内、可计入投资者的资产包括：股票（包括A股、B股、优先股、通过港股通买入的港股和全国中小企业股份转让系统挂牌股票）、公募基金份额、债券、资产支持证券、资产管理计划份额、本所认定的其他证券资产。在会员开立的账户内、可计入投资者资产的资产包括：公募基金份额、私募基金份额、银行理财产品、贵金属资产等。</w:t>
      </w:r>
    </w:p>
    <w:p>
      <w:pPr>
        <w:spacing w:line="560" w:lineRule="exact"/>
        <w:ind w:firstLine="600" w:firstLineChars="200"/>
        <w:rPr>
          <w:rFonts w:eastAsia="方正仿宋简体"/>
          <w:sz w:val="30"/>
          <w:szCs w:val="30"/>
        </w:rPr>
      </w:pPr>
      <w:r>
        <w:rPr>
          <w:rFonts w:eastAsia="方正仿宋简体"/>
          <w:sz w:val="30"/>
          <w:szCs w:val="30"/>
        </w:rPr>
        <w:t>投资者资金账户内的资产指其客户交易结算资金账户内的资金、期货资金账户内的客户权益以及本所认定的其他资金资产。</w:t>
      </w:r>
    </w:p>
    <w:p>
      <w:pPr>
        <w:spacing w:line="560" w:lineRule="exact"/>
        <w:ind w:firstLine="600" w:firstLineChars="200"/>
        <w:rPr>
          <w:rFonts w:eastAsia="方正仿宋简体"/>
          <w:sz w:val="30"/>
          <w:szCs w:val="30"/>
        </w:rPr>
      </w:pPr>
      <w:r>
        <w:rPr>
          <w:rFonts w:eastAsia="方正仿宋简体"/>
          <w:sz w:val="30"/>
          <w:szCs w:val="30"/>
        </w:rPr>
        <w:t>已开立沪市衍生品合约账户的投资者，视同符合本条要求。</w:t>
      </w:r>
    </w:p>
    <w:p>
      <w:pPr>
        <w:numPr>
          <w:ilvl w:val="0"/>
          <w:numId w:val="19"/>
        </w:numPr>
        <w:spacing w:line="560" w:lineRule="exact"/>
        <w:ind w:left="0" w:firstLine="600" w:firstLineChars="200"/>
        <w:rPr>
          <w:rFonts w:eastAsia="方正仿宋简体"/>
          <w:sz w:val="30"/>
          <w:szCs w:val="30"/>
        </w:rPr>
      </w:pPr>
      <w:r>
        <w:rPr>
          <w:rFonts w:eastAsia="方正仿宋简体"/>
          <w:sz w:val="30"/>
          <w:szCs w:val="30"/>
        </w:rPr>
        <w:t>在证券公司开户6个月以上并具备融资融券业务参与资格或者金融期货交易经历；或者在期货公司开户6个月以上并具有金融期货交易经历。</w:t>
      </w:r>
    </w:p>
    <w:p>
      <w:pPr>
        <w:widowControl/>
        <w:spacing w:line="560" w:lineRule="exact"/>
        <w:ind w:firstLine="600" w:firstLineChars="200"/>
        <w:rPr>
          <w:rFonts w:eastAsia="方正仿宋简体"/>
          <w:color w:val="000000"/>
          <w:sz w:val="30"/>
          <w:szCs w:val="30"/>
        </w:rPr>
      </w:pPr>
      <w:r>
        <w:rPr>
          <w:rFonts w:eastAsia="方正仿宋简体"/>
          <w:sz w:val="30"/>
          <w:szCs w:val="30"/>
        </w:rPr>
        <w:t>认定标准：</w:t>
      </w:r>
      <w:r>
        <w:rPr>
          <w:rFonts w:eastAsia="方正仿宋简体"/>
          <w:color w:val="000000"/>
          <w:sz w:val="30"/>
          <w:szCs w:val="30"/>
          <w:lang w:bidi="ar"/>
        </w:rPr>
        <w:t>在本公司或其他期货公司开户合计满六个月；具备本公司或其他公司融资融券业务参与资格或者至少有一次金融期货交易经历。</w:t>
      </w:r>
    </w:p>
    <w:p>
      <w:pPr>
        <w:spacing w:line="560" w:lineRule="exact"/>
        <w:ind w:firstLine="600" w:firstLineChars="200"/>
        <w:rPr>
          <w:rFonts w:eastAsia="方正仿宋简体"/>
          <w:sz w:val="30"/>
          <w:szCs w:val="30"/>
        </w:rPr>
      </w:pPr>
      <w:r>
        <w:rPr>
          <w:rFonts w:eastAsia="方正仿宋简体"/>
          <w:sz w:val="30"/>
          <w:szCs w:val="30"/>
        </w:rPr>
        <w:t>已开立沪市衍生品合约账户的投资者，视同符合本条要求。</w:t>
      </w:r>
    </w:p>
    <w:p>
      <w:pPr>
        <w:numPr>
          <w:ilvl w:val="0"/>
          <w:numId w:val="19"/>
        </w:numPr>
        <w:spacing w:line="560" w:lineRule="exact"/>
        <w:ind w:left="0" w:firstLine="600" w:firstLineChars="200"/>
        <w:rPr>
          <w:rFonts w:eastAsia="方正仿宋简体"/>
          <w:sz w:val="30"/>
          <w:szCs w:val="30"/>
        </w:rPr>
      </w:pPr>
      <w:r>
        <w:rPr>
          <w:rFonts w:eastAsia="方正仿宋简体"/>
          <w:sz w:val="30"/>
          <w:szCs w:val="30"/>
        </w:rPr>
        <w:t>具备期权基础知识，通过本所认可的相关测试。</w:t>
      </w:r>
    </w:p>
    <w:p>
      <w:pPr>
        <w:spacing w:line="560" w:lineRule="exact"/>
        <w:ind w:firstLine="600" w:firstLineChars="200"/>
        <w:rPr>
          <w:rFonts w:eastAsia="方正仿宋简体"/>
          <w:sz w:val="30"/>
          <w:szCs w:val="30"/>
        </w:rPr>
      </w:pPr>
      <w:r>
        <w:rPr>
          <w:rFonts w:eastAsia="方正仿宋简体"/>
          <w:sz w:val="30"/>
          <w:szCs w:val="30"/>
        </w:rPr>
        <w:t>认定标准：目前本所组织的期权知识测试有两种形式，期权经营机构在营业部组织的网上期权知识测试和本所统一组织的现场培训测试。通过知识测试的投资者，知识测试成绩长期有效，并可用于在其他期权经营机构申请开户。期货公司可登录本所期权知识测试后台管理系统查询投资者的知识测试成绩；投资者可通过本所期权知识测试系统查询本人测试成绩。</w:t>
      </w:r>
    </w:p>
    <w:p>
      <w:pPr>
        <w:spacing w:line="560" w:lineRule="exact"/>
        <w:ind w:firstLine="600" w:firstLineChars="200"/>
        <w:rPr>
          <w:rFonts w:eastAsia="方正仿宋简体"/>
          <w:sz w:val="30"/>
          <w:szCs w:val="30"/>
        </w:rPr>
      </w:pPr>
      <w:r>
        <w:rPr>
          <w:rFonts w:eastAsia="方正仿宋简体"/>
          <w:sz w:val="30"/>
          <w:szCs w:val="30"/>
        </w:rPr>
        <w:t>已开立沪市衍生品合约账户</w:t>
      </w:r>
      <w:r>
        <w:rPr>
          <w:rFonts w:hint="eastAsia" w:eastAsia="方正仿宋简体"/>
          <w:sz w:val="30"/>
          <w:szCs w:val="30"/>
        </w:rPr>
        <w:t>或</w:t>
      </w:r>
      <w:r>
        <w:rPr>
          <w:rFonts w:hint="eastAsia" w:eastAsia="方正仿宋简体"/>
          <w:sz w:val="30"/>
          <w:szCs w:val="30"/>
          <w:lang w:eastAsia="zh-CN"/>
        </w:rPr>
        <w:t>者中国金融期货交易所（以下简称</w:t>
      </w:r>
      <w:r>
        <w:rPr>
          <w:rFonts w:hint="eastAsia" w:eastAsia="方正仿宋简体"/>
          <w:sz w:val="30"/>
          <w:szCs w:val="30"/>
        </w:rPr>
        <w:t>中金所</w:t>
      </w:r>
      <w:r>
        <w:rPr>
          <w:rFonts w:hint="eastAsia" w:eastAsia="方正仿宋简体"/>
          <w:sz w:val="30"/>
          <w:szCs w:val="30"/>
          <w:lang w:eastAsia="zh-CN"/>
        </w:rPr>
        <w:t>）</w:t>
      </w:r>
      <w:r>
        <w:rPr>
          <w:rFonts w:hint="eastAsia" w:eastAsia="方正仿宋简体"/>
          <w:sz w:val="30"/>
          <w:szCs w:val="30"/>
        </w:rPr>
        <w:t>交易编码</w:t>
      </w:r>
      <w:r>
        <w:rPr>
          <w:rFonts w:eastAsia="方正仿宋简体"/>
          <w:sz w:val="30"/>
          <w:szCs w:val="30"/>
        </w:rPr>
        <w:t>的投资者，视同符合本条要求。</w:t>
      </w:r>
    </w:p>
    <w:p>
      <w:pPr>
        <w:numPr>
          <w:ilvl w:val="0"/>
          <w:numId w:val="19"/>
        </w:numPr>
        <w:spacing w:line="560" w:lineRule="exact"/>
        <w:ind w:left="0" w:firstLine="600" w:firstLineChars="200"/>
        <w:rPr>
          <w:rFonts w:eastAsia="方正仿宋简体"/>
          <w:sz w:val="30"/>
          <w:szCs w:val="30"/>
        </w:rPr>
      </w:pPr>
      <w:r>
        <w:rPr>
          <w:rFonts w:eastAsia="方正仿宋简体"/>
          <w:sz w:val="30"/>
          <w:szCs w:val="30"/>
        </w:rPr>
        <w:t>具有本所认可的股票期权模拟交易经历。</w:t>
      </w:r>
    </w:p>
    <w:p>
      <w:pPr>
        <w:spacing w:line="560" w:lineRule="exact"/>
        <w:ind w:firstLine="600" w:firstLineChars="200"/>
        <w:rPr>
          <w:rFonts w:eastAsia="方正仿宋简体"/>
          <w:sz w:val="30"/>
          <w:szCs w:val="30"/>
        </w:rPr>
      </w:pPr>
      <w:r>
        <w:rPr>
          <w:rFonts w:eastAsia="方正仿宋简体"/>
          <w:sz w:val="30"/>
          <w:szCs w:val="30"/>
        </w:rPr>
        <w:t>认定标准：投资者期权模拟交易经历，依据其参与本所期权模拟交易的记录数据予以核定。</w:t>
      </w:r>
    </w:p>
    <w:p>
      <w:pPr>
        <w:spacing w:line="560" w:lineRule="exact"/>
        <w:ind w:firstLine="600" w:firstLineChars="200"/>
        <w:rPr>
          <w:rFonts w:eastAsia="方正仿宋简体"/>
          <w:sz w:val="30"/>
          <w:szCs w:val="30"/>
        </w:rPr>
      </w:pPr>
      <w:r>
        <w:rPr>
          <w:rFonts w:eastAsia="方正仿宋简体"/>
          <w:sz w:val="30"/>
          <w:szCs w:val="30"/>
        </w:rPr>
        <w:t>若投资者除</w:t>
      </w:r>
      <w:r>
        <w:rPr>
          <w:rFonts w:hint="eastAsia" w:ascii="方正仿宋简体" w:eastAsia="方正仿宋简体"/>
          <w:sz w:val="30"/>
          <w:szCs w:val="30"/>
        </w:rPr>
        <w:t>“</w:t>
      </w:r>
      <w:r>
        <w:rPr>
          <w:rFonts w:eastAsia="方正仿宋简体"/>
          <w:sz w:val="30"/>
          <w:szCs w:val="30"/>
        </w:rPr>
        <w:t>行权</w:t>
      </w:r>
      <w:r>
        <w:rPr>
          <w:rFonts w:hint="eastAsia" w:ascii="方正仿宋简体" w:eastAsia="方正仿宋简体"/>
          <w:sz w:val="30"/>
          <w:szCs w:val="30"/>
        </w:rPr>
        <w:t>”</w:t>
      </w:r>
      <w:r>
        <w:rPr>
          <w:rFonts w:eastAsia="方正仿宋简体"/>
          <w:sz w:val="30"/>
          <w:szCs w:val="30"/>
        </w:rPr>
        <w:t>经历外，已满足开户所需的其他适当性准入条件，且投资者愿意书面承诺</w:t>
      </w:r>
      <w:r>
        <w:rPr>
          <w:rFonts w:hint="eastAsia" w:ascii="方正仿宋简体" w:eastAsia="方正仿宋简体"/>
          <w:sz w:val="30"/>
          <w:szCs w:val="30"/>
        </w:rPr>
        <w:t>“</w:t>
      </w:r>
      <w:r>
        <w:rPr>
          <w:rFonts w:eastAsia="方正仿宋简体"/>
          <w:sz w:val="30"/>
          <w:szCs w:val="30"/>
        </w:rPr>
        <w:t>在期权模拟交易下一个行权日完成行权操作</w:t>
      </w:r>
      <w:r>
        <w:rPr>
          <w:rFonts w:hint="eastAsia" w:ascii="方正仿宋简体" w:eastAsia="方正仿宋简体"/>
          <w:sz w:val="30"/>
          <w:szCs w:val="30"/>
        </w:rPr>
        <w:t>”</w:t>
      </w:r>
      <w:r>
        <w:rPr>
          <w:rFonts w:eastAsia="方正仿宋简体"/>
          <w:sz w:val="30"/>
          <w:szCs w:val="30"/>
        </w:rPr>
        <w:t>的，期货公司可先行为其开户。期货公司应当督促投资者在下一个行权日完成</w:t>
      </w:r>
      <w:r>
        <w:rPr>
          <w:rFonts w:hint="eastAsia" w:ascii="方正仿宋简体" w:eastAsia="方正仿宋简体"/>
          <w:sz w:val="30"/>
          <w:szCs w:val="30"/>
        </w:rPr>
        <w:t>“</w:t>
      </w:r>
      <w:r>
        <w:rPr>
          <w:rFonts w:eastAsia="方正仿宋简体"/>
          <w:sz w:val="30"/>
          <w:szCs w:val="30"/>
        </w:rPr>
        <w:t>行权</w:t>
      </w:r>
      <w:r>
        <w:rPr>
          <w:rFonts w:hint="eastAsia" w:ascii="方正仿宋简体" w:eastAsia="方正仿宋简体"/>
          <w:sz w:val="30"/>
          <w:szCs w:val="30"/>
        </w:rPr>
        <w:t>”</w:t>
      </w:r>
      <w:r>
        <w:rPr>
          <w:rFonts w:eastAsia="方正仿宋简体"/>
          <w:sz w:val="30"/>
          <w:szCs w:val="30"/>
        </w:rPr>
        <w:t>操作。</w:t>
      </w:r>
    </w:p>
    <w:p>
      <w:pPr>
        <w:spacing w:line="560" w:lineRule="exact"/>
        <w:ind w:firstLine="600" w:firstLineChars="200"/>
        <w:rPr>
          <w:rFonts w:eastAsia="方正仿宋简体"/>
          <w:sz w:val="30"/>
          <w:szCs w:val="30"/>
        </w:rPr>
      </w:pPr>
      <w:r>
        <w:rPr>
          <w:rFonts w:eastAsia="方正仿宋简体"/>
          <w:sz w:val="30"/>
          <w:szCs w:val="30"/>
        </w:rPr>
        <w:t>已开立沪市衍生品合约账户的投资者，视同符合本条要求。</w:t>
      </w:r>
    </w:p>
    <w:p>
      <w:pPr>
        <w:numPr>
          <w:ilvl w:val="0"/>
          <w:numId w:val="19"/>
        </w:numPr>
        <w:spacing w:line="560" w:lineRule="exact"/>
        <w:ind w:left="0" w:firstLine="600" w:firstLineChars="200"/>
        <w:rPr>
          <w:rFonts w:eastAsia="方正仿宋简体"/>
          <w:sz w:val="30"/>
          <w:szCs w:val="30"/>
        </w:rPr>
      </w:pPr>
      <w:r>
        <w:rPr>
          <w:rFonts w:eastAsia="方正仿宋简体"/>
          <w:sz w:val="30"/>
          <w:szCs w:val="30"/>
        </w:rPr>
        <w:t>具有相应的风险承受能力。</w:t>
      </w:r>
    </w:p>
    <w:p>
      <w:pPr>
        <w:spacing w:line="560" w:lineRule="exact"/>
        <w:ind w:firstLine="600" w:firstLineChars="200"/>
        <w:rPr>
          <w:rFonts w:eastAsia="方正仿宋简体"/>
          <w:sz w:val="30"/>
          <w:szCs w:val="30"/>
        </w:rPr>
      </w:pPr>
      <w:r>
        <w:rPr>
          <w:rFonts w:eastAsia="方正仿宋简体"/>
          <w:sz w:val="30"/>
          <w:szCs w:val="30"/>
        </w:rPr>
        <w:t>认定标准：期货公司应当对投资者的风险承受能力进行评估。1年内对该投资者进行过风险承受能力评估的，可不重做评估。</w:t>
      </w:r>
    </w:p>
    <w:p>
      <w:pPr>
        <w:spacing w:line="560" w:lineRule="exact"/>
        <w:ind w:firstLine="600" w:firstLineChars="200"/>
        <w:rPr>
          <w:rFonts w:eastAsia="方正仿宋简体"/>
          <w:sz w:val="30"/>
          <w:szCs w:val="30"/>
        </w:rPr>
      </w:pPr>
      <w:r>
        <w:rPr>
          <w:rFonts w:eastAsia="方正仿宋简体"/>
          <w:sz w:val="30"/>
          <w:szCs w:val="30"/>
        </w:rPr>
        <w:t>已开立沪市衍生品合约账户的投资者，视同符合本条要求。</w:t>
      </w:r>
    </w:p>
    <w:p>
      <w:pPr>
        <w:numPr>
          <w:ilvl w:val="0"/>
          <w:numId w:val="19"/>
        </w:numPr>
        <w:spacing w:line="560" w:lineRule="exact"/>
        <w:ind w:left="0" w:firstLine="600" w:firstLineChars="200"/>
        <w:rPr>
          <w:rFonts w:eastAsia="方正仿宋简体"/>
          <w:sz w:val="30"/>
          <w:szCs w:val="30"/>
        </w:rPr>
      </w:pPr>
      <w:r>
        <w:rPr>
          <w:rFonts w:eastAsia="方正仿宋简体"/>
          <w:sz w:val="30"/>
          <w:szCs w:val="30"/>
        </w:rPr>
        <w:t>不存在严重不良诚信记录，不存在法律、法规、规章和本所业务规则禁止或者限制从事股票期权交易的情形。</w:t>
      </w:r>
    </w:p>
    <w:p>
      <w:pPr>
        <w:spacing w:line="560" w:lineRule="exact"/>
        <w:ind w:firstLine="600" w:firstLineChars="200"/>
        <w:rPr>
          <w:rFonts w:eastAsia="方正仿宋简体"/>
          <w:sz w:val="30"/>
          <w:szCs w:val="30"/>
        </w:rPr>
      </w:pPr>
      <w:r>
        <w:rPr>
          <w:rFonts w:eastAsia="方正仿宋简体"/>
          <w:sz w:val="30"/>
          <w:szCs w:val="30"/>
        </w:rPr>
        <w:t>认定标准：期货公司可以通过中国期货业协会行业信息管理平台查询客户信息。法律、法规、规章禁止或者限制从事期权交易的情形，如国家外汇管理局《关于改革外商投资企业外汇资本金结汇管理方式的通知》规定，外商投资企业资本金及其结汇所得人民币资金不得直接或间接用于证券投资。期货公司应当加强外商投资企业客户的资金来源核查工作，必要时可以要求客户提交相关承诺书。</w:t>
      </w:r>
    </w:p>
    <w:p>
      <w:pPr>
        <w:numPr>
          <w:ilvl w:val="0"/>
          <w:numId w:val="19"/>
        </w:numPr>
        <w:spacing w:line="560" w:lineRule="exact"/>
        <w:ind w:left="0" w:firstLine="600" w:firstLineChars="200"/>
        <w:rPr>
          <w:rFonts w:eastAsia="方正仿宋简体"/>
          <w:sz w:val="30"/>
          <w:szCs w:val="30"/>
        </w:rPr>
      </w:pPr>
      <w:r>
        <w:rPr>
          <w:rFonts w:eastAsia="方正仿宋简体"/>
          <w:sz w:val="30"/>
          <w:szCs w:val="30"/>
        </w:rPr>
        <w:t>本所规定的其他条件。</w:t>
      </w:r>
    </w:p>
    <w:p>
      <w:pPr>
        <w:spacing w:line="560" w:lineRule="exact"/>
        <w:ind w:firstLine="600" w:firstLineChars="200"/>
        <w:rPr>
          <w:rFonts w:eastAsia="方正仿宋简体"/>
          <w:sz w:val="30"/>
          <w:szCs w:val="30"/>
        </w:rPr>
      </w:pPr>
      <w:r>
        <w:rPr>
          <w:rFonts w:eastAsia="方正仿宋简体"/>
          <w:sz w:val="30"/>
          <w:szCs w:val="30"/>
        </w:rPr>
        <w:t>个人投资者参与期权交易，应当通过期权经营机构组织的股票期权投资者适当性综合评估。</w:t>
      </w:r>
      <w:bookmarkStart w:id="92" w:name="_Toc408300976"/>
      <w:r>
        <w:rPr>
          <w:rFonts w:eastAsia="方正仿宋简体"/>
          <w:sz w:val="30"/>
          <w:szCs w:val="30"/>
        </w:rPr>
        <w:t>满足《深圳证券交易所股票期权试点投资者适当性管理指引》相关要求的港澳台投资者可参与期权交易。</w:t>
      </w:r>
    </w:p>
    <w:p>
      <w:pPr>
        <w:keepNext/>
        <w:keepLines/>
        <w:numPr>
          <w:ilvl w:val="1"/>
          <w:numId w:val="18"/>
        </w:numPr>
        <w:spacing w:line="560" w:lineRule="exact"/>
        <w:ind w:left="0" w:firstLine="601" w:firstLineChars="200"/>
        <w:outlineLvl w:val="2"/>
        <w:rPr>
          <w:rFonts w:eastAsia="方正仿宋简体"/>
          <w:b/>
          <w:bCs/>
          <w:kern w:val="0"/>
          <w:sz w:val="30"/>
          <w:szCs w:val="30"/>
          <w:lang w:val="zh-CN" w:eastAsia="zh-CN"/>
        </w:rPr>
      </w:pPr>
      <w:r>
        <w:rPr>
          <w:rFonts w:eastAsia="方正仿宋简体"/>
          <w:b/>
          <w:bCs/>
          <w:kern w:val="0"/>
          <w:sz w:val="30"/>
          <w:szCs w:val="30"/>
          <w:lang w:val="zh-CN" w:eastAsia="zh-CN"/>
        </w:rPr>
        <w:t>普通机构投资者</w:t>
      </w:r>
      <w:bookmarkEnd w:id="92"/>
    </w:p>
    <w:p>
      <w:pPr>
        <w:spacing w:line="560" w:lineRule="exact"/>
        <w:ind w:firstLine="600" w:firstLineChars="200"/>
        <w:rPr>
          <w:rFonts w:eastAsia="方正仿宋简体"/>
          <w:sz w:val="30"/>
          <w:szCs w:val="30"/>
        </w:rPr>
      </w:pPr>
      <w:r>
        <w:rPr>
          <w:rFonts w:eastAsia="方正仿宋简体"/>
          <w:sz w:val="30"/>
          <w:szCs w:val="30"/>
        </w:rPr>
        <w:t>普通机构投资者参与股票期权交易，应当符合下列条件：</w:t>
      </w:r>
    </w:p>
    <w:p>
      <w:pPr>
        <w:numPr>
          <w:ilvl w:val="0"/>
          <w:numId w:val="20"/>
        </w:numPr>
        <w:spacing w:line="560" w:lineRule="exact"/>
        <w:ind w:left="0" w:firstLine="600" w:firstLineChars="200"/>
        <w:rPr>
          <w:rFonts w:eastAsia="方正仿宋简体"/>
          <w:sz w:val="30"/>
          <w:szCs w:val="30"/>
        </w:rPr>
      </w:pPr>
      <w:r>
        <w:rPr>
          <w:rFonts w:eastAsia="方正仿宋简体"/>
          <w:sz w:val="30"/>
          <w:szCs w:val="30"/>
        </w:rPr>
        <w:t>申请开户前20个交易日证券账户及资金账户内的资产日均不低于人民币 100万元（不包括该投资者通过融资融券融入的资金和证券）。</w:t>
      </w:r>
    </w:p>
    <w:p>
      <w:pPr>
        <w:spacing w:line="560" w:lineRule="exact"/>
        <w:ind w:firstLine="600" w:firstLineChars="200"/>
        <w:rPr>
          <w:rFonts w:eastAsia="方正仿宋简体"/>
          <w:sz w:val="30"/>
          <w:szCs w:val="30"/>
        </w:rPr>
      </w:pPr>
      <w:r>
        <w:rPr>
          <w:rFonts w:eastAsia="方正仿宋简体"/>
          <w:sz w:val="30"/>
          <w:szCs w:val="30"/>
        </w:rPr>
        <w:t>已开立沪市衍生品合约账户的投资者，视同符合本条要求。</w:t>
      </w:r>
    </w:p>
    <w:p>
      <w:pPr>
        <w:numPr>
          <w:ilvl w:val="0"/>
          <w:numId w:val="20"/>
        </w:numPr>
        <w:spacing w:line="560" w:lineRule="exact"/>
        <w:ind w:left="0" w:firstLine="600" w:firstLineChars="200"/>
        <w:rPr>
          <w:rFonts w:eastAsia="方正仿宋简体"/>
          <w:sz w:val="30"/>
          <w:szCs w:val="30"/>
        </w:rPr>
      </w:pPr>
      <w:r>
        <w:rPr>
          <w:rFonts w:eastAsia="方正仿宋简体"/>
          <w:sz w:val="30"/>
          <w:szCs w:val="30"/>
        </w:rPr>
        <w:t>上一季度末净资产不低于人民币100万元（新成立的机构取最近净资产）。</w:t>
      </w:r>
    </w:p>
    <w:p>
      <w:pPr>
        <w:spacing w:line="560" w:lineRule="exact"/>
        <w:ind w:firstLine="600" w:firstLineChars="200"/>
        <w:rPr>
          <w:rFonts w:eastAsia="方正仿宋简体"/>
          <w:sz w:val="30"/>
          <w:szCs w:val="30"/>
        </w:rPr>
      </w:pPr>
      <w:r>
        <w:rPr>
          <w:rFonts w:eastAsia="方正仿宋简体"/>
          <w:sz w:val="30"/>
          <w:szCs w:val="30"/>
        </w:rPr>
        <w:t>已开立沪市衍生品合约账户的投资者，视同符合本条要求。</w:t>
      </w:r>
    </w:p>
    <w:p>
      <w:pPr>
        <w:numPr>
          <w:ilvl w:val="0"/>
          <w:numId w:val="20"/>
        </w:numPr>
        <w:spacing w:line="560" w:lineRule="exact"/>
        <w:ind w:left="0" w:firstLine="600" w:firstLineChars="200"/>
        <w:rPr>
          <w:rFonts w:eastAsia="方正仿宋简体"/>
          <w:sz w:val="30"/>
          <w:szCs w:val="30"/>
        </w:rPr>
      </w:pPr>
      <w:r>
        <w:rPr>
          <w:rFonts w:eastAsia="方正仿宋简体"/>
          <w:sz w:val="30"/>
          <w:szCs w:val="30"/>
        </w:rPr>
        <w:t>相关业务人员具备期权基础知识，通过本所认可的相关知识测试。相关业务人员主要是指股票期权投资决策人员以及交易人员。</w:t>
      </w:r>
    </w:p>
    <w:p>
      <w:pPr>
        <w:spacing w:line="560" w:lineRule="exact"/>
        <w:ind w:firstLine="600" w:firstLineChars="200"/>
        <w:rPr>
          <w:rFonts w:eastAsia="方正仿宋简体"/>
          <w:sz w:val="30"/>
          <w:szCs w:val="30"/>
        </w:rPr>
      </w:pPr>
      <w:r>
        <w:rPr>
          <w:rFonts w:eastAsia="方正仿宋简体"/>
          <w:sz w:val="30"/>
          <w:szCs w:val="30"/>
        </w:rPr>
        <w:t>已开立沪市衍生品合约账户</w:t>
      </w:r>
      <w:r>
        <w:rPr>
          <w:rFonts w:hint="eastAsia" w:eastAsia="方正仿宋简体"/>
          <w:sz w:val="30"/>
          <w:szCs w:val="30"/>
        </w:rPr>
        <w:t>或</w:t>
      </w:r>
      <w:r>
        <w:rPr>
          <w:rFonts w:hint="eastAsia" w:eastAsia="方正仿宋简体"/>
          <w:sz w:val="30"/>
          <w:szCs w:val="30"/>
          <w:lang w:eastAsia="zh-CN"/>
        </w:rPr>
        <w:t>者</w:t>
      </w:r>
      <w:r>
        <w:rPr>
          <w:rFonts w:hint="eastAsia" w:eastAsia="方正仿宋简体"/>
          <w:sz w:val="30"/>
          <w:szCs w:val="30"/>
        </w:rPr>
        <w:t>中金所交易编码</w:t>
      </w:r>
      <w:r>
        <w:rPr>
          <w:rFonts w:eastAsia="方正仿宋简体"/>
          <w:sz w:val="30"/>
          <w:szCs w:val="30"/>
        </w:rPr>
        <w:t>的普通机构投资者，视同符合本条要求。</w:t>
      </w:r>
    </w:p>
    <w:p>
      <w:pPr>
        <w:numPr>
          <w:ilvl w:val="0"/>
          <w:numId w:val="20"/>
        </w:numPr>
        <w:spacing w:line="560" w:lineRule="exact"/>
        <w:ind w:left="0" w:firstLine="600" w:firstLineChars="200"/>
        <w:rPr>
          <w:rFonts w:eastAsia="方正仿宋简体"/>
          <w:sz w:val="30"/>
          <w:szCs w:val="30"/>
        </w:rPr>
      </w:pPr>
      <w:r>
        <w:rPr>
          <w:rFonts w:eastAsia="方正仿宋简体"/>
          <w:sz w:val="30"/>
          <w:szCs w:val="30"/>
        </w:rPr>
        <w:t>相关业务人员具有与三级期权交易权限相对应的本所认可的期权模拟交易经历（通过该机构开设的期权模拟账户来完成）。</w:t>
      </w:r>
    </w:p>
    <w:p>
      <w:pPr>
        <w:spacing w:line="560" w:lineRule="exact"/>
        <w:ind w:firstLine="600" w:firstLineChars="200"/>
        <w:rPr>
          <w:rFonts w:eastAsia="方正仿宋简体"/>
          <w:sz w:val="30"/>
          <w:szCs w:val="30"/>
        </w:rPr>
      </w:pPr>
      <w:r>
        <w:rPr>
          <w:rFonts w:eastAsia="方正仿宋简体"/>
          <w:sz w:val="30"/>
          <w:szCs w:val="30"/>
        </w:rPr>
        <w:t>已开立沪市衍生品合约账户的普通机构投资者，视同符合本条要求。</w:t>
      </w:r>
    </w:p>
    <w:p>
      <w:pPr>
        <w:numPr>
          <w:ilvl w:val="0"/>
          <w:numId w:val="20"/>
        </w:numPr>
        <w:spacing w:line="560" w:lineRule="exact"/>
        <w:ind w:left="0" w:firstLine="600" w:firstLineChars="200"/>
        <w:rPr>
          <w:rFonts w:eastAsia="方正仿宋简体"/>
          <w:sz w:val="30"/>
          <w:szCs w:val="30"/>
        </w:rPr>
      </w:pPr>
      <w:r>
        <w:rPr>
          <w:rFonts w:eastAsia="方正仿宋简体"/>
          <w:sz w:val="30"/>
          <w:szCs w:val="30"/>
        </w:rPr>
        <w:t>不存在严重不良诚信记录和法律、法规、规章和本所业务规则禁止或者限制从事股票期权交易的情形。</w:t>
      </w:r>
    </w:p>
    <w:p>
      <w:pPr>
        <w:numPr>
          <w:ilvl w:val="0"/>
          <w:numId w:val="20"/>
        </w:numPr>
        <w:spacing w:line="560" w:lineRule="exact"/>
        <w:ind w:left="0" w:firstLine="600" w:firstLineChars="200"/>
        <w:rPr>
          <w:rFonts w:eastAsia="方正仿宋简体"/>
          <w:sz w:val="30"/>
          <w:szCs w:val="30"/>
        </w:rPr>
      </w:pPr>
      <w:r>
        <w:rPr>
          <w:rFonts w:eastAsia="方正仿宋简体"/>
          <w:sz w:val="30"/>
          <w:szCs w:val="30"/>
        </w:rPr>
        <w:t>本所规定的其他条件。</w:t>
      </w:r>
    </w:p>
    <w:p>
      <w:pPr>
        <w:keepNext/>
        <w:keepLines/>
        <w:numPr>
          <w:ilvl w:val="1"/>
          <w:numId w:val="18"/>
        </w:numPr>
        <w:spacing w:line="560" w:lineRule="exact"/>
        <w:ind w:left="0" w:firstLine="601" w:firstLineChars="200"/>
        <w:outlineLvl w:val="2"/>
        <w:rPr>
          <w:rFonts w:eastAsia="方正仿宋简体"/>
          <w:b/>
          <w:bCs/>
          <w:kern w:val="0"/>
          <w:sz w:val="30"/>
          <w:szCs w:val="30"/>
          <w:lang w:val="zh-CN" w:eastAsia="zh-CN"/>
        </w:rPr>
      </w:pPr>
      <w:bookmarkStart w:id="93" w:name="_Toc408300977"/>
      <w:r>
        <w:rPr>
          <w:rFonts w:eastAsia="方正仿宋简体"/>
          <w:b/>
          <w:bCs/>
          <w:kern w:val="0"/>
          <w:sz w:val="30"/>
          <w:szCs w:val="30"/>
          <w:lang w:val="zh-CN" w:eastAsia="zh-CN"/>
        </w:rPr>
        <w:t>专业机构投资者</w:t>
      </w:r>
      <w:bookmarkEnd w:id="93"/>
    </w:p>
    <w:p>
      <w:pPr>
        <w:spacing w:line="560" w:lineRule="exact"/>
        <w:ind w:firstLine="600" w:firstLineChars="200"/>
        <w:rPr>
          <w:rFonts w:eastAsia="方正仿宋简体"/>
          <w:sz w:val="30"/>
          <w:szCs w:val="30"/>
        </w:rPr>
      </w:pPr>
      <w:r>
        <w:rPr>
          <w:rFonts w:eastAsia="方正仿宋简体"/>
          <w:sz w:val="30"/>
          <w:szCs w:val="30"/>
        </w:rPr>
        <w:t>除法律、法规、规章以及监管机构另有规定外，下列专业机构投资者参与股票期权交易，不对其进行适当性管理综合评估：</w:t>
      </w:r>
    </w:p>
    <w:p>
      <w:pPr>
        <w:numPr>
          <w:ilvl w:val="0"/>
          <w:numId w:val="21"/>
        </w:numPr>
        <w:spacing w:line="560" w:lineRule="exact"/>
        <w:ind w:left="0" w:firstLine="600" w:firstLineChars="200"/>
        <w:rPr>
          <w:rFonts w:eastAsia="方正仿宋简体"/>
          <w:sz w:val="30"/>
          <w:szCs w:val="30"/>
        </w:rPr>
      </w:pPr>
      <w:r>
        <w:rPr>
          <w:rFonts w:eastAsia="方正仿宋简体"/>
          <w:sz w:val="30"/>
          <w:szCs w:val="30"/>
        </w:rPr>
        <w:t>商业银行、期权经营机构、保险机构、信托公司、基金管理公司、财务公司、合格境外机构投资者等专业机构及其分支机构；</w:t>
      </w:r>
    </w:p>
    <w:p>
      <w:pPr>
        <w:numPr>
          <w:ilvl w:val="0"/>
          <w:numId w:val="21"/>
        </w:numPr>
        <w:spacing w:line="560" w:lineRule="exact"/>
        <w:ind w:left="0" w:firstLine="600" w:firstLineChars="200"/>
        <w:rPr>
          <w:rFonts w:eastAsia="方正仿宋简体"/>
          <w:sz w:val="30"/>
          <w:szCs w:val="30"/>
        </w:rPr>
      </w:pPr>
      <w:r>
        <w:rPr>
          <w:rFonts w:eastAsia="方正仿宋简体"/>
          <w:sz w:val="30"/>
          <w:szCs w:val="30"/>
        </w:rPr>
        <w:t>证券投资基金、社保基金、养老基金、企业年金、信托计划、资产管理计划、银行及保险理财产品、在中国证券投资基金业协会备案的私募基金，以及由第一项所列专业机构担任管理人的其他基金或者受托投资的资产；</w:t>
      </w:r>
    </w:p>
    <w:p>
      <w:pPr>
        <w:numPr>
          <w:ilvl w:val="0"/>
          <w:numId w:val="21"/>
        </w:numPr>
        <w:spacing w:line="560" w:lineRule="exact"/>
        <w:ind w:left="0" w:firstLine="600" w:firstLineChars="200"/>
        <w:rPr>
          <w:rFonts w:eastAsia="方正仿宋简体"/>
          <w:sz w:val="30"/>
          <w:szCs w:val="30"/>
        </w:rPr>
      </w:pPr>
      <w:r>
        <w:rPr>
          <w:rFonts w:eastAsia="方正仿宋简体"/>
          <w:sz w:val="30"/>
          <w:szCs w:val="30"/>
        </w:rPr>
        <w:t>监管机构及本所规定的其他专业机构投资者。</w:t>
      </w:r>
    </w:p>
    <w:p>
      <w:pPr>
        <w:spacing w:line="560" w:lineRule="exact"/>
        <w:ind w:firstLine="600" w:firstLineChars="200"/>
        <w:rPr>
          <w:rFonts w:eastAsia="方正仿宋简体"/>
          <w:sz w:val="30"/>
          <w:szCs w:val="30"/>
        </w:rPr>
      </w:pPr>
      <w:r>
        <w:rPr>
          <w:rFonts w:eastAsia="方正仿宋简体"/>
          <w:sz w:val="30"/>
          <w:szCs w:val="30"/>
        </w:rPr>
        <w:t>股票期权上线初期，根据《深圳证券交易所深港通业务实施办法》，深股通投资者暂时不能交易股票期权产品。根据《</w:t>
      </w:r>
      <w:r>
        <w:rPr>
          <w:rFonts w:hint="eastAsia" w:eastAsia="方正仿宋简体"/>
          <w:sz w:val="30"/>
          <w:szCs w:val="30"/>
        </w:rPr>
        <w:t>合格境外机构投资者和人民币合格境外机构投资者境内证券期货投资管理办法</w:t>
      </w:r>
      <w:r>
        <w:rPr>
          <w:rFonts w:eastAsia="方正仿宋简体"/>
          <w:sz w:val="30"/>
          <w:szCs w:val="30"/>
        </w:rPr>
        <w:t>》</w:t>
      </w:r>
      <w:r>
        <w:rPr>
          <w:rFonts w:hint="eastAsia" w:eastAsia="方正仿宋简体"/>
          <w:sz w:val="30"/>
          <w:szCs w:val="30"/>
        </w:rPr>
        <w:t>《关于合格境外机构投资者和人民币合格境外机构投资者参与股票期权交易的公告》，允许合格境外投资者参与本所上市的交易型开放式指数基金期权（ETF期权）交易，交易目的限于套期保值交易。</w:t>
      </w:r>
    </w:p>
    <w:p>
      <w:pPr>
        <w:numPr>
          <w:ilvl w:val="0"/>
          <w:numId w:val="17"/>
        </w:numPr>
        <w:spacing w:line="560" w:lineRule="exact"/>
        <w:ind w:left="0" w:firstLine="601" w:firstLineChars="200"/>
        <w:outlineLvl w:val="1"/>
        <w:rPr>
          <w:rFonts w:eastAsia="方正仿宋简体"/>
          <w:b/>
          <w:bCs/>
          <w:kern w:val="0"/>
          <w:sz w:val="30"/>
          <w:szCs w:val="30"/>
          <w:lang w:val="zh-CN" w:eastAsia="zh-CN"/>
        </w:rPr>
      </w:pPr>
      <w:bookmarkStart w:id="94" w:name="_Toc408300978"/>
      <w:bookmarkStart w:id="95" w:name="_Toc25841986"/>
      <w:r>
        <w:rPr>
          <w:rFonts w:eastAsia="方正仿宋简体"/>
          <w:b/>
          <w:bCs/>
          <w:kern w:val="0"/>
          <w:sz w:val="30"/>
          <w:szCs w:val="30"/>
          <w:lang w:val="zh-CN" w:eastAsia="zh-CN"/>
        </w:rPr>
        <w:t>综合评估</w:t>
      </w:r>
      <w:bookmarkEnd w:id="94"/>
      <w:bookmarkEnd w:id="95"/>
    </w:p>
    <w:p>
      <w:pPr>
        <w:spacing w:line="560" w:lineRule="exact"/>
        <w:ind w:firstLine="600" w:firstLineChars="200"/>
        <w:rPr>
          <w:rFonts w:eastAsia="方正仿宋简体"/>
          <w:sz w:val="30"/>
          <w:szCs w:val="30"/>
        </w:rPr>
      </w:pPr>
      <w:r>
        <w:rPr>
          <w:rFonts w:eastAsia="方正仿宋简体"/>
          <w:sz w:val="30"/>
          <w:szCs w:val="30"/>
        </w:rPr>
        <w:t>期货公司应当制定期权投资者适当性综合评估（以下简称综合评估）的实施办法，选择适当的投资者参与股票期权交易。</w:t>
      </w:r>
    </w:p>
    <w:p>
      <w:pPr>
        <w:spacing w:line="560" w:lineRule="exact"/>
        <w:ind w:firstLine="600" w:firstLineChars="200"/>
        <w:rPr>
          <w:rFonts w:eastAsia="方正仿宋简体"/>
          <w:sz w:val="30"/>
          <w:szCs w:val="30"/>
        </w:rPr>
      </w:pPr>
      <w:r>
        <w:rPr>
          <w:rFonts w:eastAsia="方正仿宋简体"/>
          <w:sz w:val="30"/>
          <w:szCs w:val="30"/>
        </w:rPr>
        <w:t>期货公司应当对个人投资者的基本情况、风险承受能力、相关投资经历、金融类资产状况、期权知识水平等方面进行综合评估。期货公司应根据投资者适当性管理的相关规定，为客户制作《股票期权投资者适当性综合评估样表》（参考样表见附件2），经确认后存档备查。综合评估分数低于期货公司设定分值的期货公司不得为其办理开户。期货公司应当向客户明确告知综合评估结果，提示其审慎参与期权交易，并对所做提示记录留存。</w:t>
      </w:r>
    </w:p>
    <w:p>
      <w:pPr>
        <w:spacing w:line="560" w:lineRule="exact"/>
        <w:ind w:firstLine="600" w:firstLineChars="200"/>
        <w:rPr>
          <w:rFonts w:eastAsia="方正仿宋简体"/>
          <w:sz w:val="30"/>
          <w:szCs w:val="30"/>
        </w:rPr>
      </w:pPr>
      <w:r>
        <w:rPr>
          <w:rFonts w:eastAsia="方正仿宋简体"/>
          <w:sz w:val="30"/>
          <w:szCs w:val="30"/>
        </w:rPr>
        <w:t>期货公司应当要求投资者进行现场开户，试点期间不得采取其他开户方式。</w:t>
      </w:r>
    </w:p>
    <w:p>
      <w:pPr>
        <w:spacing w:line="560" w:lineRule="exact"/>
        <w:ind w:firstLine="600" w:firstLineChars="200"/>
        <w:rPr>
          <w:rFonts w:eastAsia="方正仿宋简体"/>
          <w:sz w:val="30"/>
          <w:szCs w:val="30"/>
        </w:rPr>
      </w:pPr>
      <w:r>
        <w:rPr>
          <w:rFonts w:eastAsia="方正仿宋简体"/>
          <w:sz w:val="30"/>
          <w:szCs w:val="30"/>
        </w:rPr>
        <w:t>对已开立沪市衍生品合约账户，且满足不存在严重不良诚信记录，不存在法律、法规、规章和本所业务规则禁止或者限制从事股票期权交易的情形要求的投资者，视同通过适当性综合评估，期货公司无需再为其制作《股票期权投资者适当性综合评估表》。</w:t>
      </w:r>
    </w:p>
    <w:p>
      <w:pPr>
        <w:numPr>
          <w:ilvl w:val="0"/>
          <w:numId w:val="17"/>
        </w:numPr>
        <w:spacing w:line="560" w:lineRule="exact"/>
        <w:ind w:left="0" w:firstLine="601" w:firstLineChars="200"/>
        <w:outlineLvl w:val="1"/>
        <w:rPr>
          <w:rFonts w:eastAsia="方正仿宋简体"/>
          <w:b/>
          <w:bCs/>
          <w:kern w:val="0"/>
          <w:sz w:val="30"/>
          <w:szCs w:val="30"/>
          <w:lang w:val="zh-CN" w:eastAsia="zh-CN"/>
        </w:rPr>
      </w:pPr>
      <w:bookmarkStart w:id="96" w:name="_Toc408300979"/>
      <w:bookmarkStart w:id="97" w:name="_Toc25841987"/>
      <w:r>
        <w:rPr>
          <w:rFonts w:eastAsia="方正仿宋简体"/>
          <w:b/>
          <w:bCs/>
          <w:kern w:val="0"/>
          <w:sz w:val="30"/>
          <w:szCs w:val="30"/>
          <w:lang w:val="zh-CN" w:eastAsia="zh-CN"/>
        </w:rPr>
        <w:t>期权投资者知识测试</w:t>
      </w:r>
      <w:bookmarkEnd w:id="96"/>
      <w:bookmarkEnd w:id="97"/>
    </w:p>
    <w:p>
      <w:pPr>
        <w:keepNext/>
        <w:keepLines/>
        <w:numPr>
          <w:ilvl w:val="0"/>
          <w:numId w:val="22"/>
        </w:numPr>
        <w:spacing w:line="560" w:lineRule="exact"/>
        <w:ind w:left="0" w:firstLine="601" w:firstLineChars="200"/>
        <w:outlineLvl w:val="2"/>
        <w:rPr>
          <w:rFonts w:eastAsia="方正仿宋简体"/>
          <w:b/>
          <w:bCs/>
          <w:kern w:val="0"/>
          <w:sz w:val="30"/>
          <w:szCs w:val="30"/>
          <w:lang w:val="zh-CN" w:eastAsia="zh-CN"/>
        </w:rPr>
      </w:pPr>
      <w:r>
        <w:rPr>
          <w:rFonts w:eastAsia="方正仿宋简体"/>
          <w:b/>
          <w:bCs/>
          <w:kern w:val="0"/>
          <w:sz w:val="30"/>
          <w:szCs w:val="30"/>
          <w:lang w:val="zh-CN" w:eastAsia="zh-CN"/>
        </w:rPr>
        <w:t>考试要求</w:t>
      </w:r>
    </w:p>
    <w:p>
      <w:pPr>
        <w:spacing w:line="560" w:lineRule="exact"/>
        <w:ind w:firstLine="600" w:firstLineChars="200"/>
        <w:rPr>
          <w:rFonts w:eastAsia="方正仿宋简体"/>
          <w:sz w:val="30"/>
          <w:szCs w:val="30"/>
        </w:rPr>
      </w:pPr>
      <w:r>
        <w:rPr>
          <w:rFonts w:eastAsia="方正仿宋简体"/>
          <w:sz w:val="30"/>
          <w:szCs w:val="30"/>
        </w:rPr>
        <w:t>期货公司可根据本公司实际情况及业务规划，在部分或全部分支机构开设期权知识测试考场。</w:t>
      </w:r>
    </w:p>
    <w:p>
      <w:pPr>
        <w:spacing w:line="560" w:lineRule="exact"/>
        <w:ind w:firstLine="600" w:firstLineChars="200"/>
        <w:rPr>
          <w:rFonts w:eastAsia="方正仿宋简体"/>
          <w:sz w:val="30"/>
          <w:szCs w:val="30"/>
        </w:rPr>
      </w:pPr>
      <w:r>
        <w:rPr>
          <w:rFonts w:eastAsia="方正仿宋简体"/>
          <w:sz w:val="30"/>
          <w:szCs w:val="30"/>
        </w:rPr>
        <w:t>拟开设考场的营业部应按照以下</w:t>
      </w:r>
      <w:r>
        <w:rPr>
          <w:rFonts w:hint="eastAsia" w:ascii="方正仿宋简体" w:eastAsia="方正仿宋简体"/>
          <w:sz w:val="30"/>
          <w:szCs w:val="30"/>
        </w:rPr>
        <w:t>“</w:t>
      </w:r>
      <w:r>
        <w:rPr>
          <w:rFonts w:eastAsia="方正仿宋简体"/>
          <w:sz w:val="30"/>
          <w:szCs w:val="30"/>
        </w:rPr>
        <w:t>三个独立</w:t>
      </w:r>
      <w:r>
        <w:rPr>
          <w:rFonts w:hint="eastAsia" w:ascii="方正仿宋简体" w:eastAsia="方正仿宋简体"/>
          <w:sz w:val="30"/>
          <w:szCs w:val="30"/>
        </w:rPr>
        <w:t>”</w:t>
      </w:r>
      <w:r>
        <w:rPr>
          <w:rFonts w:eastAsia="方正仿宋简体"/>
          <w:sz w:val="30"/>
          <w:szCs w:val="30"/>
        </w:rPr>
        <w:t>要求在营业场所内设置考场：</w:t>
      </w:r>
    </w:p>
    <w:p>
      <w:pPr>
        <w:numPr>
          <w:ilvl w:val="0"/>
          <w:numId w:val="23"/>
        </w:numPr>
        <w:spacing w:line="560" w:lineRule="exact"/>
        <w:ind w:left="0" w:firstLine="600" w:firstLineChars="200"/>
        <w:rPr>
          <w:rFonts w:eastAsia="方正仿宋简体"/>
          <w:sz w:val="30"/>
          <w:szCs w:val="30"/>
        </w:rPr>
      </w:pPr>
      <w:r>
        <w:rPr>
          <w:rFonts w:eastAsia="方正仿宋简体"/>
          <w:sz w:val="30"/>
          <w:szCs w:val="30"/>
        </w:rPr>
        <w:t>区域独立：在营业部设置相对独立的区域用于投资者测试，场地大小可视营业场所实际情况确定。区内应张贴测试流程及纪律要求。</w:t>
      </w:r>
    </w:p>
    <w:p>
      <w:pPr>
        <w:numPr>
          <w:ilvl w:val="0"/>
          <w:numId w:val="23"/>
        </w:numPr>
        <w:spacing w:line="560" w:lineRule="exact"/>
        <w:ind w:left="0" w:firstLine="600" w:firstLineChars="200"/>
        <w:rPr>
          <w:rFonts w:eastAsia="方正仿宋简体"/>
          <w:sz w:val="30"/>
          <w:szCs w:val="30"/>
        </w:rPr>
      </w:pPr>
      <w:r>
        <w:rPr>
          <w:rFonts w:eastAsia="方正仿宋简体"/>
          <w:sz w:val="30"/>
          <w:szCs w:val="30"/>
        </w:rPr>
        <w:t>人员独立：应当由相对独立的人员（如股票期权工作人员或客服人员）组织测试。上述人员应具备一定的期权知识水平，同时熟悉测试组织要求、考试纪律和流程。在服务投资者测试的同时发挥监考作用。客户开发人员不得兼任测试组织人员。</w:t>
      </w:r>
    </w:p>
    <w:p>
      <w:pPr>
        <w:numPr>
          <w:ilvl w:val="0"/>
          <w:numId w:val="23"/>
        </w:numPr>
        <w:spacing w:line="560" w:lineRule="exact"/>
        <w:ind w:left="0" w:firstLine="600" w:firstLineChars="200"/>
        <w:rPr>
          <w:rFonts w:eastAsia="方正仿宋简体"/>
          <w:sz w:val="30"/>
          <w:szCs w:val="30"/>
        </w:rPr>
      </w:pPr>
      <w:r>
        <w:rPr>
          <w:rFonts w:eastAsia="方正仿宋简体"/>
          <w:sz w:val="30"/>
          <w:szCs w:val="30"/>
        </w:rPr>
        <w:t>电脑独立：应当配备相对独立的电脑，确保不会和其他业务用途冲突，其配置应当保证投资者能顺畅完成在线测试。</w:t>
      </w:r>
    </w:p>
    <w:p>
      <w:pPr>
        <w:keepNext/>
        <w:keepLines/>
        <w:numPr>
          <w:ilvl w:val="0"/>
          <w:numId w:val="22"/>
        </w:numPr>
        <w:spacing w:line="560" w:lineRule="exact"/>
        <w:ind w:left="0" w:firstLine="601" w:firstLineChars="200"/>
        <w:outlineLvl w:val="2"/>
        <w:rPr>
          <w:rFonts w:eastAsia="方正仿宋简体"/>
          <w:b/>
          <w:bCs/>
          <w:kern w:val="0"/>
          <w:sz w:val="30"/>
          <w:szCs w:val="30"/>
          <w:lang w:val="zh-CN" w:eastAsia="zh-CN"/>
        </w:rPr>
      </w:pPr>
      <w:r>
        <w:rPr>
          <w:rFonts w:eastAsia="方正仿宋简体"/>
          <w:b/>
          <w:bCs/>
          <w:kern w:val="0"/>
          <w:sz w:val="30"/>
          <w:szCs w:val="30"/>
          <w:lang w:val="zh-CN" w:eastAsia="zh-CN"/>
        </w:rPr>
        <w:t>考试纪律</w:t>
      </w:r>
    </w:p>
    <w:p>
      <w:pPr>
        <w:spacing w:line="560" w:lineRule="exact"/>
        <w:ind w:firstLine="600" w:firstLineChars="200"/>
        <w:rPr>
          <w:rFonts w:eastAsia="方正仿宋简体"/>
          <w:sz w:val="30"/>
          <w:szCs w:val="30"/>
        </w:rPr>
      </w:pPr>
      <w:r>
        <w:rPr>
          <w:rFonts w:eastAsia="方正仿宋简体"/>
          <w:sz w:val="30"/>
          <w:szCs w:val="30"/>
        </w:rPr>
        <w:t>期货公司应当负责核对投资者身份证明文件，确认投资者本人独立、自主完成考试。投资者在规定的考试时间内不得查阅任何参考资料（包括但不限于印刷资料、手机、电脑等渠道），不得向营业部监考工作人员询问与考试内容有关的信息。一旦发现作弊、替考等现象，本所将认定考试成绩无效。</w:t>
      </w:r>
    </w:p>
    <w:p>
      <w:pPr>
        <w:keepNext/>
        <w:keepLines/>
        <w:numPr>
          <w:ilvl w:val="0"/>
          <w:numId w:val="22"/>
        </w:numPr>
        <w:spacing w:line="560" w:lineRule="exact"/>
        <w:ind w:left="0" w:firstLine="601" w:firstLineChars="200"/>
        <w:outlineLvl w:val="2"/>
        <w:rPr>
          <w:rFonts w:eastAsia="方正仿宋简体"/>
          <w:b/>
          <w:bCs/>
          <w:kern w:val="0"/>
          <w:sz w:val="30"/>
          <w:szCs w:val="30"/>
          <w:lang w:val="zh-CN" w:eastAsia="zh-CN"/>
        </w:rPr>
      </w:pPr>
      <w:r>
        <w:rPr>
          <w:rFonts w:eastAsia="方正仿宋简体"/>
          <w:b/>
          <w:bCs/>
          <w:kern w:val="0"/>
          <w:sz w:val="30"/>
          <w:szCs w:val="30"/>
          <w:lang w:val="zh-CN" w:eastAsia="zh-CN"/>
        </w:rPr>
        <w:t>考试</w:t>
      </w:r>
      <w:r>
        <w:rPr>
          <w:rFonts w:eastAsia="方正仿宋简体"/>
          <w:b/>
          <w:bCs/>
          <w:kern w:val="0"/>
          <w:sz w:val="30"/>
          <w:szCs w:val="30"/>
          <w:lang w:val="zh-CN"/>
        </w:rPr>
        <w:t>拍照</w:t>
      </w:r>
    </w:p>
    <w:p>
      <w:pPr>
        <w:spacing w:line="560" w:lineRule="exact"/>
        <w:ind w:firstLine="600" w:firstLineChars="200"/>
        <w:rPr>
          <w:rFonts w:eastAsia="方正仿宋简体"/>
          <w:sz w:val="30"/>
          <w:szCs w:val="30"/>
        </w:rPr>
      </w:pPr>
      <w:r>
        <w:rPr>
          <w:rFonts w:eastAsia="方正仿宋简体"/>
          <w:sz w:val="30"/>
          <w:szCs w:val="30"/>
        </w:rPr>
        <w:t>期权知识测试期间将通过测试系统采集7张照片（其中1张为测试者身份证照片，1张为测试者开始测试前拍摄照片，另外5张为测试期间随机时点摄像头抓拍照片）作为防范作弊手段，请测试者在测试期间使摄像头保持在可以拍到自己的方向。</w:t>
      </w:r>
    </w:p>
    <w:p>
      <w:pPr>
        <w:keepNext/>
        <w:keepLines/>
        <w:numPr>
          <w:ilvl w:val="0"/>
          <w:numId w:val="22"/>
        </w:numPr>
        <w:spacing w:line="560" w:lineRule="exact"/>
        <w:ind w:left="0" w:firstLine="601" w:firstLineChars="200"/>
        <w:outlineLvl w:val="2"/>
        <w:rPr>
          <w:rFonts w:eastAsia="方正仿宋简体"/>
          <w:b/>
          <w:bCs/>
          <w:kern w:val="0"/>
          <w:sz w:val="30"/>
          <w:szCs w:val="30"/>
          <w:lang w:val="zh-CN" w:eastAsia="zh-CN"/>
        </w:rPr>
      </w:pPr>
      <w:r>
        <w:rPr>
          <w:rFonts w:eastAsia="方正仿宋简体"/>
          <w:b/>
          <w:bCs/>
          <w:kern w:val="0"/>
          <w:sz w:val="30"/>
          <w:szCs w:val="30"/>
          <w:lang w:val="zh-CN" w:eastAsia="zh-CN"/>
        </w:rPr>
        <w:t>考试形式</w:t>
      </w:r>
    </w:p>
    <w:p>
      <w:pPr>
        <w:spacing w:line="560" w:lineRule="exact"/>
        <w:ind w:firstLine="600" w:firstLineChars="200"/>
        <w:rPr>
          <w:rFonts w:eastAsia="方正仿宋简体"/>
          <w:sz w:val="30"/>
          <w:szCs w:val="30"/>
        </w:rPr>
      </w:pPr>
      <w:r>
        <w:rPr>
          <w:rFonts w:eastAsia="方正仿宋简体"/>
          <w:sz w:val="30"/>
          <w:szCs w:val="30"/>
        </w:rPr>
        <w:t>个人期权投资者知识测试形式分为逐级考试和综合卷考试。</w:t>
      </w:r>
    </w:p>
    <w:p>
      <w:pPr>
        <w:spacing w:line="560" w:lineRule="exact"/>
        <w:ind w:firstLine="600" w:firstLineChars="200"/>
        <w:rPr>
          <w:rFonts w:eastAsia="方正仿宋简体"/>
          <w:sz w:val="30"/>
          <w:szCs w:val="30"/>
        </w:rPr>
      </w:pPr>
      <w:r>
        <w:rPr>
          <w:rFonts w:eastAsia="方正仿宋简体"/>
          <w:sz w:val="30"/>
          <w:szCs w:val="30"/>
        </w:rPr>
        <w:t>对于选择逐级考试的个人投资者，参加并通过一级考试后，才能参加二级考试；参加并通过一级、二级考试后，才能参加三级考试。对于每个级别的考试，投资者均可多次参加，直至成绩合格。</w:t>
      </w:r>
    </w:p>
    <w:p>
      <w:pPr>
        <w:spacing w:line="560" w:lineRule="exact"/>
        <w:ind w:firstLine="600" w:firstLineChars="200"/>
        <w:rPr>
          <w:rFonts w:eastAsia="方正仿宋简体"/>
          <w:sz w:val="30"/>
          <w:szCs w:val="30"/>
        </w:rPr>
      </w:pPr>
      <w:r>
        <w:rPr>
          <w:rFonts w:eastAsia="方正仿宋简体"/>
          <w:sz w:val="30"/>
          <w:szCs w:val="30"/>
        </w:rPr>
        <w:t>对于选择综合卷考试的个人投资者，也可多次参加，成绩合格者直接成为三级投资者。</w:t>
      </w:r>
    </w:p>
    <w:p>
      <w:pPr>
        <w:spacing w:line="560" w:lineRule="exact"/>
        <w:ind w:firstLine="600" w:firstLineChars="200"/>
        <w:rPr>
          <w:rFonts w:eastAsia="方正仿宋简体"/>
          <w:sz w:val="30"/>
          <w:szCs w:val="30"/>
        </w:rPr>
      </w:pPr>
      <w:r>
        <w:rPr>
          <w:rFonts w:eastAsia="方正仿宋简体"/>
          <w:sz w:val="30"/>
          <w:szCs w:val="30"/>
        </w:rPr>
        <w:t>普通机构投资者相关业务人员须参加从业人员期权知识测试。</w:t>
      </w:r>
    </w:p>
    <w:p>
      <w:pPr>
        <w:keepNext/>
        <w:keepLines/>
        <w:numPr>
          <w:ilvl w:val="0"/>
          <w:numId w:val="22"/>
        </w:numPr>
        <w:spacing w:line="560" w:lineRule="exact"/>
        <w:ind w:left="0" w:firstLine="601" w:firstLineChars="200"/>
        <w:outlineLvl w:val="2"/>
        <w:rPr>
          <w:rFonts w:eastAsia="方正仿宋简体"/>
          <w:b/>
          <w:bCs/>
          <w:kern w:val="0"/>
          <w:sz w:val="30"/>
          <w:szCs w:val="30"/>
          <w:lang w:val="zh-CN" w:eastAsia="zh-CN"/>
        </w:rPr>
      </w:pPr>
      <w:r>
        <w:rPr>
          <w:rFonts w:eastAsia="方正仿宋简体"/>
          <w:b/>
          <w:bCs/>
          <w:kern w:val="0"/>
          <w:sz w:val="30"/>
          <w:szCs w:val="30"/>
          <w:lang w:val="zh-CN" w:eastAsia="zh-CN"/>
        </w:rPr>
        <w:t>考试题目范围</w:t>
      </w:r>
      <w:r>
        <w:rPr>
          <w:rFonts w:eastAsia="方正仿宋简体"/>
          <w:b/>
          <w:bCs/>
          <w:kern w:val="0"/>
          <w:sz w:val="30"/>
          <w:szCs w:val="30"/>
          <w:lang w:val="zh-CN"/>
        </w:rPr>
        <w:t>与数量</w:t>
      </w:r>
    </w:p>
    <w:p>
      <w:pPr>
        <w:spacing w:line="560" w:lineRule="exact"/>
        <w:ind w:firstLine="600" w:firstLineChars="200"/>
        <w:rPr>
          <w:rFonts w:eastAsia="方正仿宋简体"/>
          <w:sz w:val="30"/>
          <w:szCs w:val="30"/>
        </w:rPr>
      </w:pPr>
      <w:r>
        <w:rPr>
          <w:rFonts w:eastAsia="方正仿宋简体"/>
          <w:sz w:val="30"/>
          <w:szCs w:val="30"/>
        </w:rPr>
        <w:t>一级投资者测试范围为期权基础知识、备兑开仓和保险策略，二级投资者测试范围为买入开仓，三级投资者测试范围为卖出开仓，综合试卷与从业人员测试范围为以上所有内容。逐级考试、综合考试和从业人员考试的测试题目均为20题。</w:t>
      </w:r>
    </w:p>
    <w:p>
      <w:pPr>
        <w:keepNext/>
        <w:keepLines/>
        <w:numPr>
          <w:ilvl w:val="0"/>
          <w:numId w:val="22"/>
        </w:numPr>
        <w:spacing w:line="560" w:lineRule="exact"/>
        <w:ind w:left="0" w:firstLine="601" w:firstLineChars="200"/>
        <w:outlineLvl w:val="2"/>
        <w:rPr>
          <w:rFonts w:eastAsia="方正仿宋简体"/>
          <w:b/>
          <w:bCs/>
          <w:kern w:val="0"/>
          <w:sz w:val="30"/>
          <w:szCs w:val="30"/>
          <w:lang w:val="zh-CN" w:eastAsia="zh-CN"/>
        </w:rPr>
      </w:pPr>
      <w:r>
        <w:rPr>
          <w:rFonts w:eastAsia="方正仿宋简体"/>
          <w:b/>
          <w:bCs/>
          <w:kern w:val="0"/>
          <w:sz w:val="30"/>
          <w:szCs w:val="30"/>
          <w:lang w:val="zh-CN" w:eastAsia="zh-CN"/>
        </w:rPr>
        <w:t>通过标准与考试时长</w:t>
      </w:r>
    </w:p>
    <w:p>
      <w:pPr>
        <w:spacing w:line="560" w:lineRule="exact"/>
        <w:ind w:firstLine="600" w:firstLineChars="200"/>
        <w:rPr>
          <w:rFonts w:eastAsia="方正仿宋简体"/>
          <w:sz w:val="30"/>
          <w:szCs w:val="30"/>
        </w:rPr>
      </w:pPr>
      <w:r>
        <w:rPr>
          <w:rFonts w:eastAsia="方正仿宋简体"/>
          <w:sz w:val="30"/>
          <w:szCs w:val="30"/>
        </w:rPr>
        <w:t>逐级考试、综合考试和从业人员考试测试时间均为30分钟，考试总分均为100分，测试成绩高于或等于70分为合格。</w:t>
      </w:r>
    </w:p>
    <w:p>
      <w:pPr>
        <w:spacing w:line="560" w:lineRule="exact"/>
        <w:ind w:firstLine="600" w:firstLineChars="200"/>
        <w:rPr>
          <w:rFonts w:eastAsia="方正仿宋简体"/>
          <w:sz w:val="30"/>
          <w:szCs w:val="30"/>
        </w:rPr>
      </w:pPr>
      <w:r>
        <w:rPr>
          <w:rFonts w:eastAsia="方正仿宋简体"/>
          <w:sz w:val="30"/>
          <w:szCs w:val="30"/>
        </w:rPr>
        <w:t>测试时间满10分钟才允许交卷。</w:t>
      </w:r>
    </w:p>
    <w:p>
      <w:pPr>
        <w:numPr>
          <w:ilvl w:val="0"/>
          <w:numId w:val="17"/>
        </w:numPr>
        <w:spacing w:line="560" w:lineRule="exact"/>
        <w:ind w:left="0" w:firstLine="601" w:firstLineChars="200"/>
        <w:outlineLvl w:val="1"/>
        <w:rPr>
          <w:rFonts w:eastAsia="方正仿宋简体"/>
          <w:b/>
          <w:bCs/>
          <w:kern w:val="0"/>
          <w:sz w:val="30"/>
          <w:szCs w:val="30"/>
          <w:lang w:val="zh-CN" w:eastAsia="zh-CN"/>
        </w:rPr>
      </w:pPr>
      <w:bookmarkStart w:id="98" w:name="_Toc486416338"/>
      <w:bookmarkEnd w:id="98"/>
      <w:bookmarkStart w:id="99" w:name="_Toc25841988"/>
      <w:bookmarkStart w:id="100" w:name="_Toc408300980"/>
      <w:r>
        <w:rPr>
          <w:rFonts w:eastAsia="方正仿宋简体"/>
          <w:b/>
          <w:bCs/>
          <w:kern w:val="0"/>
          <w:sz w:val="30"/>
          <w:szCs w:val="30"/>
          <w:lang w:val="zh-CN" w:eastAsia="zh-CN"/>
        </w:rPr>
        <w:t>投资者分级管理</w:t>
      </w:r>
      <w:bookmarkEnd w:id="99"/>
      <w:bookmarkEnd w:id="100"/>
    </w:p>
    <w:p>
      <w:pPr>
        <w:keepNext/>
        <w:keepLines/>
        <w:numPr>
          <w:ilvl w:val="0"/>
          <w:numId w:val="24"/>
        </w:numPr>
        <w:spacing w:line="560" w:lineRule="exact"/>
        <w:ind w:left="0" w:firstLine="601" w:firstLineChars="200"/>
        <w:outlineLvl w:val="2"/>
        <w:rPr>
          <w:rFonts w:eastAsia="方正仿宋简体"/>
          <w:b/>
          <w:bCs/>
          <w:kern w:val="0"/>
          <w:sz w:val="30"/>
          <w:szCs w:val="30"/>
          <w:lang w:val="zh-CN" w:eastAsia="zh-CN"/>
        </w:rPr>
      </w:pPr>
      <w:bookmarkStart w:id="101" w:name="_Toc408300981"/>
      <w:r>
        <w:rPr>
          <w:rFonts w:eastAsia="方正仿宋简体"/>
          <w:b/>
          <w:bCs/>
          <w:kern w:val="0"/>
          <w:sz w:val="30"/>
          <w:szCs w:val="30"/>
          <w:lang w:val="zh-CN" w:eastAsia="zh-CN"/>
        </w:rPr>
        <w:t>交易权限</w:t>
      </w:r>
      <w:bookmarkEnd w:id="101"/>
    </w:p>
    <w:p>
      <w:pPr>
        <w:spacing w:line="560" w:lineRule="exact"/>
        <w:ind w:firstLine="600" w:firstLineChars="200"/>
        <w:rPr>
          <w:rFonts w:eastAsia="方正仿宋简体"/>
          <w:sz w:val="30"/>
          <w:szCs w:val="30"/>
        </w:rPr>
      </w:pPr>
      <w:r>
        <w:rPr>
          <w:rFonts w:eastAsia="方正仿宋简体"/>
          <w:sz w:val="30"/>
          <w:szCs w:val="30"/>
        </w:rPr>
        <w:t>个人投资者、普通机构投资者、专业机构投资者的交易权限参见《深圳证券交易所股票期权试点投资者适当性管理指引》。</w:t>
      </w:r>
    </w:p>
    <w:p>
      <w:pPr>
        <w:keepNext/>
        <w:keepLines/>
        <w:numPr>
          <w:ilvl w:val="0"/>
          <w:numId w:val="24"/>
        </w:numPr>
        <w:spacing w:line="560" w:lineRule="exact"/>
        <w:ind w:left="0" w:firstLine="601" w:firstLineChars="200"/>
        <w:outlineLvl w:val="2"/>
        <w:rPr>
          <w:rFonts w:eastAsia="方正仿宋简体"/>
          <w:b/>
          <w:bCs/>
          <w:kern w:val="0"/>
          <w:sz w:val="30"/>
          <w:szCs w:val="30"/>
          <w:lang w:val="zh-CN" w:eastAsia="zh-CN"/>
        </w:rPr>
      </w:pPr>
      <w:bookmarkStart w:id="102" w:name="_Toc408300982"/>
      <w:r>
        <w:rPr>
          <w:rFonts w:eastAsia="方正仿宋简体"/>
          <w:b/>
          <w:bCs/>
          <w:kern w:val="0"/>
          <w:sz w:val="30"/>
          <w:szCs w:val="30"/>
          <w:lang w:val="zh-CN" w:eastAsia="zh-CN"/>
        </w:rPr>
        <w:t>交易权限的申请条件</w:t>
      </w:r>
      <w:bookmarkEnd w:id="102"/>
    </w:p>
    <w:p>
      <w:pPr>
        <w:spacing w:line="560" w:lineRule="exact"/>
        <w:ind w:firstLine="600" w:firstLineChars="200"/>
        <w:rPr>
          <w:rFonts w:eastAsia="方正仿宋简体"/>
          <w:sz w:val="30"/>
          <w:szCs w:val="30"/>
        </w:rPr>
      </w:pPr>
      <w:r>
        <w:rPr>
          <w:rFonts w:eastAsia="方正仿宋简体"/>
          <w:sz w:val="30"/>
          <w:szCs w:val="30"/>
        </w:rPr>
        <w:t>期货公司为投资者设置的交易权限不能超出为其评定的交易级别。期货公司应根据投资者交易权限的分级结果，对投资者的期权交易委托指令进行前端控制，对不符合交易权限的交易委托予以拒绝和制止。</w:t>
      </w:r>
    </w:p>
    <w:p>
      <w:pPr>
        <w:spacing w:line="560" w:lineRule="exact"/>
        <w:ind w:firstLine="600" w:firstLineChars="200"/>
        <w:rPr>
          <w:rFonts w:eastAsia="方正仿宋简体"/>
          <w:sz w:val="30"/>
          <w:szCs w:val="30"/>
        </w:rPr>
      </w:pPr>
      <w:r>
        <w:rPr>
          <w:rFonts w:eastAsia="方正仿宋简体"/>
          <w:sz w:val="30"/>
          <w:szCs w:val="30"/>
        </w:rPr>
        <w:t>个人投资者申请各级别交易权限，除通过综合评估，还应当满足以下要求：</w:t>
      </w:r>
    </w:p>
    <w:p>
      <w:pPr>
        <w:numPr>
          <w:ilvl w:val="0"/>
          <w:numId w:val="25"/>
        </w:numPr>
        <w:spacing w:line="560" w:lineRule="exact"/>
        <w:ind w:left="0" w:firstLine="600" w:firstLineChars="200"/>
        <w:rPr>
          <w:rFonts w:eastAsia="方正仿宋简体"/>
          <w:sz w:val="30"/>
          <w:szCs w:val="30"/>
        </w:rPr>
      </w:pPr>
      <w:r>
        <w:rPr>
          <w:rFonts w:eastAsia="方正仿宋简体"/>
          <w:sz w:val="30"/>
          <w:szCs w:val="30"/>
        </w:rPr>
        <w:t>个人投资者申请各级别交易权限，应当在对应级别的知识测试中达到本所规定的合格分数。</w:t>
      </w:r>
    </w:p>
    <w:p>
      <w:pPr>
        <w:numPr>
          <w:ilvl w:val="0"/>
          <w:numId w:val="25"/>
        </w:numPr>
        <w:spacing w:line="560" w:lineRule="exact"/>
        <w:ind w:left="0" w:firstLine="600" w:firstLineChars="200"/>
        <w:rPr>
          <w:rFonts w:eastAsia="方正仿宋简体"/>
          <w:sz w:val="30"/>
          <w:szCs w:val="30"/>
        </w:rPr>
      </w:pPr>
      <w:r>
        <w:rPr>
          <w:rFonts w:eastAsia="方正仿宋简体"/>
          <w:sz w:val="30"/>
          <w:szCs w:val="30"/>
        </w:rPr>
        <w:t>个人投资者申请一级、二级或三级交易权限，应当具备相应的股票期权模拟交易经历。</w:t>
      </w:r>
    </w:p>
    <w:p>
      <w:pPr>
        <w:numPr>
          <w:ilvl w:val="0"/>
          <w:numId w:val="25"/>
        </w:numPr>
        <w:spacing w:line="560" w:lineRule="exact"/>
        <w:ind w:left="0" w:firstLine="600" w:firstLineChars="200"/>
        <w:rPr>
          <w:rFonts w:eastAsia="方正仿宋简体"/>
          <w:sz w:val="30"/>
          <w:szCs w:val="30"/>
        </w:rPr>
      </w:pPr>
      <w:r>
        <w:rPr>
          <w:rFonts w:eastAsia="方正仿宋简体"/>
          <w:sz w:val="30"/>
          <w:szCs w:val="30"/>
        </w:rPr>
        <w:t>已开立沪市衍生品合约账户的个人投资者，可以在深市申请与沪市相同级别的交易权限。</w:t>
      </w:r>
    </w:p>
    <w:p>
      <w:pPr>
        <w:numPr>
          <w:ilvl w:val="0"/>
          <w:numId w:val="17"/>
        </w:numPr>
        <w:spacing w:line="560" w:lineRule="exact"/>
        <w:ind w:left="0" w:firstLine="601" w:firstLineChars="200"/>
        <w:outlineLvl w:val="1"/>
        <w:rPr>
          <w:rFonts w:eastAsia="方正仿宋简体"/>
          <w:b/>
          <w:bCs/>
          <w:kern w:val="0"/>
          <w:sz w:val="30"/>
          <w:szCs w:val="30"/>
          <w:lang w:val="zh-CN" w:eastAsia="zh-CN"/>
        </w:rPr>
      </w:pPr>
      <w:bookmarkStart w:id="103" w:name="_Toc25841989"/>
      <w:bookmarkStart w:id="104" w:name="_Toc408300983"/>
      <w:r>
        <w:rPr>
          <w:rFonts w:eastAsia="方正仿宋简体"/>
          <w:b/>
          <w:bCs/>
          <w:kern w:val="0"/>
          <w:sz w:val="30"/>
          <w:szCs w:val="30"/>
          <w:lang w:val="zh-CN" w:eastAsia="zh-CN"/>
        </w:rPr>
        <w:t>投资者适当性管理综合评估的持续动态管理</w:t>
      </w:r>
      <w:bookmarkEnd w:id="103"/>
      <w:bookmarkEnd w:id="104"/>
    </w:p>
    <w:p>
      <w:pPr>
        <w:keepNext/>
        <w:keepLines/>
        <w:numPr>
          <w:ilvl w:val="0"/>
          <w:numId w:val="26"/>
        </w:numPr>
        <w:spacing w:line="560" w:lineRule="exact"/>
        <w:ind w:left="0" w:firstLine="601" w:firstLineChars="200"/>
        <w:outlineLvl w:val="2"/>
        <w:rPr>
          <w:rFonts w:eastAsia="方正仿宋简体"/>
          <w:b/>
          <w:bCs/>
          <w:kern w:val="0"/>
          <w:sz w:val="30"/>
          <w:szCs w:val="30"/>
          <w:lang w:val="zh-CN" w:eastAsia="zh-CN"/>
        </w:rPr>
      </w:pPr>
      <w:bookmarkStart w:id="105" w:name="_Toc408300984"/>
      <w:r>
        <w:rPr>
          <w:rFonts w:eastAsia="方正仿宋简体"/>
          <w:b/>
          <w:bCs/>
          <w:kern w:val="0"/>
          <w:sz w:val="30"/>
          <w:szCs w:val="30"/>
          <w:lang w:val="zh-CN" w:eastAsia="zh-CN"/>
        </w:rPr>
        <w:t>期权投资者信息更新</w:t>
      </w:r>
      <w:bookmarkEnd w:id="105"/>
    </w:p>
    <w:p>
      <w:pPr>
        <w:spacing w:line="560" w:lineRule="exact"/>
        <w:ind w:firstLine="600" w:firstLineChars="200"/>
        <w:rPr>
          <w:rFonts w:eastAsia="方正仿宋简体"/>
          <w:sz w:val="30"/>
          <w:szCs w:val="30"/>
        </w:rPr>
      </w:pPr>
      <w:r>
        <w:rPr>
          <w:rFonts w:eastAsia="方正仿宋简体"/>
          <w:sz w:val="30"/>
          <w:szCs w:val="30"/>
        </w:rPr>
        <w:t>期货公司应当通过电话、电子邮件、网络、营业部现场交流等方式，动态跟踪投资者开立衍生品合约账户时提供的基本信息，持续了解投资者的基本情况、财务状况以及期权交易参与情况等信息。</w:t>
      </w:r>
    </w:p>
    <w:p>
      <w:pPr>
        <w:spacing w:line="560" w:lineRule="exact"/>
        <w:ind w:firstLine="600" w:firstLineChars="200"/>
        <w:rPr>
          <w:rFonts w:eastAsia="方正仿宋简体"/>
          <w:sz w:val="30"/>
          <w:szCs w:val="30"/>
        </w:rPr>
      </w:pPr>
      <w:r>
        <w:rPr>
          <w:rFonts w:eastAsia="方正仿宋简体"/>
          <w:sz w:val="30"/>
          <w:szCs w:val="30"/>
        </w:rPr>
        <w:t>投资者提供的基本信息发生变化的，应当及时告知期货公司。期货公司发现客户提供的联络方式等重要信息发生变化的，应当及时了解并更新。</w:t>
      </w:r>
    </w:p>
    <w:p>
      <w:pPr>
        <w:keepNext/>
        <w:keepLines/>
        <w:numPr>
          <w:ilvl w:val="0"/>
          <w:numId w:val="26"/>
        </w:numPr>
        <w:spacing w:line="560" w:lineRule="exact"/>
        <w:ind w:left="0" w:firstLine="601" w:firstLineChars="200"/>
        <w:outlineLvl w:val="2"/>
        <w:rPr>
          <w:rFonts w:eastAsia="方正仿宋简体"/>
          <w:b/>
          <w:bCs/>
          <w:kern w:val="0"/>
          <w:sz w:val="30"/>
          <w:szCs w:val="30"/>
          <w:lang w:val="zh-CN" w:eastAsia="zh-CN"/>
        </w:rPr>
      </w:pPr>
      <w:bookmarkStart w:id="106" w:name="_Toc408300985"/>
      <w:r>
        <w:rPr>
          <w:rFonts w:eastAsia="方正仿宋简体"/>
          <w:b/>
          <w:bCs/>
          <w:kern w:val="0"/>
          <w:sz w:val="30"/>
          <w:szCs w:val="30"/>
          <w:lang w:val="zh-CN" w:eastAsia="zh-CN"/>
        </w:rPr>
        <w:t>后续评估</w:t>
      </w:r>
      <w:bookmarkEnd w:id="106"/>
    </w:p>
    <w:p>
      <w:pPr>
        <w:spacing w:line="560" w:lineRule="exact"/>
        <w:ind w:firstLine="600" w:firstLineChars="200"/>
        <w:rPr>
          <w:rFonts w:eastAsia="方正仿宋简体"/>
          <w:sz w:val="30"/>
          <w:szCs w:val="30"/>
        </w:rPr>
      </w:pPr>
      <w:r>
        <w:rPr>
          <w:rFonts w:eastAsia="方正仿宋简体"/>
          <w:sz w:val="30"/>
          <w:szCs w:val="30"/>
        </w:rPr>
        <w:t>期货公司应当根据客户情况的动态跟踪和持续了解，至少每两年对所有已开户的客户的交易情况、诚信记录、风险承受能力、资产状况等进行一次全面评估，判断其是否仍然符合适当性管理以及交易权限分级管理的要求。评估结果应当予以记录留存20年。</w:t>
      </w:r>
    </w:p>
    <w:p>
      <w:pPr>
        <w:keepNext/>
        <w:keepLines/>
        <w:numPr>
          <w:ilvl w:val="0"/>
          <w:numId w:val="26"/>
        </w:numPr>
        <w:spacing w:line="560" w:lineRule="exact"/>
        <w:ind w:left="0" w:firstLine="601" w:firstLineChars="200"/>
        <w:outlineLvl w:val="2"/>
        <w:rPr>
          <w:rFonts w:eastAsia="方正仿宋简体"/>
          <w:b/>
          <w:bCs/>
          <w:kern w:val="0"/>
          <w:sz w:val="30"/>
          <w:szCs w:val="30"/>
          <w:lang w:val="zh-CN" w:eastAsia="zh-CN"/>
        </w:rPr>
      </w:pPr>
      <w:bookmarkStart w:id="107" w:name="_Toc408300986"/>
      <w:r>
        <w:rPr>
          <w:rFonts w:eastAsia="方正仿宋简体"/>
          <w:b/>
          <w:bCs/>
          <w:kern w:val="0"/>
          <w:sz w:val="30"/>
          <w:szCs w:val="30"/>
          <w:lang w:val="zh-CN" w:eastAsia="zh-CN"/>
        </w:rPr>
        <w:t>交易权限调整</w:t>
      </w:r>
      <w:bookmarkEnd w:id="107"/>
    </w:p>
    <w:p>
      <w:pPr>
        <w:spacing w:line="560" w:lineRule="exact"/>
        <w:ind w:firstLine="600" w:firstLineChars="200"/>
        <w:rPr>
          <w:rFonts w:eastAsia="方正仿宋简体"/>
          <w:sz w:val="30"/>
          <w:szCs w:val="30"/>
        </w:rPr>
      </w:pPr>
      <w:r>
        <w:rPr>
          <w:rFonts w:eastAsia="方正仿宋简体"/>
          <w:sz w:val="30"/>
          <w:szCs w:val="30"/>
        </w:rPr>
        <w:t>期货公司根据投资者申请并调整其交易权限或者自行调低投资者交易权限的，应当就调整后可能增加的投资风险或者可能丧失的交易权限对投资者进行充分提示，并对提示材料予以记录留存20年。</w:t>
      </w:r>
    </w:p>
    <w:p>
      <w:pPr>
        <w:numPr>
          <w:ilvl w:val="2"/>
          <w:numId w:val="27"/>
        </w:numPr>
        <w:spacing w:line="560" w:lineRule="exact"/>
        <w:ind w:left="0" w:firstLine="601" w:firstLineChars="200"/>
        <w:rPr>
          <w:rFonts w:eastAsia="方正仿宋简体"/>
          <w:b/>
          <w:sz w:val="30"/>
          <w:szCs w:val="30"/>
        </w:rPr>
      </w:pPr>
      <w:r>
        <w:rPr>
          <w:rFonts w:eastAsia="方正仿宋简体"/>
          <w:b/>
          <w:sz w:val="30"/>
          <w:szCs w:val="30"/>
        </w:rPr>
        <w:t>调高交易权限</w:t>
      </w:r>
    </w:p>
    <w:p>
      <w:pPr>
        <w:spacing w:line="560" w:lineRule="exact"/>
        <w:ind w:firstLine="600" w:firstLineChars="200"/>
        <w:rPr>
          <w:rFonts w:eastAsia="方正仿宋简体"/>
          <w:sz w:val="30"/>
          <w:szCs w:val="30"/>
        </w:rPr>
      </w:pPr>
      <w:r>
        <w:rPr>
          <w:rFonts w:eastAsia="方正仿宋简体"/>
          <w:sz w:val="30"/>
          <w:szCs w:val="30"/>
        </w:rPr>
        <w:t>投资者的知识测试成绩、期权模拟交易经历、风险承受能力以及金融类资产状况等发生变化，且满足更高交易权限对应资格要求的，可以向期货公司申请调高其交易权限。公司总部审核认定投资者的申请符合适当性管理要求的，可以对其交易权限进行调整。期货公司不得自行调高投资者交易权限。</w:t>
      </w:r>
    </w:p>
    <w:p>
      <w:pPr>
        <w:numPr>
          <w:ilvl w:val="2"/>
          <w:numId w:val="27"/>
        </w:numPr>
        <w:spacing w:line="560" w:lineRule="exact"/>
        <w:ind w:left="0" w:firstLine="601" w:firstLineChars="200"/>
        <w:rPr>
          <w:rFonts w:eastAsia="方正仿宋简体"/>
          <w:b/>
          <w:sz w:val="30"/>
          <w:szCs w:val="30"/>
        </w:rPr>
      </w:pPr>
      <w:r>
        <w:rPr>
          <w:rFonts w:eastAsia="方正仿宋简体"/>
          <w:b/>
          <w:sz w:val="30"/>
          <w:szCs w:val="30"/>
        </w:rPr>
        <w:t>调低交易权限</w:t>
      </w:r>
    </w:p>
    <w:p>
      <w:pPr>
        <w:spacing w:line="560" w:lineRule="exact"/>
        <w:ind w:firstLine="600" w:firstLineChars="200"/>
        <w:rPr>
          <w:rFonts w:eastAsia="方正仿宋简体"/>
          <w:sz w:val="30"/>
          <w:szCs w:val="30"/>
        </w:rPr>
      </w:pPr>
      <w:r>
        <w:rPr>
          <w:rFonts w:eastAsia="方正仿宋简体"/>
          <w:sz w:val="30"/>
          <w:szCs w:val="30"/>
        </w:rPr>
        <w:t>投资者可以向期货公司申请调低其交易权限，期货公司应当根据投资者要求，调低其交易权限至相应级别。</w:t>
      </w:r>
    </w:p>
    <w:p>
      <w:pPr>
        <w:spacing w:line="560" w:lineRule="exact"/>
        <w:ind w:firstLine="600" w:firstLineChars="200"/>
        <w:rPr>
          <w:rFonts w:eastAsia="方正仿宋简体"/>
          <w:sz w:val="30"/>
          <w:szCs w:val="30"/>
        </w:rPr>
      </w:pPr>
      <w:r>
        <w:rPr>
          <w:rFonts w:eastAsia="方正仿宋简体"/>
          <w:sz w:val="30"/>
          <w:szCs w:val="30"/>
        </w:rPr>
        <w:t>期货公司发现投资者的实际情况已经不符合其交易权限对应资格要求的，或者出现期权经纪合同中约定的调低交易权限的情形的，可以自行调低投资者交易权限，并应当至少提前3个交易日通过纸面或者电子形式告知投资者，明确提醒投资者因交易权限调低带来的后果，并予以记录留存20年。</w:t>
      </w:r>
    </w:p>
    <w:p>
      <w:pPr>
        <w:numPr>
          <w:ilvl w:val="0"/>
          <w:numId w:val="17"/>
        </w:numPr>
        <w:spacing w:line="560" w:lineRule="exact"/>
        <w:ind w:left="0" w:firstLine="601" w:firstLineChars="200"/>
        <w:outlineLvl w:val="1"/>
        <w:rPr>
          <w:rFonts w:eastAsia="方正仿宋简体"/>
          <w:b/>
          <w:bCs/>
          <w:kern w:val="0"/>
          <w:sz w:val="30"/>
          <w:szCs w:val="30"/>
          <w:lang w:val="zh-CN" w:eastAsia="zh-CN"/>
        </w:rPr>
      </w:pPr>
      <w:bookmarkStart w:id="108" w:name="_Toc25841990"/>
      <w:bookmarkStart w:id="109" w:name="_Toc408300987"/>
      <w:r>
        <w:rPr>
          <w:rFonts w:eastAsia="方正仿宋简体"/>
          <w:b/>
          <w:bCs/>
          <w:kern w:val="0"/>
          <w:sz w:val="30"/>
          <w:szCs w:val="30"/>
          <w:lang w:val="zh-CN" w:eastAsia="zh-CN"/>
        </w:rPr>
        <w:t>客户档案资料管理</w:t>
      </w:r>
      <w:bookmarkEnd w:id="108"/>
      <w:bookmarkEnd w:id="109"/>
    </w:p>
    <w:p>
      <w:pPr>
        <w:spacing w:line="560" w:lineRule="exact"/>
        <w:ind w:firstLine="600" w:firstLineChars="200"/>
        <w:rPr>
          <w:rFonts w:eastAsia="方正仿宋简体"/>
          <w:sz w:val="30"/>
          <w:szCs w:val="30"/>
        </w:rPr>
      </w:pPr>
      <w:r>
        <w:rPr>
          <w:rFonts w:eastAsia="方正仿宋简体"/>
          <w:sz w:val="30"/>
          <w:szCs w:val="30"/>
        </w:rPr>
        <w:t>期货公司应当根据要求对客户股票期权档案资料进行管理，明确总部及分支机构的档案管理工作职责，满足安全、严格保密、合理存放的管理要求。</w:t>
      </w:r>
    </w:p>
    <w:p>
      <w:pPr>
        <w:spacing w:line="560" w:lineRule="exact"/>
        <w:ind w:firstLine="600" w:firstLineChars="200"/>
        <w:rPr>
          <w:rFonts w:eastAsia="方正仿宋简体"/>
          <w:sz w:val="30"/>
          <w:szCs w:val="30"/>
        </w:rPr>
      </w:pPr>
      <w:r>
        <w:rPr>
          <w:rFonts w:eastAsia="方正仿宋简体"/>
          <w:sz w:val="30"/>
          <w:szCs w:val="30"/>
        </w:rPr>
        <w:t>客户股票期权档案资料包括但不限于客户申请开通股票期权业务时提交的资料、客户与期货公司签订的合同文本、客户开立账户时所生成的各类文件资料等。所有资料需要妥善保管至少20年。</w:t>
      </w:r>
    </w:p>
    <w:p>
      <w:pPr>
        <w:numPr>
          <w:ilvl w:val="0"/>
          <w:numId w:val="17"/>
        </w:numPr>
        <w:spacing w:line="560" w:lineRule="exact"/>
        <w:ind w:left="0" w:firstLine="601" w:firstLineChars="200"/>
        <w:outlineLvl w:val="1"/>
        <w:rPr>
          <w:rFonts w:eastAsia="方正仿宋简体"/>
          <w:b/>
          <w:bCs/>
          <w:kern w:val="0"/>
          <w:sz w:val="30"/>
          <w:szCs w:val="30"/>
          <w:lang w:val="zh-CN" w:eastAsia="zh-CN"/>
        </w:rPr>
      </w:pPr>
      <w:bookmarkStart w:id="110" w:name="_Toc25841991"/>
      <w:bookmarkStart w:id="111" w:name="_Toc408300988"/>
      <w:r>
        <w:rPr>
          <w:rFonts w:eastAsia="方正仿宋简体"/>
          <w:b/>
          <w:bCs/>
          <w:kern w:val="0"/>
          <w:sz w:val="30"/>
          <w:szCs w:val="30"/>
          <w:lang w:val="zh-CN" w:eastAsia="zh-CN"/>
        </w:rPr>
        <w:t>持续监督管理</w:t>
      </w:r>
      <w:bookmarkEnd w:id="110"/>
      <w:bookmarkEnd w:id="111"/>
    </w:p>
    <w:p>
      <w:pPr>
        <w:spacing w:line="560" w:lineRule="exact"/>
        <w:ind w:firstLine="600" w:firstLineChars="200"/>
        <w:rPr>
          <w:rFonts w:eastAsia="方正仿宋简体"/>
          <w:sz w:val="30"/>
          <w:szCs w:val="30"/>
        </w:rPr>
      </w:pPr>
      <w:r>
        <w:rPr>
          <w:rFonts w:eastAsia="方正仿宋简体"/>
          <w:sz w:val="30"/>
          <w:szCs w:val="30"/>
        </w:rPr>
        <w:t>本所将对期货公司的投资者适当性评估及分级管理进行持续监督管理，并从越级评估（为投资者评定的级别高于其知识测试级别或模拟交易经历对应级别）、越级交易、信息报备、动态更新、档案管理等多个方面，定期或不定期对期货公司的适当性评估及分级管理进行检查。如发现存在违反投资者适当性管理有关规定的，将根据相关规定进行处理。</w:t>
      </w:r>
    </w:p>
    <w:p>
      <w:pPr>
        <w:keepNext w:val="0"/>
        <w:keepLines w:val="0"/>
        <w:pageBreakBefore w:val="0"/>
        <w:widowControl w:val="0"/>
        <w:numPr>
          <w:ilvl w:val="0"/>
          <w:numId w:val="16"/>
        </w:numPr>
        <w:kinsoku/>
        <w:wordWrap/>
        <w:overflowPunct/>
        <w:topLinePunct w:val="0"/>
        <w:autoSpaceDE/>
        <w:autoSpaceDN/>
        <w:bidi w:val="0"/>
        <w:adjustRightInd/>
        <w:snapToGrid/>
        <w:spacing w:line="560" w:lineRule="exact"/>
        <w:ind w:left="0" w:firstLine="0" w:firstLineChars="0"/>
        <w:jc w:val="center"/>
        <w:textAlignment w:val="auto"/>
        <w:outlineLvl w:val="0"/>
        <w:rPr>
          <w:rFonts w:ascii="黑体" w:hAnsi="黑体" w:eastAsia="黑体"/>
          <w:bCs/>
          <w:sz w:val="30"/>
          <w:szCs w:val="30"/>
        </w:rPr>
      </w:pPr>
      <w:bookmarkStart w:id="112" w:name="_Toc408300989"/>
      <w:r>
        <w:rPr>
          <w:rFonts w:eastAsia="方正仿宋简体"/>
          <w:b/>
          <w:bCs/>
          <w:sz w:val="30"/>
          <w:szCs w:val="30"/>
        </w:rPr>
        <w:br w:type="page"/>
      </w:r>
      <w:bookmarkStart w:id="113" w:name="_Toc25841992"/>
      <w:r>
        <w:rPr>
          <w:rFonts w:ascii="黑体" w:hAnsi="黑体" w:eastAsia="黑体"/>
          <w:bCs/>
          <w:sz w:val="30"/>
          <w:szCs w:val="30"/>
        </w:rPr>
        <w:t>账户管理</w:t>
      </w:r>
      <w:bookmarkEnd w:id="112"/>
      <w:bookmarkEnd w:id="113"/>
    </w:p>
    <w:p>
      <w:pPr>
        <w:numPr>
          <w:ilvl w:val="0"/>
          <w:numId w:val="28"/>
        </w:numPr>
        <w:spacing w:line="560" w:lineRule="exact"/>
        <w:ind w:left="0" w:firstLine="601" w:firstLineChars="200"/>
        <w:outlineLvl w:val="1"/>
        <w:rPr>
          <w:rFonts w:eastAsia="方正仿宋简体"/>
          <w:b/>
          <w:bCs/>
          <w:kern w:val="0"/>
          <w:sz w:val="30"/>
          <w:szCs w:val="30"/>
          <w:lang w:val="zh-CN" w:eastAsia="zh-CN"/>
        </w:rPr>
      </w:pPr>
      <w:bookmarkStart w:id="114" w:name="_Toc25841993"/>
      <w:bookmarkStart w:id="115" w:name="_Toc408300990"/>
      <w:r>
        <w:rPr>
          <w:rFonts w:eastAsia="方正仿宋简体"/>
          <w:b/>
          <w:bCs/>
          <w:kern w:val="0"/>
          <w:sz w:val="30"/>
          <w:szCs w:val="30"/>
          <w:lang w:val="zh-CN" w:eastAsia="zh-CN"/>
        </w:rPr>
        <w:t>账户体系</w:t>
      </w:r>
      <w:bookmarkEnd w:id="114"/>
      <w:bookmarkEnd w:id="115"/>
    </w:p>
    <w:p>
      <w:pPr>
        <w:keepNext/>
        <w:keepLines/>
        <w:numPr>
          <w:ilvl w:val="1"/>
          <w:numId w:val="29"/>
        </w:numPr>
        <w:spacing w:line="560" w:lineRule="exact"/>
        <w:ind w:left="0" w:firstLine="601" w:firstLineChars="200"/>
        <w:outlineLvl w:val="2"/>
        <w:rPr>
          <w:rFonts w:eastAsia="方正仿宋简体"/>
          <w:b/>
          <w:sz w:val="30"/>
          <w:szCs w:val="30"/>
        </w:rPr>
      </w:pPr>
      <w:r>
        <w:rPr>
          <w:rFonts w:eastAsia="方正仿宋简体"/>
          <w:b/>
          <w:sz w:val="30"/>
          <w:szCs w:val="30"/>
        </w:rPr>
        <w:t>客户需要开立的账户</w:t>
      </w:r>
    </w:p>
    <w:p>
      <w:pPr>
        <w:numPr>
          <w:ilvl w:val="2"/>
          <w:numId w:val="30"/>
        </w:numPr>
        <w:spacing w:line="560" w:lineRule="exact"/>
        <w:ind w:left="0" w:firstLine="601" w:firstLineChars="200"/>
        <w:outlineLvl w:val="3"/>
        <w:rPr>
          <w:rFonts w:eastAsia="方正仿宋简体"/>
          <w:b/>
          <w:bCs/>
          <w:kern w:val="0"/>
          <w:sz w:val="30"/>
          <w:szCs w:val="30"/>
          <w:lang w:val="zh-CN" w:eastAsia="zh-CN"/>
        </w:rPr>
      </w:pPr>
      <w:r>
        <w:rPr>
          <w:rFonts w:eastAsia="方正仿宋简体"/>
          <w:b/>
          <w:bCs/>
          <w:kern w:val="0"/>
          <w:sz w:val="30"/>
          <w:szCs w:val="30"/>
          <w:lang w:val="zh-CN" w:eastAsia="zh-CN"/>
        </w:rPr>
        <w:t>证券现货交易相关账户</w:t>
      </w:r>
    </w:p>
    <w:p>
      <w:pPr>
        <w:numPr>
          <w:ilvl w:val="1"/>
          <w:numId w:val="31"/>
        </w:numPr>
        <w:spacing w:line="560" w:lineRule="exact"/>
        <w:ind w:left="0" w:firstLine="600" w:firstLineChars="200"/>
        <w:rPr>
          <w:rFonts w:eastAsia="方正仿宋简体"/>
          <w:sz w:val="30"/>
          <w:szCs w:val="30"/>
        </w:rPr>
      </w:pPr>
      <w:r>
        <w:rPr>
          <w:rFonts w:eastAsia="方正仿宋简体"/>
          <w:sz w:val="30"/>
          <w:szCs w:val="30"/>
        </w:rPr>
        <w:t>证券账户</w:t>
      </w:r>
    </w:p>
    <w:p>
      <w:pPr>
        <w:spacing w:line="560" w:lineRule="exact"/>
        <w:ind w:firstLine="600" w:firstLineChars="200"/>
        <w:rPr>
          <w:rFonts w:eastAsia="方正仿宋简体"/>
          <w:sz w:val="30"/>
          <w:szCs w:val="30"/>
        </w:rPr>
      </w:pPr>
      <w:r>
        <w:rPr>
          <w:rFonts w:eastAsia="方正仿宋简体"/>
          <w:sz w:val="30"/>
          <w:szCs w:val="30"/>
        </w:rPr>
        <w:t>用于证券现货交易。期货公司客户参与期权交易，应当向期货公司申请开立证券账户。</w:t>
      </w:r>
    </w:p>
    <w:p>
      <w:pPr>
        <w:spacing w:line="560" w:lineRule="exact"/>
        <w:ind w:firstLine="600" w:firstLineChars="200"/>
        <w:rPr>
          <w:rFonts w:eastAsia="方正仿宋简体"/>
          <w:sz w:val="30"/>
          <w:szCs w:val="30"/>
        </w:rPr>
      </w:pPr>
      <w:r>
        <w:rPr>
          <w:rFonts w:eastAsia="方正仿宋简体"/>
          <w:sz w:val="30"/>
          <w:szCs w:val="30"/>
        </w:rPr>
        <w:t>期货公司客户参与期权知识测试时，尚未在期货公司开立证券账户的，期货公司可以先为客户开立证券账户，便于客户提交知识测试需要的相关信息，待期货公司完成对客户的适当性管理审核后，再为客户证券账户开通使用权限。</w:t>
      </w:r>
    </w:p>
    <w:p>
      <w:pPr>
        <w:numPr>
          <w:ilvl w:val="1"/>
          <w:numId w:val="31"/>
        </w:numPr>
        <w:spacing w:line="560" w:lineRule="exact"/>
        <w:ind w:left="0" w:firstLine="600" w:firstLineChars="200"/>
        <w:rPr>
          <w:rFonts w:eastAsia="方正仿宋简体"/>
          <w:sz w:val="30"/>
          <w:szCs w:val="30"/>
        </w:rPr>
      </w:pPr>
      <w:r>
        <w:rPr>
          <w:rFonts w:eastAsia="方正仿宋简体"/>
          <w:sz w:val="30"/>
          <w:szCs w:val="30"/>
        </w:rPr>
        <w:t>证券现货资金账户</w:t>
      </w:r>
    </w:p>
    <w:p>
      <w:pPr>
        <w:spacing w:line="560" w:lineRule="exact"/>
        <w:ind w:firstLine="600" w:firstLineChars="200"/>
        <w:rPr>
          <w:rFonts w:eastAsia="方正仿宋简体"/>
          <w:sz w:val="30"/>
          <w:szCs w:val="30"/>
        </w:rPr>
      </w:pPr>
      <w:r>
        <w:rPr>
          <w:rFonts w:eastAsia="方正仿宋简体"/>
          <w:sz w:val="30"/>
          <w:szCs w:val="30"/>
        </w:rPr>
        <w:t>期货公司客户应当在存管银行开立与证券账户相对应的资金账户。</w:t>
      </w:r>
    </w:p>
    <w:p>
      <w:pPr>
        <w:numPr>
          <w:ilvl w:val="2"/>
          <w:numId w:val="30"/>
        </w:numPr>
        <w:spacing w:line="560" w:lineRule="exact"/>
        <w:ind w:left="0" w:firstLine="601" w:firstLineChars="200"/>
        <w:outlineLvl w:val="3"/>
        <w:rPr>
          <w:rFonts w:eastAsia="方正仿宋简体"/>
          <w:b/>
          <w:bCs/>
          <w:kern w:val="0"/>
          <w:sz w:val="30"/>
          <w:szCs w:val="30"/>
          <w:lang w:val="zh-CN" w:eastAsia="zh-CN"/>
        </w:rPr>
      </w:pPr>
      <w:r>
        <w:rPr>
          <w:rFonts w:eastAsia="方正仿宋简体"/>
          <w:b/>
          <w:bCs/>
          <w:kern w:val="0"/>
          <w:sz w:val="30"/>
          <w:szCs w:val="30"/>
          <w:lang w:val="zh-CN" w:eastAsia="zh-CN"/>
        </w:rPr>
        <w:t>股票期权交易相关账户</w:t>
      </w:r>
    </w:p>
    <w:p>
      <w:pPr>
        <w:numPr>
          <w:ilvl w:val="0"/>
          <w:numId w:val="32"/>
        </w:numPr>
        <w:spacing w:line="560" w:lineRule="exact"/>
        <w:ind w:left="0" w:firstLine="600" w:firstLineChars="200"/>
        <w:rPr>
          <w:rFonts w:eastAsia="方正仿宋简体"/>
          <w:sz w:val="30"/>
          <w:szCs w:val="30"/>
        </w:rPr>
      </w:pPr>
      <w:r>
        <w:rPr>
          <w:rFonts w:eastAsia="方正仿宋简体"/>
          <w:sz w:val="30"/>
          <w:szCs w:val="30"/>
        </w:rPr>
        <w:t>衍生品合约账户</w:t>
      </w:r>
    </w:p>
    <w:p>
      <w:pPr>
        <w:spacing w:line="560" w:lineRule="exact"/>
        <w:ind w:firstLine="600" w:firstLineChars="200"/>
        <w:rPr>
          <w:rFonts w:eastAsia="方正仿宋简体"/>
          <w:sz w:val="30"/>
          <w:szCs w:val="30"/>
        </w:rPr>
      </w:pPr>
      <w:r>
        <w:rPr>
          <w:rFonts w:eastAsia="方正仿宋简体"/>
          <w:sz w:val="30"/>
          <w:szCs w:val="30"/>
        </w:rPr>
        <w:t>投资者向期货公司申请开立衍生品合约账户，期货公司向中国结算报送账户注册资料等信息，并申请配发编号。中国结算根据期货公司提交的配号申请，按照证券账户号码加标示码（标识码为结算参与人对应的6位股票期权自营或客户结算账号）的配号规则发放合约账户号码。</w:t>
      </w:r>
    </w:p>
    <w:p>
      <w:pPr>
        <w:spacing w:line="560" w:lineRule="exact"/>
        <w:ind w:firstLine="600" w:firstLineChars="200"/>
        <w:rPr>
          <w:rFonts w:eastAsia="方正仿宋简体"/>
          <w:sz w:val="30"/>
          <w:szCs w:val="30"/>
        </w:rPr>
      </w:pPr>
      <w:r>
        <w:rPr>
          <w:rFonts w:eastAsia="方正仿宋简体"/>
          <w:sz w:val="30"/>
          <w:szCs w:val="30"/>
        </w:rPr>
        <w:t>衍生品合约账户与申请配号提供的投资者深市A股证券账户建立对应关系，用于客户股票期权交易、行权申报和记录股票期权合约持仓信息等。</w:t>
      </w:r>
    </w:p>
    <w:p>
      <w:pPr>
        <w:numPr>
          <w:ilvl w:val="0"/>
          <w:numId w:val="32"/>
        </w:numPr>
        <w:spacing w:line="560" w:lineRule="exact"/>
        <w:ind w:left="0" w:firstLine="600" w:firstLineChars="200"/>
        <w:rPr>
          <w:rFonts w:eastAsia="方正仿宋简体"/>
          <w:sz w:val="30"/>
          <w:szCs w:val="30"/>
        </w:rPr>
      </w:pPr>
      <w:r>
        <w:rPr>
          <w:rFonts w:eastAsia="方正仿宋简体"/>
          <w:color w:val="000000"/>
          <w:sz w:val="30"/>
          <w:szCs w:val="30"/>
        </w:rPr>
        <w:t>股票期权</w:t>
      </w:r>
      <w:r>
        <w:rPr>
          <w:rFonts w:eastAsia="方正仿宋简体"/>
          <w:sz w:val="30"/>
          <w:szCs w:val="30"/>
        </w:rPr>
        <w:t>保证金账户</w:t>
      </w:r>
    </w:p>
    <w:p>
      <w:pPr>
        <w:spacing w:line="560" w:lineRule="exact"/>
        <w:ind w:firstLine="600" w:firstLineChars="200"/>
        <w:rPr>
          <w:rFonts w:eastAsia="方正仿宋简体"/>
          <w:sz w:val="30"/>
          <w:szCs w:val="30"/>
        </w:rPr>
      </w:pPr>
      <w:r>
        <w:rPr>
          <w:rFonts w:eastAsia="方正仿宋简体"/>
          <w:color w:val="000000"/>
          <w:sz w:val="30"/>
          <w:szCs w:val="30"/>
        </w:rPr>
        <w:t>股票期权</w:t>
      </w:r>
      <w:r>
        <w:rPr>
          <w:rFonts w:eastAsia="方正仿宋简体"/>
          <w:sz w:val="30"/>
          <w:szCs w:val="30"/>
        </w:rPr>
        <w:t>保证金账户用于权利金和行权资金的交收及股票期权保证金的存放。期货公司客户可以复用其期货保证金账户。</w:t>
      </w:r>
    </w:p>
    <w:p>
      <w:pPr>
        <w:numPr>
          <w:ilvl w:val="0"/>
          <w:numId w:val="32"/>
        </w:numPr>
        <w:spacing w:line="560" w:lineRule="exact"/>
        <w:ind w:left="0" w:firstLine="600" w:firstLineChars="200"/>
        <w:rPr>
          <w:rFonts w:eastAsia="方正仿宋简体"/>
          <w:sz w:val="30"/>
          <w:szCs w:val="30"/>
        </w:rPr>
      </w:pPr>
      <w:r>
        <w:rPr>
          <w:rFonts w:eastAsia="方正仿宋简体"/>
          <w:sz w:val="30"/>
          <w:szCs w:val="30"/>
        </w:rPr>
        <w:t>银行结算账户</w:t>
      </w:r>
    </w:p>
    <w:p>
      <w:pPr>
        <w:spacing w:line="560" w:lineRule="exact"/>
        <w:ind w:firstLine="600" w:firstLineChars="200"/>
        <w:rPr>
          <w:rFonts w:eastAsia="方正仿宋简体"/>
          <w:sz w:val="30"/>
          <w:szCs w:val="30"/>
        </w:rPr>
      </w:pPr>
      <w:r>
        <w:rPr>
          <w:rFonts w:eastAsia="方正仿宋简体"/>
          <w:sz w:val="30"/>
          <w:szCs w:val="30"/>
        </w:rPr>
        <w:t>银行结算账户用于与股票期权保证金账户之间的资金划转，期货公司客户可复用其银行结算账户。</w:t>
      </w:r>
    </w:p>
    <w:p>
      <w:pPr>
        <w:keepNext/>
        <w:keepLines/>
        <w:numPr>
          <w:ilvl w:val="1"/>
          <w:numId w:val="29"/>
        </w:numPr>
        <w:spacing w:line="560" w:lineRule="exact"/>
        <w:ind w:left="0" w:firstLine="601" w:firstLineChars="200"/>
        <w:outlineLvl w:val="2"/>
        <w:rPr>
          <w:rFonts w:eastAsia="方正仿宋简体"/>
          <w:b/>
          <w:sz w:val="30"/>
          <w:szCs w:val="30"/>
        </w:rPr>
      </w:pPr>
      <w:r>
        <w:rPr>
          <w:rFonts w:eastAsia="方正仿宋简体"/>
          <w:b/>
          <w:sz w:val="30"/>
          <w:szCs w:val="30"/>
        </w:rPr>
        <w:t>期货公司需要开立的账户</w:t>
      </w:r>
    </w:p>
    <w:p>
      <w:pPr>
        <w:numPr>
          <w:ilvl w:val="2"/>
          <w:numId w:val="33"/>
        </w:numPr>
        <w:spacing w:line="560" w:lineRule="exact"/>
        <w:ind w:left="0" w:firstLine="601" w:firstLineChars="200"/>
        <w:rPr>
          <w:rFonts w:eastAsia="方正仿宋简体"/>
          <w:b/>
          <w:sz w:val="30"/>
          <w:szCs w:val="30"/>
        </w:rPr>
      </w:pPr>
      <w:r>
        <w:rPr>
          <w:rFonts w:eastAsia="方正仿宋简体"/>
          <w:b/>
          <w:sz w:val="30"/>
          <w:szCs w:val="30"/>
        </w:rPr>
        <w:t>证券现货交易相关账户</w:t>
      </w:r>
    </w:p>
    <w:p>
      <w:pPr>
        <w:spacing w:line="560" w:lineRule="exact"/>
        <w:ind w:firstLine="600" w:firstLineChars="200"/>
        <w:rPr>
          <w:rFonts w:eastAsia="方正仿宋简体"/>
          <w:sz w:val="30"/>
          <w:szCs w:val="30"/>
        </w:rPr>
      </w:pPr>
      <w:r>
        <w:rPr>
          <w:rFonts w:eastAsia="方正仿宋简体"/>
          <w:sz w:val="30"/>
          <w:szCs w:val="30"/>
        </w:rPr>
        <w:t>期货公司参与股票期权业务的现货交易相关账户体系可以参照证券公司股票交易账户体系设置。主要账户如下：</w:t>
      </w:r>
    </w:p>
    <w:p>
      <w:pPr>
        <w:numPr>
          <w:ilvl w:val="1"/>
          <w:numId w:val="34"/>
        </w:numPr>
        <w:spacing w:line="560" w:lineRule="exact"/>
        <w:ind w:left="0" w:firstLine="600" w:firstLineChars="200"/>
        <w:rPr>
          <w:rFonts w:eastAsia="方正仿宋简体"/>
          <w:sz w:val="30"/>
          <w:szCs w:val="30"/>
        </w:rPr>
      </w:pPr>
      <w:r>
        <w:rPr>
          <w:rFonts w:eastAsia="方正仿宋简体"/>
          <w:sz w:val="30"/>
          <w:szCs w:val="30"/>
        </w:rPr>
        <w:t>资金交收账户（结算备付金账户）</w:t>
      </w:r>
    </w:p>
    <w:p>
      <w:pPr>
        <w:spacing w:line="560" w:lineRule="exact"/>
        <w:ind w:firstLine="600" w:firstLineChars="200"/>
        <w:rPr>
          <w:rFonts w:eastAsia="方正仿宋简体"/>
          <w:sz w:val="30"/>
          <w:szCs w:val="30"/>
        </w:rPr>
      </w:pPr>
      <w:r>
        <w:rPr>
          <w:rFonts w:eastAsia="方正仿宋简体"/>
          <w:sz w:val="30"/>
          <w:szCs w:val="30"/>
        </w:rPr>
        <w:t>用于办理期货公司与中国结算之间针对备兑开仓以及行权相关的证券交易的资金交收。</w:t>
      </w:r>
    </w:p>
    <w:p>
      <w:pPr>
        <w:numPr>
          <w:ilvl w:val="1"/>
          <w:numId w:val="34"/>
        </w:numPr>
        <w:spacing w:line="560" w:lineRule="exact"/>
        <w:ind w:left="0" w:firstLine="600" w:firstLineChars="200"/>
        <w:rPr>
          <w:rFonts w:eastAsia="方正仿宋简体"/>
          <w:sz w:val="30"/>
          <w:szCs w:val="30"/>
        </w:rPr>
      </w:pPr>
      <w:r>
        <w:rPr>
          <w:rFonts w:eastAsia="方正仿宋简体"/>
          <w:sz w:val="30"/>
          <w:szCs w:val="30"/>
        </w:rPr>
        <w:t>客户交易结算资金专用存款账户</w:t>
      </w:r>
    </w:p>
    <w:p>
      <w:pPr>
        <w:spacing w:line="560" w:lineRule="exact"/>
        <w:ind w:firstLine="600" w:firstLineChars="200"/>
        <w:rPr>
          <w:rFonts w:eastAsia="方正仿宋简体"/>
          <w:sz w:val="30"/>
          <w:szCs w:val="30"/>
        </w:rPr>
      </w:pPr>
      <w:r>
        <w:rPr>
          <w:rFonts w:eastAsia="方正仿宋简体"/>
          <w:sz w:val="30"/>
          <w:szCs w:val="30"/>
        </w:rPr>
        <w:t>期货公司需要就相应的证券交易在结算银行开立客户交易结算资金专用存款账户，用于存放客户现货交易结算资金。</w:t>
      </w:r>
    </w:p>
    <w:p>
      <w:pPr>
        <w:numPr>
          <w:ilvl w:val="2"/>
          <w:numId w:val="33"/>
        </w:numPr>
        <w:spacing w:line="560" w:lineRule="exact"/>
        <w:ind w:left="0" w:firstLine="601" w:firstLineChars="200"/>
        <w:rPr>
          <w:rFonts w:eastAsia="方正仿宋简体"/>
          <w:b/>
          <w:sz w:val="30"/>
          <w:szCs w:val="30"/>
        </w:rPr>
      </w:pPr>
      <w:r>
        <w:rPr>
          <w:rFonts w:eastAsia="方正仿宋简体"/>
          <w:b/>
          <w:sz w:val="30"/>
          <w:szCs w:val="30"/>
        </w:rPr>
        <w:t>股票期权交易相关账户</w:t>
      </w:r>
    </w:p>
    <w:p>
      <w:pPr>
        <w:numPr>
          <w:ilvl w:val="0"/>
          <w:numId w:val="35"/>
        </w:numPr>
        <w:spacing w:line="560" w:lineRule="exact"/>
        <w:ind w:left="0" w:firstLine="600" w:firstLineChars="200"/>
        <w:rPr>
          <w:rFonts w:eastAsia="方正仿宋简体"/>
          <w:sz w:val="30"/>
          <w:szCs w:val="30"/>
        </w:rPr>
      </w:pPr>
      <w:r>
        <w:rPr>
          <w:rFonts w:eastAsia="方正仿宋简体"/>
          <w:sz w:val="30"/>
          <w:szCs w:val="30"/>
        </w:rPr>
        <w:t>客户股票期权保证金账户</w:t>
      </w:r>
    </w:p>
    <w:p>
      <w:pPr>
        <w:spacing w:line="560" w:lineRule="exact"/>
        <w:ind w:firstLine="600" w:firstLineChars="200"/>
        <w:rPr>
          <w:rFonts w:eastAsia="方正仿宋简体"/>
          <w:sz w:val="30"/>
          <w:szCs w:val="30"/>
        </w:rPr>
      </w:pPr>
      <w:r>
        <w:rPr>
          <w:rFonts w:eastAsia="方正仿宋简体"/>
          <w:sz w:val="30"/>
          <w:szCs w:val="30"/>
        </w:rPr>
        <w:t>具备中国结算深圳分公司结算股票期权保证金账户参与人资格的期货公司在中国结算深圳分公司开立客户股票期权保证金账户，用于客户股票期权业务的资金交收。</w:t>
      </w:r>
    </w:p>
    <w:p>
      <w:pPr>
        <w:numPr>
          <w:ilvl w:val="0"/>
          <w:numId w:val="35"/>
        </w:numPr>
        <w:spacing w:line="560" w:lineRule="exact"/>
        <w:ind w:left="0" w:firstLine="600" w:firstLineChars="200"/>
        <w:rPr>
          <w:rFonts w:eastAsia="方正仿宋简体"/>
          <w:sz w:val="30"/>
          <w:szCs w:val="30"/>
        </w:rPr>
      </w:pPr>
      <w:r>
        <w:rPr>
          <w:rFonts w:eastAsia="方正仿宋简体"/>
          <w:sz w:val="30"/>
          <w:szCs w:val="30"/>
        </w:rPr>
        <w:t>客户衍生品结算资金汇总账户</w:t>
      </w:r>
    </w:p>
    <w:p>
      <w:pPr>
        <w:spacing w:line="560" w:lineRule="exact"/>
        <w:ind w:firstLine="600" w:firstLineChars="200"/>
        <w:rPr>
          <w:rFonts w:eastAsia="方正仿宋简体"/>
          <w:sz w:val="30"/>
          <w:szCs w:val="30"/>
        </w:rPr>
      </w:pPr>
      <w:r>
        <w:rPr>
          <w:rFonts w:eastAsia="方正仿宋简体"/>
          <w:sz w:val="30"/>
          <w:szCs w:val="30"/>
        </w:rPr>
        <w:t>期货公司可以复用其在结算银行开立的期货保证金账户，无需另行在结算银行开立客户衍生品结算资金汇总账户。</w:t>
      </w:r>
    </w:p>
    <w:p>
      <w:pPr>
        <w:numPr>
          <w:ilvl w:val="0"/>
          <w:numId w:val="35"/>
        </w:numPr>
        <w:spacing w:line="560" w:lineRule="exact"/>
        <w:ind w:left="0" w:firstLine="600" w:firstLineChars="200"/>
        <w:rPr>
          <w:rFonts w:eastAsia="方正仿宋简体"/>
          <w:sz w:val="30"/>
          <w:szCs w:val="30"/>
        </w:rPr>
      </w:pPr>
      <w:r>
        <w:rPr>
          <w:rFonts w:eastAsia="方正仿宋简体"/>
          <w:sz w:val="30"/>
          <w:szCs w:val="30"/>
        </w:rPr>
        <w:t>证券处置账户</w:t>
      </w:r>
    </w:p>
    <w:p>
      <w:pPr>
        <w:spacing w:line="560" w:lineRule="exact"/>
        <w:ind w:firstLine="600" w:firstLineChars="200"/>
        <w:rPr>
          <w:rFonts w:eastAsia="方正仿宋简体"/>
          <w:sz w:val="30"/>
          <w:szCs w:val="30"/>
        </w:rPr>
      </w:pPr>
      <w:r>
        <w:rPr>
          <w:rFonts w:eastAsia="方正仿宋简体"/>
          <w:sz w:val="30"/>
          <w:szCs w:val="30"/>
        </w:rPr>
        <w:t>结算参与人在业务开展前向中国结算申请开立证券处置账户。如结算参与人的客户出现行权资金交收违约，结算参与人可以通过交易系统发出指令，委托中国结算将客户行权应得标的证券划付到其证券处置账户内，并可根据相关规定或与客户的约定对证券处置账户内的客户行权标的证券予以处置。</w:t>
      </w:r>
    </w:p>
    <w:p>
      <w:pPr>
        <w:numPr>
          <w:ilvl w:val="0"/>
          <w:numId w:val="28"/>
        </w:numPr>
        <w:spacing w:line="560" w:lineRule="exact"/>
        <w:ind w:left="0" w:firstLine="601" w:firstLineChars="200"/>
        <w:outlineLvl w:val="1"/>
        <w:rPr>
          <w:rFonts w:eastAsia="方正仿宋简体"/>
          <w:b/>
          <w:bCs/>
          <w:kern w:val="0"/>
          <w:sz w:val="30"/>
          <w:szCs w:val="30"/>
          <w:lang w:val="zh-CN" w:eastAsia="zh-CN"/>
        </w:rPr>
      </w:pPr>
      <w:bookmarkStart w:id="116" w:name="_Toc25841994"/>
      <w:bookmarkStart w:id="117" w:name="_Toc408300991"/>
      <w:r>
        <w:rPr>
          <w:rFonts w:eastAsia="方正仿宋简体"/>
          <w:b/>
          <w:bCs/>
          <w:kern w:val="0"/>
          <w:sz w:val="30"/>
          <w:szCs w:val="30"/>
          <w:lang w:val="zh-CN"/>
        </w:rPr>
        <w:t>衍生品合约</w:t>
      </w:r>
      <w:r>
        <w:rPr>
          <w:rFonts w:eastAsia="方正仿宋简体"/>
          <w:b/>
          <w:bCs/>
          <w:kern w:val="0"/>
          <w:sz w:val="30"/>
          <w:szCs w:val="30"/>
          <w:lang w:val="zh-CN" w:eastAsia="zh-CN"/>
        </w:rPr>
        <w:t>账户</w:t>
      </w:r>
      <w:r>
        <w:rPr>
          <w:rFonts w:eastAsia="方正仿宋简体"/>
          <w:b/>
          <w:bCs/>
          <w:kern w:val="0"/>
          <w:sz w:val="30"/>
          <w:szCs w:val="30"/>
          <w:lang w:val="zh-CN"/>
        </w:rPr>
        <w:t>的</w:t>
      </w:r>
      <w:r>
        <w:rPr>
          <w:rFonts w:eastAsia="方正仿宋简体"/>
          <w:b/>
          <w:bCs/>
          <w:kern w:val="0"/>
          <w:sz w:val="30"/>
          <w:szCs w:val="30"/>
          <w:lang w:val="zh-CN" w:eastAsia="zh-CN"/>
        </w:rPr>
        <w:t>开立与管理</w:t>
      </w:r>
      <w:bookmarkEnd w:id="116"/>
      <w:bookmarkEnd w:id="117"/>
    </w:p>
    <w:p>
      <w:pPr>
        <w:keepNext/>
        <w:keepLines/>
        <w:numPr>
          <w:ilvl w:val="0"/>
          <w:numId w:val="36"/>
        </w:numPr>
        <w:spacing w:line="560" w:lineRule="exact"/>
        <w:ind w:left="0" w:firstLine="601" w:firstLineChars="200"/>
        <w:outlineLvl w:val="2"/>
        <w:rPr>
          <w:rFonts w:eastAsia="方正仿宋简体"/>
          <w:b/>
          <w:bCs/>
          <w:kern w:val="0"/>
          <w:sz w:val="30"/>
          <w:szCs w:val="30"/>
          <w:lang w:val="zh-CN" w:eastAsia="zh-CN"/>
        </w:rPr>
      </w:pPr>
      <w:r>
        <w:rPr>
          <w:rFonts w:eastAsia="方正仿宋简体"/>
          <w:b/>
          <w:bCs/>
          <w:kern w:val="0"/>
          <w:sz w:val="30"/>
          <w:szCs w:val="30"/>
          <w:lang w:val="zh-CN" w:eastAsia="zh-CN"/>
        </w:rPr>
        <w:t>个人投资者股票期权开户</w:t>
      </w:r>
    </w:p>
    <w:p>
      <w:pPr>
        <w:numPr>
          <w:ilvl w:val="0"/>
          <w:numId w:val="37"/>
        </w:numPr>
        <w:spacing w:line="560" w:lineRule="exact"/>
        <w:ind w:left="0" w:firstLine="601" w:firstLineChars="200"/>
        <w:outlineLvl w:val="3"/>
        <w:rPr>
          <w:rFonts w:eastAsia="方正仿宋简体"/>
          <w:bCs/>
          <w:kern w:val="0"/>
          <w:sz w:val="30"/>
          <w:szCs w:val="30"/>
          <w:lang w:val="zh-CN" w:eastAsia="zh-CN"/>
        </w:rPr>
      </w:pPr>
      <w:r>
        <w:rPr>
          <w:rFonts w:eastAsia="方正仿宋简体"/>
          <w:b/>
          <w:bCs/>
          <w:kern w:val="0"/>
          <w:sz w:val="30"/>
          <w:szCs w:val="30"/>
          <w:lang w:val="zh-CN" w:eastAsia="zh-CN"/>
        </w:rPr>
        <w:t>投资者开户需要准备的资料</w:t>
      </w:r>
    </w:p>
    <w:p>
      <w:pPr>
        <w:spacing w:line="560" w:lineRule="exact"/>
        <w:ind w:firstLine="600" w:firstLineChars="200"/>
        <w:rPr>
          <w:rFonts w:eastAsia="方正仿宋简体"/>
          <w:sz w:val="30"/>
          <w:szCs w:val="30"/>
        </w:rPr>
      </w:pPr>
      <w:r>
        <w:rPr>
          <w:rFonts w:eastAsia="方正仿宋简体"/>
          <w:sz w:val="30"/>
          <w:szCs w:val="30"/>
        </w:rPr>
        <w:t>1.1 身份证</w:t>
      </w:r>
    </w:p>
    <w:p>
      <w:pPr>
        <w:spacing w:line="560" w:lineRule="exact"/>
        <w:ind w:firstLine="600" w:firstLineChars="200"/>
        <w:rPr>
          <w:rFonts w:eastAsia="方正仿宋简体"/>
          <w:sz w:val="30"/>
          <w:szCs w:val="30"/>
        </w:rPr>
      </w:pPr>
      <w:r>
        <w:rPr>
          <w:rFonts w:eastAsia="方正仿宋简体"/>
          <w:sz w:val="30"/>
          <w:szCs w:val="30"/>
        </w:rPr>
        <w:t>1.2 融资融券业务账户证明（已开立融资融券账户投资者）或期货公司出具的金融期货交易结算单</w:t>
      </w:r>
    </w:p>
    <w:p>
      <w:pPr>
        <w:spacing w:line="560" w:lineRule="exact"/>
        <w:ind w:firstLine="600" w:firstLineChars="200"/>
        <w:rPr>
          <w:rFonts w:eastAsia="方正仿宋简体"/>
          <w:sz w:val="30"/>
          <w:szCs w:val="30"/>
        </w:rPr>
      </w:pPr>
      <w:r>
        <w:rPr>
          <w:rFonts w:eastAsia="方正仿宋简体"/>
          <w:sz w:val="30"/>
          <w:szCs w:val="30"/>
        </w:rPr>
        <w:t>1.3 期货公司要求的其他材料</w:t>
      </w:r>
    </w:p>
    <w:p>
      <w:pPr>
        <w:numPr>
          <w:ilvl w:val="0"/>
          <w:numId w:val="37"/>
        </w:numPr>
        <w:spacing w:line="560" w:lineRule="exact"/>
        <w:ind w:left="0" w:firstLine="601" w:firstLineChars="200"/>
        <w:outlineLvl w:val="3"/>
        <w:rPr>
          <w:rFonts w:eastAsia="方正仿宋简体"/>
          <w:b/>
          <w:bCs/>
          <w:kern w:val="0"/>
          <w:sz w:val="30"/>
          <w:szCs w:val="30"/>
          <w:lang w:val="zh-CN" w:eastAsia="zh-CN"/>
        </w:rPr>
      </w:pPr>
      <w:r>
        <w:rPr>
          <w:rFonts w:eastAsia="方正仿宋简体"/>
          <w:b/>
          <w:bCs/>
          <w:kern w:val="0"/>
          <w:sz w:val="30"/>
          <w:szCs w:val="30"/>
          <w:lang w:val="zh-CN" w:eastAsia="zh-CN"/>
        </w:rPr>
        <w:t>营业部资格初审</w:t>
      </w:r>
    </w:p>
    <w:p>
      <w:pPr>
        <w:spacing w:line="560" w:lineRule="exact"/>
        <w:ind w:firstLine="600" w:firstLineChars="200"/>
        <w:rPr>
          <w:rFonts w:eastAsia="方正仿宋简体"/>
          <w:sz w:val="30"/>
          <w:szCs w:val="30"/>
        </w:rPr>
      </w:pPr>
      <w:r>
        <w:rPr>
          <w:rFonts w:eastAsia="方正仿宋简体"/>
          <w:kern w:val="0"/>
          <w:sz w:val="30"/>
          <w:szCs w:val="30"/>
        </w:rPr>
        <w:t>营业部根据本指南第三章</w:t>
      </w:r>
      <w:r>
        <w:rPr>
          <w:rFonts w:eastAsia="方正仿宋简体"/>
          <w:sz w:val="30"/>
          <w:szCs w:val="30"/>
        </w:rPr>
        <w:t>投资者</w:t>
      </w:r>
      <w:r>
        <w:rPr>
          <w:rFonts w:eastAsia="方正仿宋简体"/>
          <w:kern w:val="0"/>
          <w:sz w:val="30"/>
          <w:szCs w:val="30"/>
        </w:rPr>
        <w:t>适当性管理的认定标准进行资格初审。</w:t>
      </w:r>
    </w:p>
    <w:p>
      <w:pPr>
        <w:spacing w:line="560" w:lineRule="exact"/>
        <w:ind w:firstLine="600" w:firstLineChars="200"/>
        <w:rPr>
          <w:rFonts w:eastAsia="方正仿宋简体"/>
          <w:sz w:val="30"/>
          <w:szCs w:val="30"/>
        </w:rPr>
      </w:pPr>
      <w:r>
        <w:rPr>
          <w:rFonts w:eastAsia="方正仿宋简体"/>
          <w:sz w:val="30"/>
          <w:szCs w:val="30"/>
        </w:rPr>
        <w:t>2.1核对投资者身份证明文件</w:t>
      </w:r>
    </w:p>
    <w:p>
      <w:pPr>
        <w:spacing w:line="560" w:lineRule="exact"/>
        <w:ind w:firstLine="600" w:firstLineChars="200"/>
        <w:rPr>
          <w:rFonts w:eastAsia="方正仿宋简体"/>
          <w:sz w:val="30"/>
          <w:szCs w:val="30"/>
        </w:rPr>
      </w:pPr>
      <w:r>
        <w:rPr>
          <w:rFonts w:eastAsia="方正仿宋简体"/>
          <w:sz w:val="30"/>
          <w:szCs w:val="30"/>
        </w:rPr>
        <w:t>必须投资者本人持有效证件临柜开户。</w:t>
      </w:r>
    </w:p>
    <w:p>
      <w:pPr>
        <w:spacing w:line="560" w:lineRule="exact"/>
        <w:ind w:firstLine="600" w:firstLineChars="200"/>
        <w:rPr>
          <w:rFonts w:eastAsia="方正仿宋简体"/>
          <w:sz w:val="30"/>
          <w:szCs w:val="30"/>
        </w:rPr>
      </w:pPr>
      <w:r>
        <w:rPr>
          <w:rFonts w:eastAsia="方正仿宋简体"/>
          <w:sz w:val="30"/>
          <w:szCs w:val="30"/>
        </w:rPr>
        <w:t>2.2核对深市Ａ股证券账户及衍生品合约账户</w:t>
      </w:r>
    </w:p>
    <w:p>
      <w:pPr>
        <w:spacing w:line="560" w:lineRule="exact"/>
        <w:ind w:firstLine="600" w:firstLineChars="200"/>
        <w:rPr>
          <w:rFonts w:eastAsia="方正仿宋简体"/>
          <w:sz w:val="30"/>
          <w:szCs w:val="30"/>
        </w:rPr>
      </w:pPr>
      <w:r>
        <w:rPr>
          <w:rFonts w:eastAsia="方正仿宋简体"/>
          <w:sz w:val="30"/>
          <w:szCs w:val="30"/>
        </w:rPr>
        <w:t>核对该投资者是否有已开立衍生品合约账户的深市A股证券账户。</w:t>
      </w:r>
    </w:p>
    <w:p>
      <w:pPr>
        <w:spacing w:line="560" w:lineRule="exact"/>
        <w:ind w:firstLine="600" w:firstLineChars="200"/>
        <w:rPr>
          <w:rFonts w:eastAsia="方正仿宋简体"/>
          <w:sz w:val="30"/>
          <w:szCs w:val="30"/>
        </w:rPr>
      </w:pPr>
      <w:r>
        <w:rPr>
          <w:rFonts w:eastAsia="方正仿宋简体"/>
          <w:sz w:val="30"/>
          <w:szCs w:val="30"/>
        </w:rPr>
        <w:t>（1）如投资者已在其他期权经营机构处开立深市衍生品合约账户，则本次仍须使用同一深市A股证券账户进行衍生品合约账户开立。</w:t>
      </w:r>
    </w:p>
    <w:p>
      <w:pPr>
        <w:spacing w:line="560" w:lineRule="exact"/>
        <w:ind w:firstLine="600" w:firstLineChars="200"/>
        <w:rPr>
          <w:rFonts w:eastAsia="方正仿宋简体"/>
          <w:sz w:val="30"/>
          <w:szCs w:val="30"/>
        </w:rPr>
      </w:pPr>
      <w:r>
        <w:rPr>
          <w:rFonts w:eastAsia="方正仿宋简体"/>
          <w:sz w:val="30"/>
          <w:szCs w:val="30"/>
        </w:rPr>
        <w:t>（2）如投资者未有深市A股证券账户对应的衍生品合约账户，则核对该投资者是否已有账户状态正常的合格深市A股证券账户。若已有账户状态正常的合格深市A股证券账户，核对通过；若无账户状态正常的合格深市A股证券账户，需首先开立深市A股证券账户。</w:t>
      </w:r>
    </w:p>
    <w:p>
      <w:pPr>
        <w:spacing w:line="560" w:lineRule="exact"/>
        <w:ind w:firstLine="600" w:firstLineChars="200"/>
        <w:rPr>
          <w:rFonts w:eastAsia="方正仿宋简体"/>
          <w:sz w:val="30"/>
          <w:szCs w:val="30"/>
        </w:rPr>
      </w:pPr>
      <w:r>
        <w:rPr>
          <w:rFonts w:eastAsia="方正仿宋简体"/>
          <w:sz w:val="30"/>
          <w:szCs w:val="30"/>
        </w:rPr>
        <w:t>2.3核对持有的资产</w:t>
      </w:r>
    </w:p>
    <w:p>
      <w:pPr>
        <w:spacing w:line="560" w:lineRule="exact"/>
        <w:ind w:firstLine="600" w:firstLineChars="200"/>
        <w:rPr>
          <w:rFonts w:eastAsia="方正仿宋简体"/>
          <w:sz w:val="30"/>
          <w:szCs w:val="30"/>
        </w:rPr>
      </w:pPr>
      <w:r>
        <w:rPr>
          <w:rFonts w:eastAsia="方正仿宋简体"/>
          <w:sz w:val="30"/>
          <w:szCs w:val="30"/>
        </w:rPr>
        <w:t>2.4核对交易经历</w:t>
      </w:r>
    </w:p>
    <w:p>
      <w:pPr>
        <w:spacing w:line="560" w:lineRule="exact"/>
        <w:ind w:firstLine="600" w:firstLineChars="200"/>
        <w:rPr>
          <w:rFonts w:eastAsia="方正仿宋简体"/>
          <w:sz w:val="30"/>
          <w:szCs w:val="30"/>
        </w:rPr>
      </w:pPr>
      <w:r>
        <w:rPr>
          <w:rFonts w:eastAsia="方正仿宋简体"/>
          <w:sz w:val="30"/>
          <w:szCs w:val="30"/>
        </w:rPr>
        <w:t>2.5核对股票期权模拟交易经历</w:t>
      </w:r>
    </w:p>
    <w:p>
      <w:pPr>
        <w:spacing w:line="560" w:lineRule="exact"/>
        <w:ind w:firstLine="600" w:firstLineChars="200"/>
        <w:rPr>
          <w:rFonts w:eastAsia="方正仿宋简体"/>
          <w:sz w:val="30"/>
          <w:szCs w:val="30"/>
        </w:rPr>
      </w:pPr>
      <w:r>
        <w:rPr>
          <w:rFonts w:eastAsia="方正仿宋简体"/>
          <w:sz w:val="30"/>
          <w:szCs w:val="30"/>
        </w:rPr>
        <w:t>2.6核对知识测试成绩</w:t>
      </w:r>
    </w:p>
    <w:p>
      <w:pPr>
        <w:spacing w:line="560" w:lineRule="exact"/>
        <w:ind w:firstLine="600" w:firstLineChars="200"/>
        <w:rPr>
          <w:rFonts w:eastAsia="方正仿宋简体"/>
          <w:sz w:val="30"/>
          <w:szCs w:val="30"/>
        </w:rPr>
      </w:pPr>
      <w:r>
        <w:rPr>
          <w:rFonts w:eastAsia="方正仿宋简体"/>
          <w:sz w:val="30"/>
          <w:szCs w:val="30"/>
        </w:rPr>
        <w:t>2.7评估客户风险承受能力</w:t>
      </w:r>
    </w:p>
    <w:p>
      <w:pPr>
        <w:spacing w:line="560" w:lineRule="exact"/>
        <w:ind w:firstLine="600" w:firstLineChars="200"/>
        <w:rPr>
          <w:rFonts w:eastAsia="方正仿宋简体"/>
          <w:sz w:val="30"/>
          <w:szCs w:val="30"/>
        </w:rPr>
      </w:pPr>
      <w:r>
        <w:rPr>
          <w:rFonts w:eastAsia="方正仿宋简体"/>
          <w:sz w:val="30"/>
          <w:szCs w:val="30"/>
        </w:rPr>
        <w:t>2.8核实投资者诚信记录</w:t>
      </w:r>
    </w:p>
    <w:p>
      <w:pPr>
        <w:spacing w:line="560" w:lineRule="exact"/>
        <w:ind w:firstLine="600" w:firstLineChars="200"/>
        <w:rPr>
          <w:rFonts w:eastAsia="方正仿宋简体"/>
          <w:sz w:val="30"/>
          <w:szCs w:val="30"/>
        </w:rPr>
      </w:pPr>
      <w:r>
        <w:rPr>
          <w:rFonts w:eastAsia="方正仿宋简体"/>
          <w:sz w:val="30"/>
          <w:szCs w:val="30"/>
        </w:rPr>
        <w:t>2.9完成适当性综合评估表</w:t>
      </w:r>
    </w:p>
    <w:p>
      <w:pPr>
        <w:numPr>
          <w:ilvl w:val="0"/>
          <w:numId w:val="37"/>
        </w:numPr>
        <w:spacing w:line="560" w:lineRule="exact"/>
        <w:ind w:left="0" w:firstLine="601" w:firstLineChars="200"/>
        <w:outlineLvl w:val="3"/>
        <w:rPr>
          <w:rFonts w:eastAsia="方正仿宋简体"/>
          <w:bCs/>
          <w:kern w:val="0"/>
          <w:sz w:val="30"/>
          <w:szCs w:val="30"/>
          <w:lang w:val="zh-CN" w:eastAsia="zh-CN"/>
        </w:rPr>
      </w:pPr>
      <w:r>
        <w:rPr>
          <w:rFonts w:eastAsia="方正仿宋简体"/>
          <w:b/>
          <w:bCs/>
          <w:kern w:val="0"/>
          <w:sz w:val="30"/>
          <w:szCs w:val="30"/>
          <w:lang w:val="zh-CN" w:eastAsia="zh-CN"/>
        </w:rPr>
        <w:t>开户程序</w:t>
      </w:r>
    </w:p>
    <w:p>
      <w:pPr>
        <w:spacing w:line="560" w:lineRule="exact"/>
        <w:ind w:firstLine="600" w:firstLineChars="200"/>
        <w:rPr>
          <w:rFonts w:eastAsia="方正仿宋简体"/>
          <w:sz w:val="30"/>
          <w:szCs w:val="30"/>
        </w:rPr>
      </w:pPr>
      <w:r>
        <w:rPr>
          <w:rFonts w:eastAsia="方正仿宋简体"/>
          <w:sz w:val="30"/>
          <w:szCs w:val="30"/>
        </w:rPr>
        <w:t>3.1向客户解释风险揭示书及经纪合同的核心内容</w:t>
      </w:r>
    </w:p>
    <w:p>
      <w:pPr>
        <w:spacing w:line="560" w:lineRule="exact"/>
        <w:ind w:firstLine="600" w:firstLineChars="200"/>
        <w:rPr>
          <w:rFonts w:eastAsia="方正仿宋简体"/>
          <w:sz w:val="30"/>
          <w:szCs w:val="30"/>
        </w:rPr>
      </w:pPr>
      <w:r>
        <w:rPr>
          <w:rFonts w:eastAsia="方正仿宋简体"/>
          <w:sz w:val="30"/>
          <w:szCs w:val="30"/>
        </w:rPr>
        <w:t>为提高效率，期货公司可在投资者临柜前将经纪合同、风险揭示书等开户资料提前发给投资者阅知，并提醒投资者认真阅读上述文件。各期货公司应在符合相关指引和通知要求的前提下，尽量缩短客户临柜开户时间，提高开户效率，提升客户体验。</w:t>
      </w:r>
    </w:p>
    <w:p>
      <w:pPr>
        <w:spacing w:line="560" w:lineRule="exact"/>
        <w:ind w:firstLine="600" w:firstLineChars="200"/>
        <w:rPr>
          <w:rFonts w:eastAsia="方正仿宋简体"/>
          <w:sz w:val="30"/>
          <w:szCs w:val="30"/>
        </w:rPr>
      </w:pPr>
      <w:r>
        <w:rPr>
          <w:rFonts w:eastAsia="方正仿宋简体"/>
          <w:sz w:val="30"/>
          <w:szCs w:val="30"/>
        </w:rPr>
        <w:t>3.2投资者签署风险揭示书</w:t>
      </w:r>
    </w:p>
    <w:p>
      <w:pPr>
        <w:spacing w:line="560" w:lineRule="exact"/>
        <w:ind w:firstLine="600" w:firstLineChars="200"/>
        <w:rPr>
          <w:rFonts w:eastAsia="方正仿宋简体"/>
          <w:sz w:val="30"/>
          <w:szCs w:val="30"/>
        </w:rPr>
      </w:pPr>
      <w:r>
        <w:rPr>
          <w:rFonts w:eastAsia="方正仿宋简体"/>
          <w:sz w:val="30"/>
          <w:szCs w:val="30"/>
        </w:rPr>
        <w:t>投资者按风险揭示书要求抄写或朗读承诺并签名，期货公司对投资者抄写或朗读承诺文字的过程进行录像。</w:t>
      </w:r>
    </w:p>
    <w:p>
      <w:pPr>
        <w:spacing w:line="560" w:lineRule="exact"/>
        <w:ind w:firstLine="600" w:firstLineChars="200"/>
        <w:rPr>
          <w:rFonts w:eastAsia="方正仿宋简体"/>
          <w:sz w:val="30"/>
          <w:szCs w:val="30"/>
        </w:rPr>
      </w:pPr>
      <w:r>
        <w:rPr>
          <w:rFonts w:eastAsia="方正仿宋简体"/>
          <w:sz w:val="30"/>
          <w:szCs w:val="30"/>
        </w:rPr>
        <w:t>3.3投资者签署经纪合同</w:t>
      </w:r>
    </w:p>
    <w:p>
      <w:pPr>
        <w:spacing w:line="560" w:lineRule="exact"/>
        <w:ind w:firstLine="600" w:firstLineChars="200"/>
        <w:rPr>
          <w:rFonts w:eastAsia="方正仿宋简体"/>
          <w:sz w:val="30"/>
          <w:szCs w:val="30"/>
        </w:rPr>
      </w:pPr>
      <w:r>
        <w:rPr>
          <w:rFonts w:eastAsia="方正仿宋简体"/>
          <w:sz w:val="30"/>
          <w:szCs w:val="30"/>
        </w:rPr>
        <w:t>投资者可以在通过相应等级知识测试并申请相应等级交易权限的同时，当场签署开户申请表、风险揭示书、经纪合同等开户必备文件，一次临柜完成开户相关文件的填写和签署。期货公司在完成后续审核之前，应当充分告知投资者开户相关文件需经期货公司完成后续审核后方可生效。</w:t>
      </w:r>
    </w:p>
    <w:p>
      <w:pPr>
        <w:spacing w:line="560" w:lineRule="exact"/>
        <w:ind w:firstLine="600" w:firstLineChars="200"/>
        <w:rPr>
          <w:rFonts w:eastAsia="方正仿宋简体"/>
          <w:sz w:val="30"/>
          <w:szCs w:val="30"/>
        </w:rPr>
      </w:pPr>
      <w:r>
        <w:rPr>
          <w:rFonts w:eastAsia="方正仿宋简体"/>
          <w:sz w:val="30"/>
          <w:szCs w:val="30"/>
        </w:rPr>
        <w:t>3.4为投资者办理所有开户手续（包括密码设置等)，但在总部完成审核前，账户暂不生效。</w:t>
      </w:r>
    </w:p>
    <w:p>
      <w:pPr>
        <w:spacing w:line="560" w:lineRule="exact"/>
        <w:ind w:firstLine="600" w:firstLineChars="200"/>
        <w:rPr>
          <w:rFonts w:eastAsia="方正仿宋简体"/>
          <w:sz w:val="30"/>
          <w:szCs w:val="30"/>
        </w:rPr>
      </w:pPr>
      <w:r>
        <w:rPr>
          <w:rFonts w:eastAsia="方正仿宋简体"/>
          <w:sz w:val="30"/>
          <w:szCs w:val="30"/>
        </w:rPr>
        <w:t>3.5期货公司总部进行审核</w:t>
      </w:r>
    </w:p>
    <w:p>
      <w:pPr>
        <w:spacing w:line="560" w:lineRule="exact"/>
        <w:ind w:firstLine="600" w:firstLineChars="200"/>
        <w:rPr>
          <w:rFonts w:eastAsia="方正仿宋简体"/>
          <w:sz w:val="30"/>
          <w:szCs w:val="30"/>
        </w:rPr>
      </w:pPr>
      <w:r>
        <w:rPr>
          <w:rFonts w:eastAsia="方正仿宋简体"/>
          <w:sz w:val="30"/>
          <w:szCs w:val="30"/>
        </w:rPr>
        <w:t>投资者适当性评估及交易权限分级等事宜经期货公司总部期权经纪业务相关部门负责人或其授权人核准后，营业部可为投资者激活衍生品合约账户和股票期权保证金账户；未通过相关审核的，期货公司不得对开户相关文件进行签署，投资者此前签署的文件即予作废处理。</w:t>
      </w:r>
    </w:p>
    <w:p>
      <w:pPr>
        <w:spacing w:line="560" w:lineRule="exact"/>
        <w:ind w:firstLine="600" w:firstLineChars="200"/>
        <w:rPr>
          <w:rFonts w:eastAsia="方正仿宋简体"/>
          <w:sz w:val="30"/>
          <w:szCs w:val="30"/>
        </w:rPr>
      </w:pPr>
      <w:r>
        <w:rPr>
          <w:rFonts w:eastAsia="方正仿宋简体"/>
          <w:sz w:val="30"/>
          <w:szCs w:val="30"/>
        </w:rPr>
        <w:t>3.6开户结果反馈，通知客户办理银衍签约</w:t>
      </w:r>
    </w:p>
    <w:p>
      <w:pPr>
        <w:spacing w:line="560" w:lineRule="exact"/>
        <w:ind w:firstLine="600" w:firstLineChars="200"/>
        <w:rPr>
          <w:rFonts w:eastAsia="方正仿宋简体"/>
          <w:sz w:val="30"/>
          <w:szCs w:val="30"/>
        </w:rPr>
      </w:pPr>
      <w:r>
        <w:rPr>
          <w:rFonts w:eastAsia="方正仿宋简体"/>
          <w:sz w:val="30"/>
          <w:szCs w:val="30"/>
        </w:rPr>
        <w:t>期货公司应当及时将审核及开户结果告知投资者，通知通过审核的投资者办理银衍签约。</w:t>
      </w:r>
    </w:p>
    <w:p>
      <w:pPr>
        <w:keepNext/>
        <w:keepLines/>
        <w:numPr>
          <w:ilvl w:val="0"/>
          <w:numId w:val="36"/>
        </w:numPr>
        <w:spacing w:line="560" w:lineRule="exact"/>
        <w:ind w:left="0" w:firstLine="601" w:firstLineChars="200"/>
        <w:outlineLvl w:val="2"/>
        <w:rPr>
          <w:rFonts w:eastAsia="方正仿宋简体"/>
          <w:b/>
          <w:bCs/>
          <w:kern w:val="0"/>
          <w:sz w:val="30"/>
          <w:szCs w:val="30"/>
          <w:lang w:val="zh-CN" w:eastAsia="zh-CN"/>
        </w:rPr>
      </w:pPr>
      <w:r>
        <w:rPr>
          <w:rFonts w:eastAsia="方正仿宋简体"/>
          <w:b/>
          <w:bCs/>
          <w:kern w:val="0"/>
          <w:sz w:val="30"/>
          <w:szCs w:val="30"/>
          <w:lang w:val="zh-CN" w:eastAsia="zh-CN"/>
        </w:rPr>
        <w:t>机构投资者</w:t>
      </w:r>
      <w:r>
        <w:rPr>
          <w:rFonts w:eastAsia="方正仿宋简体"/>
          <w:b/>
          <w:bCs/>
          <w:kern w:val="0"/>
          <w:sz w:val="30"/>
          <w:szCs w:val="30"/>
          <w:lang w:val="zh-CN"/>
        </w:rPr>
        <w:t>股票期权</w:t>
      </w:r>
      <w:r>
        <w:rPr>
          <w:rFonts w:eastAsia="方正仿宋简体"/>
          <w:b/>
          <w:bCs/>
          <w:kern w:val="0"/>
          <w:sz w:val="30"/>
          <w:szCs w:val="30"/>
          <w:lang w:val="zh-CN" w:eastAsia="zh-CN"/>
        </w:rPr>
        <w:t>开户</w:t>
      </w:r>
    </w:p>
    <w:p>
      <w:pPr>
        <w:numPr>
          <w:ilvl w:val="0"/>
          <w:numId w:val="38"/>
        </w:numPr>
        <w:spacing w:line="560" w:lineRule="exact"/>
        <w:ind w:left="0" w:firstLine="601" w:firstLineChars="200"/>
        <w:outlineLvl w:val="3"/>
        <w:rPr>
          <w:rFonts w:eastAsia="方正仿宋简体"/>
          <w:bCs/>
          <w:kern w:val="0"/>
          <w:sz w:val="30"/>
          <w:szCs w:val="30"/>
          <w:lang w:val="zh-CN" w:eastAsia="zh-CN"/>
        </w:rPr>
      </w:pPr>
      <w:r>
        <w:rPr>
          <w:rFonts w:eastAsia="方正仿宋简体"/>
          <w:b/>
          <w:bCs/>
          <w:kern w:val="0"/>
          <w:sz w:val="30"/>
          <w:szCs w:val="30"/>
          <w:lang w:val="zh-CN" w:eastAsia="zh-CN"/>
        </w:rPr>
        <w:t>开户准备材料</w:t>
      </w:r>
    </w:p>
    <w:p>
      <w:pPr>
        <w:spacing w:line="560" w:lineRule="exact"/>
        <w:ind w:firstLine="600" w:firstLineChars="200"/>
        <w:rPr>
          <w:rFonts w:eastAsia="方正仿宋简体"/>
          <w:sz w:val="30"/>
          <w:szCs w:val="30"/>
        </w:rPr>
      </w:pPr>
      <w:r>
        <w:rPr>
          <w:rFonts w:eastAsia="方正仿宋简体"/>
          <w:sz w:val="30"/>
          <w:szCs w:val="30"/>
        </w:rPr>
        <w:t>1.1法人证明证件：企业法人加载统一社会信用代码的营业执照（如尚未换发新版营业执照，则需营业执照和组织机构代码证）</w:t>
      </w:r>
    </w:p>
    <w:p>
      <w:pPr>
        <w:spacing w:line="560" w:lineRule="exact"/>
        <w:ind w:firstLine="600" w:firstLineChars="200"/>
        <w:rPr>
          <w:rFonts w:eastAsia="方正仿宋简体"/>
          <w:sz w:val="30"/>
          <w:szCs w:val="30"/>
        </w:rPr>
      </w:pPr>
      <w:r>
        <w:rPr>
          <w:rFonts w:eastAsia="方正仿宋简体"/>
          <w:sz w:val="30"/>
          <w:szCs w:val="30"/>
        </w:rPr>
        <w:t>1.2期货公司所需的机构投资者经办人身份证明和业务授权等材料</w:t>
      </w:r>
    </w:p>
    <w:p>
      <w:pPr>
        <w:spacing w:line="560" w:lineRule="exact"/>
        <w:ind w:firstLine="600" w:firstLineChars="200"/>
        <w:rPr>
          <w:rFonts w:eastAsia="方正仿宋简体"/>
          <w:kern w:val="0"/>
          <w:sz w:val="30"/>
          <w:szCs w:val="30"/>
        </w:rPr>
      </w:pPr>
      <w:r>
        <w:rPr>
          <w:rFonts w:eastAsia="方正仿宋简体"/>
          <w:kern w:val="0"/>
          <w:sz w:val="30"/>
          <w:szCs w:val="30"/>
        </w:rPr>
        <w:t>1.3对于普通机构投资者，还需提供上一季末净资产相关证明，或最近净资产证明</w:t>
      </w:r>
    </w:p>
    <w:p>
      <w:pPr>
        <w:spacing w:line="560" w:lineRule="exact"/>
        <w:ind w:firstLine="600" w:firstLineChars="200"/>
        <w:rPr>
          <w:rFonts w:eastAsia="方正仿宋简体"/>
          <w:kern w:val="0"/>
          <w:sz w:val="30"/>
          <w:szCs w:val="30"/>
        </w:rPr>
      </w:pPr>
      <w:r>
        <w:rPr>
          <w:rFonts w:eastAsia="方正仿宋简体"/>
          <w:kern w:val="0"/>
          <w:sz w:val="30"/>
          <w:szCs w:val="30"/>
        </w:rPr>
        <w:t>1.4根据相关监管机构要求需要进行备案的专业机构投资者，还需提供在相关监管机构的成立备案文件</w:t>
      </w:r>
    </w:p>
    <w:p>
      <w:pPr>
        <w:numPr>
          <w:ilvl w:val="0"/>
          <w:numId w:val="38"/>
        </w:numPr>
        <w:spacing w:line="560" w:lineRule="exact"/>
        <w:ind w:left="0" w:firstLine="601" w:firstLineChars="200"/>
        <w:outlineLvl w:val="3"/>
        <w:rPr>
          <w:rFonts w:eastAsia="方正仿宋简体"/>
          <w:bCs/>
          <w:kern w:val="0"/>
          <w:sz w:val="30"/>
          <w:szCs w:val="30"/>
          <w:lang w:val="zh-CN" w:eastAsia="zh-CN"/>
        </w:rPr>
      </w:pPr>
      <w:r>
        <w:rPr>
          <w:rFonts w:eastAsia="方正仿宋简体"/>
          <w:b/>
          <w:bCs/>
          <w:kern w:val="0"/>
          <w:sz w:val="30"/>
          <w:szCs w:val="30"/>
          <w:lang w:val="zh-CN" w:eastAsia="zh-CN"/>
        </w:rPr>
        <w:t>普通机构投资者资格初审</w:t>
      </w:r>
    </w:p>
    <w:p>
      <w:pPr>
        <w:spacing w:line="560" w:lineRule="exact"/>
        <w:ind w:firstLine="600" w:firstLineChars="200"/>
        <w:rPr>
          <w:rFonts w:eastAsia="方正仿宋简体"/>
          <w:sz w:val="30"/>
          <w:szCs w:val="30"/>
        </w:rPr>
      </w:pPr>
      <w:r>
        <w:rPr>
          <w:rFonts w:eastAsia="方正仿宋简体"/>
          <w:sz w:val="30"/>
          <w:szCs w:val="30"/>
        </w:rPr>
        <w:t>2.1核对机构法人证明文件：原件与复印件的一致性、年检有效期等信息</w:t>
      </w:r>
    </w:p>
    <w:p>
      <w:pPr>
        <w:spacing w:line="560" w:lineRule="exact"/>
        <w:ind w:firstLine="600" w:firstLineChars="200"/>
        <w:rPr>
          <w:rFonts w:eastAsia="方正仿宋简体"/>
          <w:sz w:val="30"/>
          <w:szCs w:val="30"/>
        </w:rPr>
      </w:pPr>
      <w:r>
        <w:rPr>
          <w:rFonts w:eastAsia="方正仿宋简体"/>
          <w:sz w:val="30"/>
          <w:szCs w:val="30"/>
        </w:rPr>
        <w:t>2.2核对机构投资者经办人身份信息和业务授权等材料</w:t>
      </w:r>
    </w:p>
    <w:p>
      <w:pPr>
        <w:spacing w:line="560" w:lineRule="exact"/>
        <w:ind w:firstLine="600" w:firstLineChars="200"/>
        <w:rPr>
          <w:rFonts w:eastAsia="方正仿宋简体"/>
          <w:sz w:val="30"/>
          <w:szCs w:val="30"/>
        </w:rPr>
      </w:pPr>
      <w:r>
        <w:rPr>
          <w:rFonts w:eastAsia="方正仿宋简体"/>
          <w:sz w:val="30"/>
          <w:szCs w:val="30"/>
        </w:rPr>
        <w:t>2.3核对深市Ａ股证券账户：核对该投资者是否有已开立衍生品合约账户的深市A股证券账户</w:t>
      </w:r>
    </w:p>
    <w:p>
      <w:pPr>
        <w:spacing w:line="560" w:lineRule="exact"/>
        <w:ind w:firstLine="600" w:firstLineChars="200"/>
        <w:rPr>
          <w:rFonts w:eastAsia="方正仿宋简体"/>
          <w:sz w:val="30"/>
          <w:szCs w:val="30"/>
        </w:rPr>
      </w:pPr>
      <w:r>
        <w:rPr>
          <w:rFonts w:eastAsia="方正仿宋简体"/>
          <w:sz w:val="30"/>
          <w:szCs w:val="30"/>
        </w:rPr>
        <w:t>（1）如投资者已在其他期权经营机构处开立深市衍生品合约账户，则本次仍须使用同一深市A股证券账户开立衍生品合约账户。</w:t>
      </w:r>
    </w:p>
    <w:p>
      <w:pPr>
        <w:spacing w:line="560" w:lineRule="exact"/>
        <w:ind w:firstLine="600" w:firstLineChars="200"/>
        <w:rPr>
          <w:rFonts w:eastAsia="方正仿宋简体"/>
          <w:sz w:val="30"/>
          <w:szCs w:val="30"/>
        </w:rPr>
      </w:pPr>
      <w:r>
        <w:rPr>
          <w:rFonts w:eastAsia="方正仿宋简体"/>
          <w:sz w:val="30"/>
          <w:szCs w:val="30"/>
        </w:rPr>
        <w:t>（2）如投资者未有深市A股证券账户对应的衍生品合约账户，则核对该投资者是否已有账户状态正常的合格深市A股证券账户。若已有账户状态正常的合格深市A股证券账户，核对通过；若无账户状态正常的合格深市A股证券账户，需首先开立深市A股账户。</w:t>
      </w:r>
    </w:p>
    <w:p>
      <w:pPr>
        <w:spacing w:line="560" w:lineRule="exact"/>
        <w:ind w:firstLine="600" w:firstLineChars="200"/>
        <w:rPr>
          <w:rFonts w:eastAsia="方正仿宋简体"/>
          <w:sz w:val="30"/>
          <w:szCs w:val="30"/>
        </w:rPr>
      </w:pPr>
      <w:r>
        <w:rPr>
          <w:rFonts w:eastAsia="方正仿宋简体"/>
          <w:sz w:val="30"/>
          <w:szCs w:val="30"/>
        </w:rPr>
        <w:t>2.4核对持有的资产</w:t>
      </w:r>
    </w:p>
    <w:p>
      <w:pPr>
        <w:spacing w:line="560" w:lineRule="exact"/>
        <w:ind w:firstLine="600" w:firstLineChars="200"/>
        <w:rPr>
          <w:rFonts w:eastAsia="方正仿宋简体"/>
          <w:sz w:val="30"/>
          <w:szCs w:val="30"/>
        </w:rPr>
      </w:pPr>
      <w:r>
        <w:rPr>
          <w:rFonts w:eastAsia="方正仿宋简体"/>
          <w:sz w:val="30"/>
          <w:szCs w:val="30"/>
        </w:rPr>
        <w:t>2.5核对相关业务人员的模拟交易经历</w:t>
      </w:r>
    </w:p>
    <w:p>
      <w:pPr>
        <w:spacing w:line="560" w:lineRule="exact"/>
        <w:ind w:firstLine="600" w:firstLineChars="200"/>
        <w:rPr>
          <w:rFonts w:eastAsia="方正仿宋简体"/>
          <w:sz w:val="30"/>
          <w:szCs w:val="30"/>
        </w:rPr>
      </w:pPr>
      <w:r>
        <w:rPr>
          <w:rFonts w:eastAsia="方正仿宋简体"/>
          <w:sz w:val="30"/>
          <w:szCs w:val="30"/>
        </w:rPr>
        <w:t>2.6核对相关业务人员的期权知识测试成绩</w:t>
      </w:r>
    </w:p>
    <w:p>
      <w:pPr>
        <w:spacing w:line="560" w:lineRule="exact"/>
        <w:ind w:firstLine="600" w:firstLineChars="200"/>
        <w:rPr>
          <w:rFonts w:eastAsia="方正仿宋简体"/>
          <w:sz w:val="30"/>
          <w:szCs w:val="30"/>
        </w:rPr>
      </w:pPr>
      <w:r>
        <w:rPr>
          <w:rFonts w:eastAsia="方正仿宋简体"/>
          <w:sz w:val="30"/>
          <w:szCs w:val="30"/>
        </w:rPr>
        <w:t>2.7</w:t>
      </w:r>
      <w:r>
        <w:rPr>
          <w:rFonts w:eastAsia="方正仿宋简体"/>
          <w:kern w:val="0"/>
          <w:sz w:val="30"/>
          <w:szCs w:val="30"/>
        </w:rPr>
        <w:t>审核其他相关信息</w:t>
      </w:r>
    </w:p>
    <w:p>
      <w:pPr>
        <w:numPr>
          <w:ilvl w:val="0"/>
          <w:numId w:val="38"/>
        </w:numPr>
        <w:spacing w:line="560" w:lineRule="exact"/>
        <w:ind w:left="0" w:firstLine="601" w:firstLineChars="200"/>
        <w:outlineLvl w:val="3"/>
        <w:rPr>
          <w:rFonts w:eastAsia="方正仿宋简体"/>
          <w:bCs/>
          <w:kern w:val="0"/>
          <w:sz w:val="30"/>
          <w:szCs w:val="30"/>
          <w:lang w:val="zh-CN" w:eastAsia="zh-CN"/>
        </w:rPr>
      </w:pPr>
      <w:r>
        <w:rPr>
          <w:rFonts w:eastAsia="方正仿宋简体"/>
          <w:b/>
          <w:bCs/>
          <w:kern w:val="0"/>
          <w:sz w:val="30"/>
          <w:szCs w:val="30"/>
          <w:lang w:val="zh-CN" w:eastAsia="zh-CN"/>
        </w:rPr>
        <w:t>专业机构投资者资格初审</w:t>
      </w:r>
    </w:p>
    <w:p>
      <w:pPr>
        <w:spacing w:line="560" w:lineRule="exact"/>
        <w:ind w:firstLine="600" w:firstLineChars="200"/>
        <w:rPr>
          <w:rFonts w:eastAsia="方正仿宋简体"/>
          <w:sz w:val="30"/>
          <w:szCs w:val="30"/>
        </w:rPr>
      </w:pPr>
      <w:r>
        <w:rPr>
          <w:rFonts w:eastAsia="方正仿宋简体"/>
          <w:sz w:val="30"/>
          <w:szCs w:val="30"/>
        </w:rPr>
        <w:t>3.1核对相关监管机构出具的成立备案文件</w:t>
      </w:r>
    </w:p>
    <w:p>
      <w:pPr>
        <w:spacing w:line="560" w:lineRule="exact"/>
        <w:ind w:firstLine="600" w:firstLineChars="200"/>
        <w:rPr>
          <w:rFonts w:eastAsia="方正仿宋简体"/>
          <w:sz w:val="30"/>
          <w:szCs w:val="30"/>
        </w:rPr>
      </w:pPr>
      <w:r>
        <w:rPr>
          <w:rFonts w:eastAsia="方正仿宋简体"/>
          <w:sz w:val="30"/>
          <w:szCs w:val="30"/>
        </w:rPr>
        <w:t>3.2核对机构法人证明文件：原件与复印件的一致性、年检有效期等信息</w:t>
      </w:r>
    </w:p>
    <w:p>
      <w:pPr>
        <w:spacing w:line="560" w:lineRule="exact"/>
        <w:ind w:firstLine="600" w:firstLineChars="200"/>
        <w:rPr>
          <w:rFonts w:eastAsia="方正仿宋简体"/>
          <w:sz w:val="30"/>
          <w:szCs w:val="30"/>
        </w:rPr>
      </w:pPr>
      <w:r>
        <w:rPr>
          <w:rFonts w:eastAsia="方正仿宋简体"/>
          <w:sz w:val="30"/>
          <w:szCs w:val="30"/>
        </w:rPr>
        <w:t>3.3核对机构投资者经办人身份信息和业务授权等材料</w:t>
      </w:r>
    </w:p>
    <w:p>
      <w:pPr>
        <w:spacing w:line="560" w:lineRule="exact"/>
        <w:ind w:firstLine="600" w:firstLineChars="200"/>
        <w:rPr>
          <w:rFonts w:eastAsia="方正仿宋简体"/>
          <w:sz w:val="30"/>
          <w:szCs w:val="30"/>
        </w:rPr>
      </w:pPr>
      <w:r>
        <w:rPr>
          <w:rFonts w:eastAsia="方正仿宋简体"/>
          <w:sz w:val="30"/>
          <w:szCs w:val="30"/>
        </w:rPr>
        <w:t>3.4核对深市Ａ股证券账户及衍生品合约账户：核对该投资者是否有已开立衍生品合约账户的深市A股证券账户</w:t>
      </w:r>
    </w:p>
    <w:p>
      <w:pPr>
        <w:spacing w:line="560" w:lineRule="exact"/>
        <w:ind w:firstLine="600" w:firstLineChars="200"/>
        <w:rPr>
          <w:rFonts w:eastAsia="方正仿宋简体"/>
          <w:bCs/>
          <w:kern w:val="0"/>
          <w:sz w:val="30"/>
          <w:szCs w:val="30"/>
          <w:lang w:bidi="ar"/>
        </w:rPr>
      </w:pPr>
      <w:r>
        <w:rPr>
          <w:rFonts w:eastAsia="方正仿宋简体"/>
          <w:bCs/>
          <w:kern w:val="0"/>
          <w:sz w:val="30"/>
          <w:szCs w:val="30"/>
          <w:lang w:bidi="ar"/>
        </w:rPr>
        <w:t>采用托管人结算模式的专业机构和产品，如需参加股票期权交易，应选择合资格的期权经营机构开立衍生品合约账户，由中国结算对应进行配号。</w:t>
      </w:r>
    </w:p>
    <w:p>
      <w:pPr>
        <w:spacing w:line="560" w:lineRule="exact"/>
        <w:ind w:firstLine="600" w:firstLineChars="200"/>
        <w:rPr>
          <w:rFonts w:eastAsia="方正仿宋简体"/>
          <w:sz w:val="30"/>
          <w:szCs w:val="30"/>
        </w:rPr>
      </w:pPr>
      <w:r>
        <w:rPr>
          <w:rFonts w:eastAsia="方正仿宋简体"/>
          <w:bCs/>
          <w:kern w:val="0"/>
          <w:sz w:val="30"/>
          <w:szCs w:val="30"/>
          <w:lang w:bidi="ar"/>
        </w:rPr>
        <w:t>采用期货公司结算模式的专业机构和产品，</w:t>
      </w:r>
      <w:r>
        <w:rPr>
          <w:rFonts w:eastAsia="方正仿宋简体"/>
          <w:sz w:val="30"/>
          <w:szCs w:val="30"/>
        </w:rPr>
        <w:t>如已在其他期权经营机构处开立深市衍生品合约账户，则本次仍须使用同一深市A股证券账户进行衍生品合约账户开立；如未有深市A股证券账户对应的衍生品合约账户，则核对该投资者是否已有账户状态正常的合格深市A股证券账户。若已有账户状态正常的合格深市A股证券账户，核对通过；若无账户状态正常的合格深市A股证券账户，需首先开立深市A股证券账户。</w:t>
      </w:r>
    </w:p>
    <w:p>
      <w:pPr>
        <w:numPr>
          <w:ilvl w:val="0"/>
          <w:numId w:val="38"/>
        </w:numPr>
        <w:spacing w:line="560" w:lineRule="exact"/>
        <w:ind w:left="0" w:firstLine="601" w:firstLineChars="200"/>
        <w:outlineLvl w:val="3"/>
        <w:rPr>
          <w:rFonts w:eastAsia="方正仿宋简体"/>
          <w:bCs/>
          <w:kern w:val="0"/>
          <w:sz w:val="30"/>
          <w:szCs w:val="30"/>
          <w:lang w:val="zh-CN" w:eastAsia="zh-CN"/>
        </w:rPr>
      </w:pPr>
      <w:r>
        <w:rPr>
          <w:rFonts w:eastAsia="方正仿宋简体"/>
          <w:b/>
          <w:bCs/>
          <w:kern w:val="0"/>
          <w:sz w:val="30"/>
          <w:szCs w:val="30"/>
          <w:lang w:val="zh-CN" w:eastAsia="zh-CN"/>
        </w:rPr>
        <w:t>开户程序</w:t>
      </w:r>
    </w:p>
    <w:p>
      <w:pPr>
        <w:spacing w:line="560" w:lineRule="exact"/>
        <w:ind w:firstLine="600" w:firstLineChars="200"/>
        <w:rPr>
          <w:rFonts w:eastAsia="方正仿宋简体"/>
          <w:sz w:val="30"/>
          <w:szCs w:val="30"/>
        </w:rPr>
      </w:pPr>
      <w:r>
        <w:rPr>
          <w:rFonts w:eastAsia="方正仿宋简体"/>
          <w:sz w:val="30"/>
          <w:szCs w:val="30"/>
        </w:rPr>
        <w:t>4.1普通机构投资者签署风险揭示书</w:t>
      </w:r>
    </w:p>
    <w:p>
      <w:pPr>
        <w:spacing w:line="560" w:lineRule="exact"/>
        <w:ind w:firstLine="600" w:firstLineChars="200"/>
        <w:rPr>
          <w:rFonts w:eastAsia="方正仿宋简体"/>
          <w:sz w:val="30"/>
          <w:szCs w:val="30"/>
        </w:rPr>
      </w:pPr>
      <w:r>
        <w:rPr>
          <w:rFonts w:eastAsia="方正仿宋简体"/>
          <w:sz w:val="30"/>
          <w:szCs w:val="30"/>
        </w:rPr>
        <w:t>开户人按风险揭示书要求抄写或朗读承诺并签名，期货公司对开户人抄写或朗读承诺文字的过程进行录像存档。</w:t>
      </w:r>
    </w:p>
    <w:p>
      <w:pPr>
        <w:spacing w:line="560" w:lineRule="exact"/>
        <w:ind w:firstLine="600" w:firstLineChars="200"/>
        <w:rPr>
          <w:rFonts w:eastAsia="方正仿宋简体"/>
          <w:sz w:val="30"/>
          <w:szCs w:val="30"/>
        </w:rPr>
      </w:pPr>
      <w:r>
        <w:rPr>
          <w:rFonts w:eastAsia="方正仿宋简体"/>
          <w:sz w:val="30"/>
          <w:szCs w:val="30"/>
        </w:rPr>
        <w:t>4.2机构投资者签署经纪合同</w:t>
      </w:r>
    </w:p>
    <w:p>
      <w:pPr>
        <w:spacing w:line="560" w:lineRule="exact"/>
        <w:ind w:firstLine="600" w:firstLineChars="200"/>
        <w:rPr>
          <w:rFonts w:eastAsia="方正仿宋简体"/>
          <w:sz w:val="30"/>
          <w:szCs w:val="30"/>
        </w:rPr>
      </w:pPr>
      <w:r>
        <w:rPr>
          <w:rFonts w:eastAsia="方正仿宋简体"/>
          <w:sz w:val="30"/>
          <w:szCs w:val="30"/>
        </w:rPr>
        <w:t>4.3公司总部审核</w:t>
      </w:r>
    </w:p>
    <w:p>
      <w:pPr>
        <w:spacing w:line="560" w:lineRule="exact"/>
        <w:ind w:firstLine="600" w:firstLineChars="200"/>
        <w:rPr>
          <w:rFonts w:eastAsia="方正仿宋简体"/>
          <w:sz w:val="30"/>
          <w:szCs w:val="30"/>
        </w:rPr>
      </w:pPr>
      <w:r>
        <w:rPr>
          <w:rFonts w:eastAsia="方正仿宋简体"/>
          <w:sz w:val="30"/>
          <w:szCs w:val="30"/>
        </w:rPr>
        <w:t>4.4审核与开户结果反馈，如通过审核，通知客户办理银衍签约</w:t>
      </w:r>
    </w:p>
    <w:p>
      <w:pPr>
        <w:keepNext/>
        <w:keepLines/>
        <w:numPr>
          <w:ilvl w:val="0"/>
          <w:numId w:val="36"/>
        </w:numPr>
        <w:spacing w:line="560" w:lineRule="exact"/>
        <w:ind w:left="0" w:firstLine="601" w:firstLineChars="200"/>
        <w:outlineLvl w:val="2"/>
        <w:rPr>
          <w:rFonts w:eastAsia="方正仿宋简体"/>
          <w:b/>
          <w:bCs/>
          <w:kern w:val="0"/>
          <w:sz w:val="30"/>
          <w:szCs w:val="30"/>
          <w:lang w:val="zh-CN" w:eastAsia="zh-CN"/>
        </w:rPr>
      </w:pPr>
      <w:r>
        <w:rPr>
          <w:rFonts w:eastAsia="方正仿宋简体"/>
          <w:b/>
          <w:bCs/>
          <w:kern w:val="0"/>
          <w:sz w:val="30"/>
          <w:szCs w:val="30"/>
          <w:lang w:val="zh-CN"/>
        </w:rPr>
        <w:t>开户管理</w:t>
      </w:r>
    </w:p>
    <w:p>
      <w:pPr>
        <w:numPr>
          <w:ilvl w:val="0"/>
          <w:numId w:val="39"/>
        </w:numPr>
        <w:spacing w:line="560" w:lineRule="exact"/>
        <w:ind w:left="0" w:firstLine="601" w:firstLineChars="200"/>
        <w:outlineLvl w:val="3"/>
        <w:rPr>
          <w:rFonts w:eastAsia="方正仿宋简体"/>
          <w:b/>
          <w:bCs/>
          <w:kern w:val="0"/>
          <w:sz w:val="30"/>
          <w:szCs w:val="30"/>
          <w:lang w:val="zh-CN" w:eastAsia="zh-CN"/>
        </w:rPr>
      </w:pPr>
      <w:r>
        <w:rPr>
          <w:rFonts w:eastAsia="方正仿宋简体"/>
          <w:b/>
          <w:bCs/>
          <w:kern w:val="0"/>
          <w:sz w:val="30"/>
          <w:szCs w:val="30"/>
          <w:lang w:val="zh-CN" w:eastAsia="zh-CN"/>
        </w:rPr>
        <w:t>普通类型合约账户开户管理</w:t>
      </w:r>
    </w:p>
    <w:p>
      <w:pPr>
        <w:spacing w:line="560" w:lineRule="exact"/>
        <w:ind w:firstLine="600" w:firstLineChars="200"/>
        <w:rPr>
          <w:rFonts w:eastAsia="方正仿宋简体"/>
          <w:sz w:val="30"/>
          <w:szCs w:val="30"/>
        </w:rPr>
      </w:pPr>
      <w:r>
        <w:rPr>
          <w:rFonts w:eastAsia="方正仿宋简体"/>
          <w:sz w:val="30"/>
          <w:szCs w:val="30"/>
        </w:rPr>
        <w:t>个人投资者和普通机构投资者须使用单一深市A股证券账户开立普通类型的衍生品合约账户。期货公司按适当性要求为合格投资者申请开立合约账户前，需通过中国结算统一账户平台检查该投资者于其他经营机构处开立的合约账户。如投资者已在其它经营机构处开立普通类型的合约账户，则本次为投资者开立新的合约账户需使用同一深市A股证券账户进行配号申请。</w:t>
      </w:r>
    </w:p>
    <w:p>
      <w:pPr>
        <w:spacing w:line="560" w:lineRule="exact"/>
        <w:ind w:firstLine="600" w:firstLineChars="200"/>
        <w:rPr>
          <w:rFonts w:eastAsia="方正仿宋简体"/>
          <w:sz w:val="30"/>
          <w:szCs w:val="30"/>
        </w:rPr>
      </w:pPr>
      <w:r>
        <w:rPr>
          <w:rFonts w:eastAsia="方正仿宋简体"/>
          <w:sz w:val="30"/>
          <w:szCs w:val="30"/>
        </w:rPr>
        <w:t>投资者开立非首个衍生品合约账户时，在提供已开立的首个合约账户相关凭证或交易记录的情况下，期货公司只需执行以下投资者适当性评估要求，无需再对投资者的交易经历、知识测试成绩、期权模拟交易经历进行核查：</w:t>
      </w:r>
    </w:p>
    <w:p>
      <w:pPr>
        <w:numPr>
          <w:ilvl w:val="1"/>
          <w:numId w:val="40"/>
        </w:numPr>
        <w:spacing w:line="560" w:lineRule="exact"/>
        <w:ind w:left="0" w:firstLine="600" w:firstLineChars="200"/>
        <w:rPr>
          <w:rFonts w:eastAsia="方正仿宋简体"/>
          <w:sz w:val="30"/>
          <w:szCs w:val="30"/>
        </w:rPr>
      </w:pPr>
      <w:r>
        <w:rPr>
          <w:rFonts w:eastAsia="方正仿宋简体"/>
          <w:sz w:val="30"/>
          <w:szCs w:val="30"/>
        </w:rPr>
        <w:t>个人投资者</w:t>
      </w:r>
    </w:p>
    <w:p>
      <w:pPr>
        <w:spacing w:line="560" w:lineRule="exact"/>
        <w:ind w:firstLine="600" w:firstLineChars="200"/>
        <w:rPr>
          <w:rFonts w:eastAsia="方正仿宋简体"/>
          <w:sz w:val="30"/>
          <w:szCs w:val="30"/>
        </w:rPr>
      </w:pPr>
      <w:r>
        <w:rPr>
          <w:rFonts w:eastAsia="方正仿宋简体"/>
          <w:sz w:val="30"/>
          <w:szCs w:val="30"/>
        </w:rPr>
        <w:t>申请开户前20个交易日日均持有的证券市值与资金账户可用余额（不含通过融资融券交易融入的资金和证券），合计不低于人民币50万元。</w:t>
      </w:r>
    </w:p>
    <w:p>
      <w:pPr>
        <w:spacing w:line="560" w:lineRule="exact"/>
        <w:ind w:firstLine="600" w:firstLineChars="200"/>
        <w:rPr>
          <w:rFonts w:eastAsia="方正仿宋简体"/>
          <w:sz w:val="30"/>
          <w:szCs w:val="30"/>
        </w:rPr>
      </w:pPr>
      <w:r>
        <w:rPr>
          <w:rFonts w:eastAsia="方正仿宋简体"/>
          <w:sz w:val="30"/>
          <w:szCs w:val="30"/>
        </w:rPr>
        <w:t>通过本公司的风险承受能力评估，1年内对该投资者进行过风险评估的，可不重做评估。</w:t>
      </w:r>
    </w:p>
    <w:p>
      <w:pPr>
        <w:numPr>
          <w:ilvl w:val="1"/>
          <w:numId w:val="40"/>
        </w:numPr>
        <w:spacing w:line="560" w:lineRule="exact"/>
        <w:ind w:left="0" w:firstLine="600" w:firstLineChars="200"/>
        <w:rPr>
          <w:rFonts w:eastAsia="方正仿宋简体"/>
          <w:sz w:val="30"/>
          <w:szCs w:val="30"/>
        </w:rPr>
      </w:pPr>
      <w:r>
        <w:rPr>
          <w:rFonts w:eastAsia="方正仿宋简体"/>
          <w:sz w:val="30"/>
          <w:szCs w:val="30"/>
        </w:rPr>
        <w:t>普通机构投资者</w:t>
      </w:r>
    </w:p>
    <w:p>
      <w:pPr>
        <w:spacing w:line="560" w:lineRule="exact"/>
        <w:ind w:firstLine="600" w:firstLineChars="200"/>
        <w:rPr>
          <w:rFonts w:eastAsia="方正仿宋简体"/>
          <w:sz w:val="30"/>
          <w:szCs w:val="30"/>
        </w:rPr>
      </w:pPr>
      <w:r>
        <w:rPr>
          <w:rFonts w:eastAsia="方正仿宋简体"/>
          <w:sz w:val="30"/>
          <w:szCs w:val="30"/>
        </w:rPr>
        <w:t>申请开户前20个交易日日均持有的证券市值与资金账户可用余额（不含通过融资融券交易融入的资金和证券），合计不低于人民币100万元。</w:t>
      </w:r>
    </w:p>
    <w:p>
      <w:pPr>
        <w:spacing w:line="560" w:lineRule="exact"/>
        <w:ind w:firstLine="600" w:firstLineChars="200"/>
        <w:rPr>
          <w:rFonts w:eastAsia="方正仿宋简体"/>
          <w:sz w:val="30"/>
          <w:szCs w:val="30"/>
        </w:rPr>
      </w:pPr>
      <w:r>
        <w:rPr>
          <w:rFonts w:eastAsia="方正仿宋简体"/>
          <w:sz w:val="30"/>
          <w:szCs w:val="30"/>
        </w:rPr>
        <w:t>上一季度末净资产不低于人民币100万元（新成立的机构取最近净资产）。</w:t>
      </w:r>
    </w:p>
    <w:p>
      <w:pPr>
        <w:numPr>
          <w:ilvl w:val="0"/>
          <w:numId w:val="39"/>
        </w:numPr>
        <w:spacing w:line="560" w:lineRule="exact"/>
        <w:ind w:left="0" w:firstLine="601" w:firstLineChars="200"/>
        <w:outlineLvl w:val="3"/>
        <w:rPr>
          <w:rFonts w:eastAsia="方正仿宋简体"/>
          <w:b/>
          <w:bCs/>
          <w:kern w:val="0"/>
          <w:sz w:val="30"/>
          <w:szCs w:val="30"/>
          <w:lang w:val="zh-CN" w:eastAsia="zh-CN"/>
        </w:rPr>
      </w:pPr>
      <w:r>
        <w:rPr>
          <w:rFonts w:eastAsia="方正仿宋简体"/>
          <w:b/>
          <w:bCs/>
          <w:kern w:val="0"/>
          <w:sz w:val="30"/>
          <w:szCs w:val="30"/>
          <w:lang w:val="zh-CN" w:eastAsia="zh-CN"/>
        </w:rPr>
        <w:t>特殊业务合约账户开户管理</w:t>
      </w:r>
    </w:p>
    <w:p>
      <w:pPr>
        <w:spacing w:line="560" w:lineRule="exact"/>
        <w:ind w:firstLine="600" w:firstLineChars="200"/>
        <w:rPr>
          <w:rFonts w:eastAsia="方正仿宋简体"/>
          <w:sz w:val="30"/>
          <w:szCs w:val="30"/>
        </w:rPr>
      </w:pPr>
      <w:r>
        <w:rPr>
          <w:rFonts w:eastAsia="方正仿宋简体"/>
          <w:sz w:val="30"/>
          <w:szCs w:val="30"/>
        </w:rPr>
        <w:t>投资者从事套期保值等特殊业务，需使用专用的深市A股证券账户申请开立合约账户，用于区分不同用途的期权业务。特殊业务投资者需向本所申请相关业务资格，报备计划使用的深市A股证券账户。相关业务资格申请通过后，再使用报备的A股证券账户对应的已有合约账户或新开立合约账户进行相关交易。具体见《深圳证券交易所股票期权试点持仓限额管理业务指引》及相关指南。</w:t>
      </w:r>
    </w:p>
    <w:p>
      <w:pPr>
        <w:keepNext/>
        <w:keepLines/>
        <w:numPr>
          <w:ilvl w:val="0"/>
          <w:numId w:val="36"/>
        </w:numPr>
        <w:spacing w:line="560" w:lineRule="exact"/>
        <w:ind w:left="0" w:firstLine="601" w:firstLineChars="200"/>
        <w:outlineLvl w:val="2"/>
        <w:rPr>
          <w:rFonts w:eastAsia="方正仿宋简体"/>
          <w:b/>
          <w:bCs/>
          <w:kern w:val="0"/>
          <w:sz w:val="30"/>
          <w:szCs w:val="30"/>
          <w:lang w:val="zh-CN" w:eastAsia="zh-CN"/>
        </w:rPr>
      </w:pPr>
      <w:r>
        <w:rPr>
          <w:rFonts w:eastAsia="方正仿宋简体"/>
          <w:b/>
          <w:bCs/>
          <w:kern w:val="0"/>
          <w:sz w:val="30"/>
          <w:szCs w:val="30"/>
          <w:lang w:val="zh-CN"/>
        </w:rPr>
        <w:t>客户资料的修改</w:t>
      </w:r>
    </w:p>
    <w:p>
      <w:pPr>
        <w:spacing w:line="560" w:lineRule="exact"/>
        <w:ind w:firstLine="600" w:firstLineChars="200"/>
        <w:rPr>
          <w:rFonts w:eastAsia="方正仿宋简体"/>
          <w:sz w:val="30"/>
          <w:szCs w:val="30"/>
        </w:rPr>
      </w:pPr>
      <w:r>
        <w:rPr>
          <w:rFonts w:eastAsia="方正仿宋简体"/>
          <w:sz w:val="30"/>
          <w:szCs w:val="30"/>
        </w:rPr>
        <w:t>客户资料修改业务包括客户信息资料修改、交易权限修改、持仓限额修改、密码重置等。客户资料修改应符合相关规定，并留痕。</w:t>
      </w:r>
    </w:p>
    <w:p>
      <w:pPr>
        <w:spacing w:line="560" w:lineRule="exact"/>
        <w:ind w:firstLine="600" w:firstLineChars="200"/>
        <w:rPr>
          <w:rFonts w:eastAsia="方正仿宋简体"/>
          <w:sz w:val="30"/>
          <w:szCs w:val="30"/>
        </w:rPr>
      </w:pPr>
      <w:r>
        <w:rPr>
          <w:rFonts w:eastAsia="方正仿宋简体"/>
          <w:sz w:val="30"/>
          <w:szCs w:val="30"/>
        </w:rPr>
        <w:t>客户信息资料及密码的修改等操作应严格遵循期货公司内部操作流程。客户交易权限及持仓限额的修改，由分支机构进行初步审查、复核后提交至总部审核。</w:t>
      </w:r>
    </w:p>
    <w:p>
      <w:pPr>
        <w:keepNext/>
        <w:keepLines/>
        <w:numPr>
          <w:ilvl w:val="0"/>
          <w:numId w:val="36"/>
        </w:numPr>
        <w:spacing w:line="560" w:lineRule="exact"/>
        <w:ind w:left="0" w:firstLine="601" w:firstLineChars="200"/>
        <w:outlineLvl w:val="2"/>
        <w:rPr>
          <w:rFonts w:eastAsia="方正仿宋简体"/>
          <w:b/>
          <w:bCs/>
          <w:kern w:val="0"/>
          <w:sz w:val="30"/>
          <w:szCs w:val="30"/>
          <w:lang w:val="zh-CN" w:eastAsia="zh-CN"/>
        </w:rPr>
      </w:pPr>
      <w:r>
        <w:rPr>
          <w:rFonts w:eastAsia="方正仿宋简体"/>
          <w:b/>
          <w:bCs/>
          <w:kern w:val="0"/>
          <w:sz w:val="30"/>
          <w:szCs w:val="30"/>
          <w:lang w:val="zh-CN" w:eastAsia="zh-CN"/>
        </w:rPr>
        <w:t>客户衍生品账户销户</w:t>
      </w:r>
    </w:p>
    <w:p>
      <w:pPr>
        <w:spacing w:line="560" w:lineRule="exact"/>
        <w:ind w:firstLine="600" w:firstLineChars="200"/>
        <w:rPr>
          <w:rFonts w:eastAsia="方正仿宋简体"/>
          <w:sz w:val="30"/>
          <w:szCs w:val="30"/>
        </w:rPr>
      </w:pPr>
      <w:r>
        <w:rPr>
          <w:rFonts w:eastAsia="方正仿宋简体"/>
          <w:sz w:val="30"/>
          <w:szCs w:val="30"/>
        </w:rPr>
        <w:t>衍生品账户销户业务须由客户本人按以下顺序办理：</w:t>
      </w:r>
    </w:p>
    <w:p>
      <w:pPr>
        <w:spacing w:line="560" w:lineRule="exact"/>
        <w:ind w:firstLine="600" w:firstLineChars="200"/>
        <w:rPr>
          <w:rFonts w:eastAsia="方正仿宋简体"/>
          <w:sz w:val="30"/>
          <w:szCs w:val="30"/>
        </w:rPr>
      </w:pPr>
      <w:r>
        <w:rPr>
          <w:rFonts w:eastAsia="方正仿宋简体"/>
          <w:sz w:val="30"/>
          <w:szCs w:val="30"/>
        </w:rPr>
        <w:t>1．注销衍生品合约账户；</w:t>
      </w:r>
    </w:p>
    <w:p>
      <w:pPr>
        <w:spacing w:line="560" w:lineRule="exact"/>
        <w:ind w:firstLine="600" w:firstLineChars="200"/>
        <w:rPr>
          <w:rFonts w:eastAsia="方正仿宋简体"/>
          <w:sz w:val="30"/>
          <w:szCs w:val="30"/>
        </w:rPr>
      </w:pPr>
      <w:r>
        <w:rPr>
          <w:rFonts w:eastAsia="方正仿宋简体"/>
          <w:sz w:val="30"/>
          <w:szCs w:val="30"/>
        </w:rPr>
        <w:t>2．撤销银衍转账；</w:t>
      </w:r>
    </w:p>
    <w:p>
      <w:pPr>
        <w:spacing w:line="560" w:lineRule="exact"/>
        <w:ind w:firstLine="600" w:firstLineChars="200"/>
        <w:rPr>
          <w:rFonts w:eastAsia="方正仿宋简体"/>
          <w:sz w:val="30"/>
          <w:szCs w:val="30"/>
        </w:rPr>
      </w:pPr>
      <w:r>
        <w:rPr>
          <w:rFonts w:eastAsia="方正仿宋简体"/>
          <w:sz w:val="30"/>
          <w:szCs w:val="30"/>
        </w:rPr>
        <w:t>3．注销</w:t>
      </w:r>
      <w:r>
        <w:rPr>
          <w:rFonts w:eastAsia="方正仿宋简体"/>
          <w:color w:val="000000"/>
          <w:kern w:val="0"/>
          <w:sz w:val="30"/>
          <w:szCs w:val="30"/>
          <w:lang w:bidi="ar"/>
        </w:rPr>
        <w:t>股票期权</w:t>
      </w:r>
      <w:r>
        <w:rPr>
          <w:rFonts w:eastAsia="方正仿宋简体"/>
          <w:sz w:val="30"/>
          <w:szCs w:val="30"/>
        </w:rPr>
        <w:t>保证金账户。</w:t>
      </w:r>
    </w:p>
    <w:p>
      <w:pPr>
        <w:spacing w:line="560" w:lineRule="exact"/>
        <w:ind w:firstLine="600" w:firstLineChars="200"/>
        <w:rPr>
          <w:rFonts w:eastAsia="方正仿宋简体"/>
          <w:sz w:val="30"/>
          <w:szCs w:val="30"/>
        </w:rPr>
      </w:pPr>
      <w:r>
        <w:rPr>
          <w:rFonts w:eastAsia="方正仿宋简体"/>
          <w:sz w:val="30"/>
          <w:szCs w:val="30"/>
        </w:rPr>
        <w:t>期货公司确认投资者衍生品合约账户内没有持仓及未了结债权债务后，方可办理投资者合约账户销户。投资者所有合约账户销户后方可办理对应证券账户的销户。</w:t>
      </w:r>
    </w:p>
    <w:p>
      <w:pPr>
        <w:spacing w:line="560" w:lineRule="exact"/>
        <w:ind w:firstLine="600" w:firstLineChars="200"/>
        <w:rPr>
          <w:rFonts w:eastAsia="方正仿宋简体"/>
          <w:sz w:val="30"/>
          <w:szCs w:val="30"/>
        </w:rPr>
      </w:pPr>
      <w:bookmarkStart w:id="118" w:name="_Toc406438905"/>
      <w:bookmarkStart w:id="119" w:name="_Toc406438951"/>
      <w:bookmarkStart w:id="120" w:name="_Toc406439136"/>
      <w:bookmarkStart w:id="121" w:name="_Toc406436502"/>
    </w:p>
    <w:p>
      <w:pPr>
        <w:keepNext w:val="0"/>
        <w:keepLines w:val="0"/>
        <w:pageBreakBefore w:val="0"/>
        <w:widowControl w:val="0"/>
        <w:numPr>
          <w:ilvl w:val="0"/>
          <w:numId w:val="16"/>
        </w:numPr>
        <w:kinsoku/>
        <w:wordWrap/>
        <w:overflowPunct/>
        <w:topLinePunct w:val="0"/>
        <w:autoSpaceDE/>
        <w:autoSpaceDN/>
        <w:bidi w:val="0"/>
        <w:adjustRightInd/>
        <w:snapToGrid/>
        <w:spacing w:line="560" w:lineRule="exact"/>
        <w:ind w:left="0" w:firstLine="0" w:firstLineChars="0"/>
        <w:jc w:val="center"/>
        <w:textAlignment w:val="auto"/>
        <w:outlineLvl w:val="0"/>
        <w:rPr>
          <w:rFonts w:ascii="黑体" w:hAnsi="黑体" w:eastAsia="黑体"/>
          <w:bCs/>
          <w:sz w:val="30"/>
          <w:szCs w:val="30"/>
        </w:rPr>
      </w:pPr>
      <w:bookmarkStart w:id="122" w:name="_Toc408300992"/>
      <w:r>
        <w:rPr>
          <w:rFonts w:eastAsia="方正仿宋简体"/>
          <w:b/>
          <w:bCs/>
          <w:sz w:val="30"/>
          <w:szCs w:val="30"/>
        </w:rPr>
        <w:br w:type="page"/>
      </w:r>
      <w:bookmarkEnd w:id="118"/>
      <w:bookmarkEnd w:id="119"/>
      <w:bookmarkEnd w:id="120"/>
      <w:bookmarkEnd w:id="121"/>
      <w:bookmarkEnd w:id="122"/>
      <w:bookmarkStart w:id="123" w:name="_Toc25841995"/>
      <w:r>
        <w:rPr>
          <w:rFonts w:ascii="黑体" w:hAnsi="黑体" w:eastAsia="黑体"/>
          <w:bCs/>
          <w:sz w:val="30"/>
          <w:szCs w:val="30"/>
        </w:rPr>
        <w:t>持仓限额管理</w:t>
      </w:r>
      <w:bookmarkEnd w:id="123"/>
    </w:p>
    <w:p>
      <w:pPr>
        <w:spacing w:line="560" w:lineRule="exact"/>
        <w:ind w:firstLine="600" w:firstLineChars="200"/>
        <w:rPr>
          <w:rFonts w:eastAsia="方正仿宋简体"/>
          <w:kern w:val="0"/>
          <w:sz w:val="30"/>
          <w:szCs w:val="30"/>
        </w:rPr>
      </w:pPr>
      <w:r>
        <w:rPr>
          <w:rFonts w:eastAsia="方正仿宋简体"/>
          <w:kern w:val="0"/>
          <w:sz w:val="30"/>
          <w:szCs w:val="30"/>
        </w:rPr>
        <w:t>期货公司总部负责制定持仓限额管理相关制度、统筹审核管理客户持仓、限购额度及本公司经纪业务持仓额度，分支机构协助总部做好相关工作。</w:t>
      </w:r>
      <w:bookmarkStart w:id="124" w:name="_Toc467847317"/>
      <w:bookmarkEnd w:id="124"/>
    </w:p>
    <w:p>
      <w:pPr>
        <w:keepNext/>
        <w:keepLines/>
        <w:numPr>
          <w:ilvl w:val="0"/>
          <w:numId w:val="41"/>
        </w:numPr>
        <w:spacing w:line="560" w:lineRule="exact"/>
        <w:ind w:left="0" w:firstLine="601" w:firstLineChars="200"/>
        <w:outlineLvl w:val="1"/>
        <w:rPr>
          <w:rFonts w:eastAsia="方正仿宋简体"/>
          <w:b/>
          <w:bCs/>
          <w:kern w:val="0"/>
          <w:sz w:val="30"/>
          <w:szCs w:val="30"/>
          <w:lang w:val="zh-CN" w:eastAsia="zh-CN"/>
        </w:rPr>
      </w:pPr>
      <w:bookmarkStart w:id="125" w:name="_Toc25841996"/>
      <w:bookmarkStart w:id="126" w:name="_Toc468308341"/>
      <w:bookmarkStart w:id="127" w:name="_Toc422331053"/>
      <w:r>
        <w:rPr>
          <w:rFonts w:eastAsia="方正仿宋简体"/>
          <w:b/>
          <w:bCs/>
          <w:kern w:val="0"/>
          <w:sz w:val="30"/>
          <w:szCs w:val="30"/>
          <w:lang w:val="zh-CN" w:eastAsia="zh-CN"/>
        </w:rPr>
        <w:t>持仓限额</w:t>
      </w:r>
      <w:bookmarkEnd w:id="125"/>
      <w:bookmarkEnd w:id="126"/>
      <w:bookmarkEnd w:id="127"/>
    </w:p>
    <w:p>
      <w:pPr>
        <w:spacing w:line="560" w:lineRule="exact"/>
        <w:ind w:firstLine="600" w:firstLineChars="200"/>
        <w:rPr>
          <w:rFonts w:eastAsia="方正仿宋简体"/>
          <w:kern w:val="0"/>
          <w:sz w:val="30"/>
          <w:szCs w:val="30"/>
          <w:lang w:val="zh-CN"/>
        </w:rPr>
      </w:pPr>
      <w:r>
        <w:rPr>
          <w:rFonts w:eastAsia="方正仿宋简体"/>
          <w:kern w:val="0"/>
          <w:sz w:val="30"/>
          <w:szCs w:val="30"/>
          <w:lang w:val="zh-CN"/>
        </w:rPr>
        <w:t>持仓限额制度包括投资者对单一期权品种的权利仓持仓限额、总持仓限额和</w:t>
      </w:r>
      <w:r>
        <w:rPr>
          <w:rFonts w:eastAsia="方正仿宋简体"/>
          <w:sz w:val="30"/>
          <w:szCs w:val="30"/>
        </w:rPr>
        <w:t>单日买入开仓限额</w:t>
      </w:r>
      <w:r>
        <w:rPr>
          <w:rFonts w:eastAsia="方正仿宋简体"/>
          <w:kern w:val="0"/>
          <w:sz w:val="30"/>
          <w:szCs w:val="30"/>
          <w:lang w:val="zh-CN"/>
        </w:rPr>
        <w:t>。</w:t>
      </w:r>
    </w:p>
    <w:p>
      <w:pPr>
        <w:spacing w:line="560" w:lineRule="exact"/>
        <w:ind w:firstLine="600" w:firstLineChars="200"/>
        <w:rPr>
          <w:rFonts w:eastAsia="方正仿宋简体"/>
          <w:kern w:val="0"/>
          <w:sz w:val="30"/>
          <w:szCs w:val="30"/>
        </w:rPr>
      </w:pPr>
      <w:r>
        <w:rPr>
          <w:rFonts w:eastAsia="方正仿宋简体"/>
          <w:kern w:val="0"/>
          <w:sz w:val="30"/>
          <w:szCs w:val="30"/>
        </w:rPr>
        <w:t>单个</w:t>
      </w:r>
      <w:r>
        <w:rPr>
          <w:rFonts w:eastAsia="方正仿宋简体"/>
          <w:kern w:val="0"/>
          <w:sz w:val="30"/>
          <w:szCs w:val="30"/>
          <w:lang w:val="zh-CN"/>
        </w:rPr>
        <w:t>投资者</w:t>
      </w:r>
      <w:r>
        <w:rPr>
          <w:rFonts w:eastAsia="方正仿宋简体"/>
          <w:kern w:val="0"/>
          <w:sz w:val="30"/>
          <w:szCs w:val="30"/>
        </w:rPr>
        <w:t>对同一合约品种权利仓持仓限额指投资者持有该合约品种的认购期权和认沽期权合约的权利仓合计不得超过的数量。</w:t>
      </w:r>
    </w:p>
    <w:p>
      <w:pPr>
        <w:spacing w:line="560" w:lineRule="exact"/>
        <w:ind w:firstLine="600" w:firstLineChars="200"/>
        <w:rPr>
          <w:rFonts w:eastAsia="方正仿宋简体"/>
          <w:kern w:val="0"/>
          <w:sz w:val="30"/>
          <w:szCs w:val="30"/>
        </w:rPr>
      </w:pPr>
      <w:r>
        <w:rPr>
          <w:rFonts w:eastAsia="方正仿宋简体"/>
          <w:kern w:val="0"/>
          <w:sz w:val="30"/>
          <w:szCs w:val="30"/>
        </w:rPr>
        <w:t>单个</w:t>
      </w:r>
      <w:r>
        <w:rPr>
          <w:rFonts w:eastAsia="方正仿宋简体"/>
          <w:kern w:val="0"/>
          <w:sz w:val="30"/>
          <w:szCs w:val="30"/>
          <w:lang w:val="zh-CN"/>
        </w:rPr>
        <w:t>投资者</w:t>
      </w:r>
      <w:r>
        <w:rPr>
          <w:rFonts w:eastAsia="方正仿宋简体"/>
          <w:kern w:val="0"/>
          <w:sz w:val="30"/>
          <w:szCs w:val="30"/>
        </w:rPr>
        <w:t>对同一合约品种总持仓限额指投资者持有该合约品种的认购期权和认沽期权合约的权利仓和义务仓（含备兑开仓）合计不得超过的数量。</w:t>
      </w:r>
    </w:p>
    <w:p>
      <w:pPr>
        <w:spacing w:line="560" w:lineRule="exact"/>
        <w:ind w:firstLine="600" w:firstLineChars="200"/>
        <w:rPr>
          <w:rFonts w:eastAsia="方正仿宋简体"/>
          <w:kern w:val="0"/>
          <w:sz w:val="30"/>
          <w:szCs w:val="30"/>
        </w:rPr>
      </w:pPr>
      <w:r>
        <w:rPr>
          <w:rFonts w:eastAsia="方正仿宋简体"/>
          <w:kern w:val="0"/>
          <w:sz w:val="30"/>
          <w:szCs w:val="30"/>
        </w:rPr>
        <w:t>单个</w:t>
      </w:r>
      <w:r>
        <w:rPr>
          <w:rFonts w:eastAsia="方正仿宋简体"/>
          <w:kern w:val="0"/>
          <w:sz w:val="30"/>
          <w:szCs w:val="30"/>
          <w:lang w:val="zh-CN"/>
        </w:rPr>
        <w:t>投资者</w:t>
      </w:r>
      <w:r>
        <w:rPr>
          <w:rFonts w:eastAsia="方正仿宋简体"/>
          <w:kern w:val="0"/>
          <w:sz w:val="30"/>
          <w:szCs w:val="30"/>
        </w:rPr>
        <w:t>对同一合约品种</w:t>
      </w:r>
      <w:r>
        <w:rPr>
          <w:rFonts w:eastAsia="方正仿宋简体"/>
          <w:sz w:val="30"/>
          <w:szCs w:val="30"/>
        </w:rPr>
        <w:t>单日买入开仓</w:t>
      </w:r>
      <w:r>
        <w:rPr>
          <w:rFonts w:eastAsia="方正仿宋简体"/>
          <w:kern w:val="0"/>
          <w:sz w:val="30"/>
          <w:szCs w:val="30"/>
        </w:rPr>
        <w:t>限额指投资者在单个交易日内开仓买入该合约品种的认购期权和认沽期权合约合计不得超过的数量。</w:t>
      </w:r>
    </w:p>
    <w:p>
      <w:pPr>
        <w:spacing w:line="560" w:lineRule="exact"/>
        <w:ind w:firstLine="600" w:firstLineChars="200"/>
        <w:rPr>
          <w:rFonts w:eastAsia="方正仿宋简体"/>
          <w:kern w:val="0"/>
          <w:sz w:val="30"/>
          <w:szCs w:val="30"/>
        </w:rPr>
      </w:pPr>
      <w:r>
        <w:rPr>
          <w:rFonts w:eastAsia="方正仿宋简体"/>
          <w:kern w:val="0"/>
          <w:sz w:val="30"/>
          <w:szCs w:val="30"/>
        </w:rPr>
        <w:t>期货公司对同一合约品种的经纪业务总持仓限额指期货公司经纪业务持有该合约品种的认购期权和认沽期权合约的权利仓和义务仓（含备兑开仓）合计不得超过的数量。</w:t>
      </w:r>
    </w:p>
    <w:p>
      <w:pPr>
        <w:spacing w:line="560" w:lineRule="exact"/>
        <w:ind w:firstLine="600" w:firstLineChars="200"/>
        <w:rPr>
          <w:rFonts w:eastAsia="方正仿宋简体"/>
          <w:kern w:val="0"/>
          <w:sz w:val="30"/>
          <w:szCs w:val="30"/>
        </w:rPr>
      </w:pPr>
      <w:r>
        <w:rPr>
          <w:rFonts w:eastAsia="方正仿宋简体"/>
          <w:kern w:val="0"/>
          <w:sz w:val="30"/>
          <w:szCs w:val="30"/>
        </w:rPr>
        <w:t>期货公司应落实持仓限额管理制度，通过交易系统进行前端控制，对客户持仓情况进行监控，并对持仓情况设置预警值及调整措施。</w:t>
      </w:r>
    </w:p>
    <w:p>
      <w:pPr>
        <w:spacing w:line="560" w:lineRule="exact"/>
        <w:ind w:firstLine="600" w:firstLineChars="200"/>
        <w:rPr>
          <w:rFonts w:eastAsia="方正仿宋简体"/>
          <w:kern w:val="0"/>
          <w:sz w:val="30"/>
          <w:szCs w:val="30"/>
        </w:rPr>
      </w:pPr>
      <w:r>
        <w:rPr>
          <w:rFonts w:eastAsia="方正仿宋简体"/>
          <w:kern w:val="0"/>
          <w:sz w:val="30"/>
          <w:szCs w:val="30"/>
        </w:rPr>
        <w:t>对于单个合约品种权利仓持仓限额首次超过2000张的客户，期货公司应于每周一17:00前通过期权业务专区向本所报备其持仓限额情况。</w:t>
      </w:r>
    </w:p>
    <w:p>
      <w:pPr>
        <w:keepNext/>
        <w:keepLines/>
        <w:numPr>
          <w:ilvl w:val="0"/>
          <w:numId w:val="42"/>
        </w:numPr>
        <w:spacing w:line="560" w:lineRule="exact"/>
        <w:ind w:left="0" w:firstLine="601" w:firstLineChars="200"/>
        <w:outlineLvl w:val="2"/>
        <w:rPr>
          <w:rFonts w:eastAsia="方正仿宋简体"/>
          <w:b/>
          <w:bCs/>
          <w:kern w:val="0"/>
          <w:sz w:val="30"/>
          <w:szCs w:val="30"/>
          <w:lang w:val="zh-CN" w:eastAsia="zh-CN"/>
        </w:rPr>
      </w:pPr>
      <w:r>
        <w:rPr>
          <w:rFonts w:eastAsia="方正仿宋简体"/>
          <w:b/>
          <w:bCs/>
          <w:kern w:val="0"/>
          <w:sz w:val="30"/>
          <w:szCs w:val="30"/>
          <w:lang w:val="zh-CN" w:eastAsia="zh-CN"/>
        </w:rPr>
        <w:t>额度设定</w:t>
      </w:r>
    </w:p>
    <w:p>
      <w:pPr>
        <w:spacing w:line="560" w:lineRule="exact"/>
        <w:ind w:firstLine="600" w:firstLineChars="200"/>
        <w:rPr>
          <w:rFonts w:eastAsia="方正仿宋简体"/>
          <w:kern w:val="0"/>
          <w:sz w:val="30"/>
          <w:szCs w:val="30"/>
        </w:rPr>
      </w:pPr>
      <w:r>
        <w:rPr>
          <w:rFonts w:eastAsia="方正仿宋简体"/>
          <w:kern w:val="0"/>
          <w:sz w:val="30"/>
          <w:szCs w:val="30"/>
        </w:rPr>
        <w:t>对不同合约品种，期货公司可以对不同客户设置不同的持仓限额，但不得高于交易所规定标准。期货公司可以结合客户的期权交易情况、额度使用情况、自有资产余额以及风险承受能力，确定客户实际可以获得的持仓限额：</w:t>
      </w:r>
    </w:p>
    <w:p>
      <w:pPr>
        <w:numPr>
          <w:ilvl w:val="0"/>
          <w:numId w:val="43"/>
        </w:numPr>
        <w:spacing w:line="560" w:lineRule="exact"/>
        <w:ind w:left="0" w:firstLine="600" w:firstLineChars="200"/>
        <w:rPr>
          <w:rFonts w:eastAsia="方正仿宋简体"/>
          <w:kern w:val="0"/>
          <w:sz w:val="30"/>
          <w:szCs w:val="30"/>
        </w:rPr>
      </w:pPr>
      <w:r>
        <w:rPr>
          <w:rFonts w:eastAsia="方正仿宋简体"/>
          <w:kern w:val="0"/>
          <w:sz w:val="30"/>
          <w:szCs w:val="30"/>
        </w:rPr>
        <w:t>新开立合约账户的投资者，权利仓持仓限额为100张，总持仓限额为200张，单日买入开仓限额为400张。</w:t>
      </w:r>
    </w:p>
    <w:p>
      <w:pPr>
        <w:numPr>
          <w:ilvl w:val="0"/>
          <w:numId w:val="43"/>
        </w:numPr>
        <w:spacing w:line="560" w:lineRule="exact"/>
        <w:ind w:left="0" w:firstLine="600" w:firstLineChars="200"/>
        <w:rPr>
          <w:rFonts w:eastAsia="方正仿宋简体"/>
          <w:kern w:val="0"/>
          <w:sz w:val="30"/>
          <w:szCs w:val="30"/>
        </w:rPr>
      </w:pPr>
      <w:r>
        <w:rPr>
          <w:rFonts w:eastAsia="方正仿宋简体"/>
          <w:kern w:val="0"/>
          <w:sz w:val="30"/>
          <w:szCs w:val="30"/>
        </w:rPr>
        <w:t>经期货公司评估认为风险承受能力较强、开户满10个交易日、期权合约成交量达到100张且具备三级交易权限的投资者，权利仓持仓限额1000张、总持仓限额2000张、单日买入开仓限额4000张。</w:t>
      </w:r>
    </w:p>
    <w:p>
      <w:pPr>
        <w:numPr>
          <w:ilvl w:val="0"/>
          <w:numId w:val="43"/>
        </w:numPr>
        <w:spacing w:line="560" w:lineRule="exact"/>
        <w:ind w:left="0" w:firstLine="600" w:firstLineChars="200"/>
        <w:rPr>
          <w:rFonts w:eastAsia="方正仿宋简体"/>
          <w:kern w:val="0"/>
          <w:sz w:val="30"/>
          <w:szCs w:val="30"/>
        </w:rPr>
      </w:pPr>
      <w:r>
        <w:rPr>
          <w:rFonts w:eastAsia="方正仿宋简体"/>
          <w:kern w:val="0"/>
          <w:sz w:val="30"/>
          <w:szCs w:val="30"/>
        </w:rPr>
        <w:t>经期货公司评估认为风险承受能力较强、开户满10个交易日、期权合约成交量达到500张、自有资产余额超过100万元且具备三级交易权限的客户，权利仓持仓限额2000张、总持仓限额4000张、单日买入开仓限额8000张。</w:t>
      </w:r>
    </w:p>
    <w:p>
      <w:pPr>
        <w:numPr>
          <w:ilvl w:val="0"/>
          <w:numId w:val="43"/>
        </w:numPr>
        <w:spacing w:line="560" w:lineRule="exact"/>
        <w:ind w:left="0" w:firstLine="600" w:firstLineChars="200"/>
        <w:rPr>
          <w:rFonts w:eastAsia="方正仿宋简体"/>
          <w:kern w:val="0"/>
          <w:sz w:val="30"/>
          <w:szCs w:val="30"/>
        </w:rPr>
      </w:pPr>
      <w:r>
        <w:rPr>
          <w:rFonts w:eastAsia="方正仿宋简体"/>
          <w:kern w:val="0"/>
          <w:sz w:val="30"/>
          <w:szCs w:val="30"/>
        </w:rPr>
        <w:t>经期货公司评估认为风险承受能力较强、开户满10个交易日、期权合约成交量达到1000张、自有资产余额超过300万且具备三级交易权限的投资者，权利仓持仓限额为5000张、总持仓限额为10000张、单日买入开仓限额为10000张。</w:t>
      </w:r>
    </w:p>
    <w:p>
      <w:pPr>
        <w:spacing w:line="560" w:lineRule="exact"/>
        <w:ind w:firstLine="600" w:firstLineChars="200"/>
        <w:rPr>
          <w:rFonts w:eastAsia="方正仿宋简体"/>
          <w:kern w:val="0"/>
          <w:sz w:val="30"/>
          <w:szCs w:val="30"/>
        </w:rPr>
      </w:pPr>
      <w:r>
        <w:rPr>
          <w:rFonts w:eastAsia="方正仿宋简体"/>
          <w:kern w:val="0"/>
          <w:sz w:val="30"/>
          <w:szCs w:val="30"/>
        </w:rPr>
        <w:t>投资者确有需要提高单个品种持仓限额的，须经过期权经营机构向本所报备。本所视报备情况提高其单个品种的持仓限额，最高不超过该品种持仓限额最高标准的五倍。接收委托的期货公司应当通过本所期权业务专区报备，同时提交下列书面材料：</w:t>
      </w:r>
    </w:p>
    <w:p>
      <w:pPr>
        <w:numPr>
          <w:ilvl w:val="0"/>
          <w:numId w:val="44"/>
        </w:numPr>
        <w:spacing w:line="560" w:lineRule="exact"/>
        <w:ind w:firstLine="600" w:firstLineChars="200"/>
        <w:rPr>
          <w:rFonts w:eastAsia="方正仿宋简体"/>
          <w:kern w:val="0"/>
          <w:sz w:val="30"/>
          <w:szCs w:val="30"/>
        </w:rPr>
      </w:pPr>
      <w:r>
        <w:rPr>
          <w:rFonts w:eastAsia="方正仿宋简体"/>
          <w:kern w:val="0"/>
          <w:sz w:val="30"/>
          <w:szCs w:val="30"/>
        </w:rPr>
        <w:t>个人投资者提交经本人签字的持仓限额调整报备表（附件3），机构投资者提交加盖单位公章的申请书及持仓限额调整报备表（附件3）。</w:t>
      </w:r>
    </w:p>
    <w:p>
      <w:pPr>
        <w:numPr>
          <w:ilvl w:val="0"/>
          <w:numId w:val="44"/>
        </w:numPr>
        <w:spacing w:line="560" w:lineRule="exact"/>
        <w:ind w:firstLine="600" w:firstLineChars="200"/>
        <w:rPr>
          <w:rFonts w:eastAsia="方正仿宋简体"/>
          <w:sz w:val="30"/>
          <w:szCs w:val="30"/>
        </w:rPr>
      </w:pPr>
      <w:r>
        <w:rPr>
          <w:rFonts w:eastAsia="方正仿宋简体"/>
          <w:sz w:val="30"/>
          <w:szCs w:val="30"/>
        </w:rPr>
        <w:t>个人投资者需提供账户信息、有效身份证明复印件，机构投资者需提供账户信息、单位的授权委托书、授权委托人（代理人）身份证复印件和单位营业执照复印件等。</w:t>
      </w:r>
    </w:p>
    <w:p>
      <w:pPr>
        <w:numPr>
          <w:ilvl w:val="0"/>
          <w:numId w:val="44"/>
        </w:numPr>
        <w:spacing w:line="560" w:lineRule="exact"/>
        <w:ind w:firstLine="600" w:firstLineChars="200"/>
        <w:rPr>
          <w:rFonts w:eastAsia="方正仿宋简体"/>
          <w:kern w:val="0"/>
          <w:sz w:val="30"/>
          <w:szCs w:val="30"/>
        </w:rPr>
      </w:pPr>
      <w:r>
        <w:rPr>
          <w:rFonts w:eastAsia="方正仿宋简体"/>
          <w:sz w:val="30"/>
          <w:szCs w:val="30"/>
        </w:rPr>
        <w:t>期货公司出具的客户持仓限额调整意见书，该意见书需经期货公司股票期权经纪业务负责人签字，并加盖期货公司公章。</w:t>
      </w:r>
    </w:p>
    <w:p>
      <w:pPr>
        <w:numPr>
          <w:ilvl w:val="0"/>
          <w:numId w:val="44"/>
        </w:numPr>
        <w:spacing w:line="560" w:lineRule="exact"/>
        <w:ind w:firstLine="600" w:firstLineChars="200"/>
        <w:rPr>
          <w:rFonts w:eastAsia="方正仿宋简体"/>
          <w:kern w:val="0"/>
          <w:sz w:val="30"/>
          <w:szCs w:val="30"/>
        </w:rPr>
      </w:pPr>
      <w:r>
        <w:rPr>
          <w:rFonts w:eastAsia="方正仿宋简体"/>
          <w:kern w:val="0"/>
          <w:sz w:val="30"/>
          <w:szCs w:val="30"/>
        </w:rPr>
        <w:t>期货公司出具的客户在最近1个月的日均持仓量、限仓额度、买入额度使用情况等材料。</w:t>
      </w:r>
    </w:p>
    <w:p>
      <w:pPr>
        <w:numPr>
          <w:ilvl w:val="0"/>
          <w:numId w:val="44"/>
        </w:numPr>
        <w:spacing w:line="560" w:lineRule="exact"/>
        <w:ind w:firstLine="600" w:firstLineChars="200"/>
        <w:rPr>
          <w:rFonts w:eastAsia="方正仿宋简体"/>
          <w:kern w:val="0"/>
          <w:sz w:val="30"/>
          <w:szCs w:val="30"/>
        </w:rPr>
      </w:pPr>
      <w:r>
        <w:rPr>
          <w:rFonts w:eastAsia="方正仿宋简体"/>
          <w:kern w:val="0"/>
          <w:sz w:val="30"/>
          <w:szCs w:val="30"/>
        </w:rPr>
        <w:t>已在沪市开通的多个衍生品合约账户及持仓限额的证明材料。已开立沪市衍生品合约账户的投资者，若在多个期权经营机构开立有效沪市合约账户且进行过交易，需提供半年以内交割单、对账单等证明材料。</w:t>
      </w:r>
    </w:p>
    <w:p>
      <w:pPr>
        <w:spacing w:line="560" w:lineRule="exact"/>
        <w:ind w:firstLine="600" w:firstLineChars="200"/>
        <w:rPr>
          <w:rFonts w:eastAsia="方正仿宋简体"/>
          <w:kern w:val="0"/>
          <w:sz w:val="30"/>
          <w:szCs w:val="30"/>
        </w:rPr>
      </w:pPr>
      <w:r>
        <w:rPr>
          <w:rFonts w:eastAsia="方正仿宋简体"/>
          <w:kern w:val="0"/>
          <w:sz w:val="30"/>
          <w:szCs w:val="30"/>
        </w:rPr>
        <w:t>投资者提供的申请材料应当真实、准确、完整，</w:t>
      </w:r>
      <w:r>
        <w:rPr>
          <w:rFonts w:hint="eastAsia" w:eastAsia="方正仿宋简体"/>
          <w:kern w:val="0"/>
          <w:sz w:val="30"/>
          <w:szCs w:val="30"/>
          <w:lang w:eastAsia="zh-CN"/>
        </w:rPr>
        <w:t>期货</w:t>
      </w:r>
      <w:r>
        <w:rPr>
          <w:rFonts w:eastAsia="方正仿宋简体"/>
          <w:kern w:val="0"/>
          <w:sz w:val="30"/>
          <w:szCs w:val="30"/>
        </w:rPr>
        <w:t>公司应当对客户的申请材料进行核查，保证其真实、准确、完整，并持续对其额度的使用情况进行跟踪评估。</w:t>
      </w:r>
    </w:p>
    <w:p>
      <w:pPr>
        <w:spacing w:line="560" w:lineRule="exact"/>
        <w:ind w:firstLine="600" w:firstLineChars="200"/>
        <w:rPr>
          <w:rFonts w:eastAsia="方正仿宋简体"/>
          <w:kern w:val="0"/>
          <w:sz w:val="30"/>
          <w:szCs w:val="30"/>
          <w:lang w:val="zh-CN" w:eastAsia="zh-CN"/>
        </w:rPr>
      </w:pPr>
      <w:r>
        <w:rPr>
          <w:rFonts w:eastAsia="方正仿宋简体"/>
          <w:kern w:val="0"/>
          <w:sz w:val="30"/>
          <w:szCs w:val="30"/>
        </w:rPr>
        <w:t>投资者因套保等需要可以通过期货公司向本所申请提高持仓限额</w:t>
      </w:r>
      <w:r>
        <w:rPr>
          <w:rFonts w:eastAsia="方正仿宋简体"/>
          <w:kern w:val="0"/>
          <w:sz w:val="30"/>
          <w:szCs w:val="30"/>
          <w:lang w:val="zh-CN" w:eastAsia="zh-CN"/>
        </w:rPr>
        <w:t>。</w:t>
      </w:r>
    </w:p>
    <w:p>
      <w:pPr>
        <w:spacing w:line="560" w:lineRule="exact"/>
        <w:ind w:firstLine="600" w:firstLineChars="200"/>
        <w:rPr>
          <w:rFonts w:eastAsia="方正仿宋简体"/>
          <w:kern w:val="0"/>
          <w:sz w:val="30"/>
          <w:szCs w:val="30"/>
          <w:lang w:val="zh-CN"/>
        </w:rPr>
      </w:pPr>
      <w:r>
        <w:rPr>
          <w:rFonts w:eastAsia="方正仿宋简体"/>
          <w:kern w:val="0"/>
          <w:sz w:val="30"/>
          <w:szCs w:val="30"/>
        </w:rPr>
        <w:t>为避免投资者多处交易出现超仓违规情况</w:t>
      </w:r>
      <w:r>
        <w:rPr>
          <w:rFonts w:eastAsia="方正仿宋简体"/>
          <w:sz w:val="30"/>
          <w:szCs w:val="30"/>
        </w:rPr>
        <w:t>，本所交易系统</w:t>
      </w:r>
      <w:r>
        <w:rPr>
          <w:rFonts w:eastAsia="方正仿宋简体"/>
          <w:kern w:val="0"/>
          <w:sz w:val="30"/>
          <w:szCs w:val="30"/>
        </w:rPr>
        <w:t>按照</w:t>
      </w:r>
      <w:r>
        <w:rPr>
          <w:rFonts w:eastAsia="方正仿宋简体"/>
          <w:sz w:val="30"/>
          <w:szCs w:val="30"/>
        </w:rPr>
        <w:t>投资者A股证券账户对投资者持仓限额（包括权利仓持仓限额、总持仓限额及单日买入开仓限额）进行前端控制</w:t>
      </w:r>
      <w:r>
        <w:rPr>
          <w:rFonts w:eastAsia="方正仿宋简体"/>
          <w:kern w:val="0"/>
          <w:sz w:val="30"/>
          <w:szCs w:val="30"/>
        </w:rPr>
        <w:t>，超出本所持仓限额标准的开仓申报指令将被自动撤单</w:t>
      </w:r>
      <w:r>
        <w:rPr>
          <w:rFonts w:eastAsia="方正仿宋简体"/>
          <w:sz w:val="30"/>
          <w:szCs w:val="30"/>
        </w:rPr>
        <w:t>。</w:t>
      </w:r>
    </w:p>
    <w:p>
      <w:pPr>
        <w:spacing w:line="560" w:lineRule="exact"/>
        <w:ind w:firstLine="600" w:firstLineChars="200"/>
        <w:rPr>
          <w:rFonts w:eastAsia="方正仿宋简体"/>
          <w:kern w:val="0"/>
          <w:sz w:val="30"/>
          <w:szCs w:val="30"/>
        </w:rPr>
      </w:pPr>
      <w:r>
        <w:rPr>
          <w:rFonts w:eastAsia="方正仿宋简体"/>
          <w:kern w:val="0"/>
          <w:sz w:val="30"/>
          <w:szCs w:val="30"/>
          <w:lang w:val="zh-CN"/>
        </w:rPr>
        <w:t>对于在多家期货公司进行期权开户交易的投资者（通过中国结算统一账户平台检查），</w:t>
      </w:r>
      <w:r>
        <w:rPr>
          <w:rFonts w:eastAsia="方正仿宋简体"/>
          <w:kern w:val="0"/>
          <w:sz w:val="30"/>
          <w:szCs w:val="30"/>
        </w:rPr>
        <w:t>期货公司在确定其持仓限额时，应告知投资者如在其他经营机构已有同期权品种的交易持仓，则该投资者可能因持仓合并计算达到本所标准，而无法按本公司确定的持仓限额上限进行开仓交易。</w:t>
      </w:r>
    </w:p>
    <w:p>
      <w:pPr>
        <w:keepNext/>
        <w:keepLines/>
        <w:numPr>
          <w:ilvl w:val="0"/>
          <w:numId w:val="42"/>
        </w:numPr>
        <w:spacing w:line="560" w:lineRule="exact"/>
        <w:ind w:left="0" w:firstLine="601" w:firstLineChars="200"/>
        <w:outlineLvl w:val="2"/>
        <w:rPr>
          <w:rFonts w:eastAsia="方正仿宋简体"/>
          <w:b/>
          <w:bCs/>
          <w:kern w:val="0"/>
          <w:sz w:val="30"/>
          <w:szCs w:val="30"/>
          <w:lang w:val="zh-CN" w:eastAsia="zh-CN"/>
        </w:rPr>
      </w:pPr>
      <w:r>
        <w:rPr>
          <w:rFonts w:eastAsia="方正仿宋简体"/>
          <w:b/>
          <w:bCs/>
          <w:kern w:val="0"/>
          <w:sz w:val="30"/>
          <w:szCs w:val="30"/>
          <w:lang w:val="zh-CN" w:eastAsia="zh-CN"/>
        </w:rPr>
        <w:t>前端控制</w:t>
      </w:r>
    </w:p>
    <w:p>
      <w:pPr>
        <w:spacing w:line="560" w:lineRule="exact"/>
        <w:ind w:firstLine="600" w:firstLineChars="200"/>
        <w:rPr>
          <w:rFonts w:eastAsia="方正仿宋简体"/>
          <w:kern w:val="0"/>
          <w:sz w:val="30"/>
          <w:szCs w:val="30"/>
        </w:rPr>
      </w:pPr>
      <w:r>
        <w:rPr>
          <w:rFonts w:eastAsia="方正仿宋简体"/>
          <w:kern w:val="0"/>
          <w:sz w:val="30"/>
          <w:szCs w:val="30"/>
        </w:rPr>
        <w:t>期货公司应监控客户及自身经纪业务的期权合约持仓情况，包括：单个账户对同一合约品种（指同一合约标的的期权合约）权利仓持仓数量、单个账户对同一合约品种总持仓数量、单个账户对同一合约品种单日买入开仓数量、期货公司对同一合约品种的经纪业务总持仓数量。前端控制可按下列条件进行检查，由于开仓申报数量不满足下列要求导致的申报失败应在交易界面进行提醒及解释。</w:t>
      </w:r>
    </w:p>
    <w:p>
      <w:pPr>
        <w:numPr>
          <w:ilvl w:val="0"/>
          <w:numId w:val="45"/>
        </w:numPr>
        <w:spacing w:line="560" w:lineRule="exact"/>
        <w:ind w:left="0" w:firstLine="601" w:firstLineChars="200"/>
        <w:outlineLvl w:val="3"/>
        <w:rPr>
          <w:rFonts w:eastAsia="方正仿宋简体"/>
          <w:b/>
          <w:bCs/>
          <w:sz w:val="30"/>
          <w:szCs w:val="30"/>
        </w:rPr>
      </w:pPr>
      <w:r>
        <w:rPr>
          <w:rFonts w:eastAsia="方正仿宋简体"/>
          <w:b/>
          <w:bCs/>
          <w:sz w:val="30"/>
          <w:szCs w:val="30"/>
        </w:rPr>
        <w:t>买入开仓</w:t>
      </w:r>
    </w:p>
    <w:p>
      <w:pPr>
        <w:spacing w:line="560" w:lineRule="exact"/>
        <w:ind w:firstLine="600" w:firstLineChars="200"/>
        <w:rPr>
          <w:rFonts w:eastAsia="方正仿宋简体"/>
          <w:sz w:val="30"/>
          <w:szCs w:val="30"/>
        </w:rPr>
      </w:pPr>
      <w:r>
        <w:rPr>
          <w:rFonts w:eastAsia="方正仿宋简体"/>
          <w:sz w:val="30"/>
          <w:szCs w:val="30"/>
        </w:rPr>
        <w:t>权利仓已持仓</w:t>
      </w:r>
      <w:r>
        <w:rPr>
          <w:rFonts w:eastAsia="方正仿宋简体"/>
          <w:kern w:val="0"/>
          <w:sz w:val="30"/>
          <w:szCs w:val="30"/>
        </w:rPr>
        <w:t>数量</w:t>
      </w:r>
      <w:r>
        <w:rPr>
          <w:rFonts w:eastAsia="方正仿宋简体"/>
          <w:sz w:val="30"/>
          <w:szCs w:val="30"/>
        </w:rPr>
        <w:t>+买入开仓未成交申报数量（撤单需扣减）&lt;=权利仓持仓限额</w:t>
      </w:r>
    </w:p>
    <w:p>
      <w:pPr>
        <w:spacing w:line="560" w:lineRule="exact"/>
        <w:ind w:firstLine="600" w:firstLineChars="200"/>
        <w:rPr>
          <w:rFonts w:eastAsia="方正仿宋简体"/>
          <w:sz w:val="30"/>
          <w:szCs w:val="30"/>
        </w:rPr>
      </w:pPr>
      <w:r>
        <w:rPr>
          <w:rFonts w:eastAsia="方正仿宋简体"/>
          <w:sz w:val="30"/>
          <w:szCs w:val="30"/>
        </w:rPr>
        <w:t>权利仓已持仓</w:t>
      </w:r>
      <w:r>
        <w:rPr>
          <w:rFonts w:eastAsia="方正仿宋简体"/>
          <w:kern w:val="0"/>
          <w:sz w:val="30"/>
          <w:szCs w:val="30"/>
        </w:rPr>
        <w:t>数量</w:t>
      </w:r>
      <w:r>
        <w:rPr>
          <w:rFonts w:eastAsia="方正仿宋简体"/>
          <w:sz w:val="30"/>
          <w:szCs w:val="30"/>
        </w:rPr>
        <w:t>+</w:t>
      </w:r>
      <w:r>
        <w:rPr>
          <w:rFonts w:eastAsia="方正仿宋简体"/>
          <w:kern w:val="0"/>
          <w:sz w:val="30"/>
          <w:szCs w:val="30"/>
        </w:rPr>
        <w:t>义务</w:t>
      </w:r>
      <w:r>
        <w:rPr>
          <w:rFonts w:eastAsia="方正仿宋简体"/>
          <w:sz w:val="30"/>
          <w:szCs w:val="30"/>
        </w:rPr>
        <w:t>仓已持仓数量（包括备兑开仓）+买入开仓未成交申报数量（撤单需扣减）+卖出开仓未成交申报数量（撤单需扣减，包括备兑开仓）&lt;=总持仓限额</w:t>
      </w:r>
    </w:p>
    <w:p>
      <w:pPr>
        <w:spacing w:line="560" w:lineRule="exact"/>
        <w:ind w:firstLine="600" w:firstLineChars="200"/>
        <w:rPr>
          <w:rFonts w:eastAsia="方正仿宋简体"/>
          <w:sz w:val="30"/>
          <w:szCs w:val="30"/>
        </w:rPr>
      </w:pPr>
      <w:r>
        <w:rPr>
          <w:rFonts w:eastAsia="方正仿宋简体"/>
          <w:kern w:val="0"/>
          <w:sz w:val="30"/>
          <w:szCs w:val="30"/>
        </w:rPr>
        <w:t>该合约品种当日已累计买入开仓委托数量（撤单需扣减实际撤单数量）+该笔买入开仓数量&lt;=该合约品种单日买入开仓限额（平仓后不计增单日可买入开仓额度）</w:t>
      </w:r>
    </w:p>
    <w:p>
      <w:pPr>
        <w:numPr>
          <w:ilvl w:val="0"/>
          <w:numId w:val="45"/>
        </w:numPr>
        <w:spacing w:line="560" w:lineRule="exact"/>
        <w:ind w:left="0" w:firstLine="601" w:firstLineChars="200"/>
        <w:outlineLvl w:val="3"/>
        <w:rPr>
          <w:rFonts w:eastAsia="方正仿宋简体"/>
          <w:b/>
          <w:bCs/>
          <w:sz w:val="30"/>
          <w:szCs w:val="30"/>
        </w:rPr>
      </w:pPr>
      <w:r>
        <w:rPr>
          <w:rFonts w:eastAsia="方正仿宋简体"/>
          <w:b/>
          <w:bCs/>
          <w:sz w:val="30"/>
          <w:szCs w:val="30"/>
        </w:rPr>
        <w:t>卖出开仓</w:t>
      </w:r>
    </w:p>
    <w:p>
      <w:pPr>
        <w:spacing w:line="560" w:lineRule="exact"/>
        <w:ind w:firstLine="600" w:firstLineChars="200"/>
        <w:rPr>
          <w:rFonts w:eastAsia="方正仿宋简体"/>
          <w:sz w:val="30"/>
          <w:szCs w:val="30"/>
        </w:rPr>
      </w:pPr>
      <w:r>
        <w:rPr>
          <w:rFonts w:eastAsia="方正仿宋简体"/>
          <w:sz w:val="30"/>
          <w:szCs w:val="30"/>
        </w:rPr>
        <w:t>权利仓已持仓</w:t>
      </w:r>
      <w:r>
        <w:rPr>
          <w:rFonts w:eastAsia="方正仿宋简体"/>
          <w:kern w:val="0"/>
          <w:sz w:val="30"/>
          <w:szCs w:val="30"/>
        </w:rPr>
        <w:t>数量</w:t>
      </w:r>
      <w:r>
        <w:rPr>
          <w:rFonts w:eastAsia="方正仿宋简体"/>
          <w:sz w:val="30"/>
          <w:szCs w:val="30"/>
        </w:rPr>
        <w:t>+义务仓已持仓数量（包括备兑开仓）+买入开仓未成交申报数量（撤单需扣减）+卖出开仓未成交申报数量（撤单需扣减，包括备兑开仓）&lt;=总持仓限额</w:t>
      </w:r>
    </w:p>
    <w:p>
      <w:pPr>
        <w:keepNext/>
        <w:keepLines/>
        <w:numPr>
          <w:ilvl w:val="0"/>
          <w:numId w:val="42"/>
        </w:numPr>
        <w:spacing w:line="560" w:lineRule="exact"/>
        <w:ind w:left="0" w:firstLine="601" w:firstLineChars="200"/>
        <w:outlineLvl w:val="2"/>
        <w:rPr>
          <w:rFonts w:eastAsia="方正仿宋简体"/>
          <w:b/>
          <w:bCs/>
          <w:kern w:val="0"/>
          <w:sz w:val="30"/>
          <w:szCs w:val="30"/>
          <w:lang w:val="zh-CN" w:eastAsia="zh-CN"/>
        </w:rPr>
      </w:pPr>
      <w:r>
        <w:rPr>
          <w:rFonts w:eastAsia="方正仿宋简体"/>
          <w:b/>
          <w:bCs/>
          <w:kern w:val="0"/>
          <w:sz w:val="30"/>
          <w:szCs w:val="30"/>
          <w:lang w:val="zh-CN" w:eastAsia="zh-CN"/>
        </w:rPr>
        <w:t>持仓比例预警值</w:t>
      </w:r>
    </w:p>
    <w:p>
      <w:pPr>
        <w:spacing w:line="560" w:lineRule="exact"/>
        <w:ind w:firstLine="600" w:firstLineChars="200"/>
        <w:rPr>
          <w:rFonts w:eastAsia="方正仿宋简体"/>
          <w:kern w:val="0"/>
          <w:sz w:val="30"/>
          <w:szCs w:val="30"/>
        </w:rPr>
      </w:pPr>
      <w:r>
        <w:rPr>
          <w:rFonts w:eastAsia="方正仿宋简体"/>
          <w:kern w:val="0"/>
          <w:sz w:val="30"/>
          <w:szCs w:val="30"/>
        </w:rPr>
        <w:t>期货公司应就上述针对同一合约品种的持仓数量设置持仓比例预警值，确保投资者、期货公司经纪业务对同一合约品种的持仓不超过期货公司及</w:t>
      </w:r>
      <w:r>
        <w:rPr>
          <w:rFonts w:eastAsia="方正仿宋简体"/>
          <w:sz w:val="30"/>
          <w:szCs w:val="30"/>
        </w:rPr>
        <w:t>本所</w:t>
      </w:r>
      <w:r>
        <w:rPr>
          <w:rFonts w:eastAsia="方正仿宋简体"/>
          <w:kern w:val="0"/>
          <w:sz w:val="30"/>
          <w:szCs w:val="30"/>
        </w:rPr>
        <w:t>规定的持仓限额：</w:t>
      </w:r>
    </w:p>
    <w:p>
      <w:pPr>
        <w:spacing w:line="560" w:lineRule="exact"/>
        <w:ind w:firstLine="600" w:firstLineChars="200"/>
        <w:rPr>
          <w:rFonts w:eastAsia="方正仿宋简体"/>
          <w:kern w:val="0"/>
          <w:sz w:val="30"/>
          <w:szCs w:val="30"/>
        </w:rPr>
      </w:pPr>
      <w:r>
        <w:rPr>
          <w:rFonts w:eastAsia="方正仿宋简体"/>
          <w:kern w:val="0"/>
          <w:sz w:val="30"/>
          <w:szCs w:val="30"/>
        </w:rPr>
        <w:t>同一合约品种持仓比例=单个合约品种持仓数量之和/持仓限额</w:t>
      </w:r>
    </w:p>
    <w:p>
      <w:pPr>
        <w:spacing w:line="560" w:lineRule="exact"/>
        <w:ind w:firstLine="600" w:firstLineChars="200"/>
        <w:rPr>
          <w:rFonts w:eastAsia="方正仿宋简体"/>
          <w:sz w:val="30"/>
          <w:szCs w:val="30"/>
        </w:rPr>
      </w:pPr>
      <w:r>
        <w:rPr>
          <w:rFonts w:eastAsia="方正仿宋简体"/>
          <w:sz w:val="30"/>
          <w:szCs w:val="30"/>
        </w:rPr>
        <w:t>为了对整个经纪业务持仓风险进行控制，期货公司应当对经纪业务中同一合约品种的总持仓进行前端控制。对于经纪业务同一合约品种总持仓占持仓限额</w:t>
      </w:r>
      <w:r>
        <w:rPr>
          <w:rFonts w:eastAsia="方正仿宋简体"/>
          <w:kern w:val="0"/>
          <w:sz w:val="30"/>
          <w:szCs w:val="30"/>
        </w:rPr>
        <w:t>比例</w:t>
      </w:r>
      <w:r>
        <w:rPr>
          <w:rFonts w:eastAsia="方正仿宋简体"/>
          <w:sz w:val="30"/>
          <w:szCs w:val="30"/>
        </w:rPr>
        <w:t>达到一定阀值（比如80%，期货公司可以结合本公司实际情况确定阀值）时，期货公司根据自身情况决定是否向本所提出调高总持仓限额的申请。若需调整总持仓限额，需提交相关申请材料，本所将根据市场情况以及申请人的申请材料、资信状况、交易情况等，对其额度申请进行审核。</w:t>
      </w:r>
    </w:p>
    <w:p>
      <w:pPr>
        <w:ind w:firstLine="560" w:firstLineChars="200"/>
        <w:jc w:val="center"/>
        <w:rPr>
          <w:rFonts w:eastAsia="方正仿宋简体"/>
          <w:sz w:val="28"/>
          <w:szCs w:val="28"/>
        </w:rPr>
      </w:pPr>
      <w:r>
        <w:rPr>
          <w:rFonts w:eastAsia="仿宋_GB2312" w:cs="仿宋_GB2312"/>
          <w:sz w:val="28"/>
          <w:szCs w:val="28"/>
        </w:rPr>
        <w:br w:type="page"/>
      </w:r>
      <w:r>
        <w:rPr>
          <w:rFonts w:eastAsia="方正仿宋简体"/>
          <w:sz w:val="28"/>
          <w:szCs w:val="28"/>
        </w:rPr>
        <w:t>表1 同一期权品种持仓限额设置（单位：张）</w:t>
      </w:r>
    </w:p>
    <w:tbl>
      <w:tblPr>
        <w:tblStyle w:val="3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51"/>
        <w:gridCol w:w="2057"/>
        <w:gridCol w:w="2207"/>
        <w:gridCol w:w="15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4140" w:type="pct"/>
            <w:gridSpan w:val="3"/>
            <w:shd w:val="clear" w:color="auto" w:fill="auto"/>
            <w:noWrap/>
            <w:vAlign w:val="center"/>
          </w:tcPr>
          <w:p>
            <w:pPr>
              <w:widowControl/>
              <w:jc w:val="center"/>
              <w:rPr>
                <w:rFonts w:eastAsia="方正仿宋简体"/>
                <w:kern w:val="0"/>
                <w:sz w:val="24"/>
                <w:szCs w:val="28"/>
              </w:rPr>
            </w:pPr>
            <w:r>
              <w:rPr>
                <w:rFonts w:eastAsia="方正仿宋简体"/>
                <w:kern w:val="0"/>
                <w:sz w:val="24"/>
                <w:szCs w:val="28"/>
              </w:rPr>
              <w:t>单个账户</w:t>
            </w:r>
          </w:p>
        </w:tc>
        <w:tc>
          <w:tcPr>
            <w:tcW w:w="860" w:type="pct"/>
            <w:shd w:val="clear" w:color="auto" w:fill="auto"/>
            <w:noWrap/>
            <w:vAlign w:val="center"/>
          </w:tcPr>
          <w:p>
            <w:pPr>
              <w:widowControl/>
              <w:jc w:val="center"/>
              <w:rPr>
                <w:rFonts w:eastAsia="方正仿宋简体"/>
                <w:kern w:val="0"/>
                <w:sz w:val="24"/>
                <w:szCs w:val="28"/>
              </w:rPr>
            </w:pPr>
            <w:r>
              <w:rPr>
                <w:rFonts w:eastAsia="方正仿宋简体"/>
                <w:kern w:val="0"/>
                <w:sz w:val="24"/>
                <w:szCs w:val="28"/>
              </w:rPr>
              <w:t>期货公司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5" w:hRule="atLeast"/>
        </w:trPr>
        <w:tc>
          <w:tcPr>
            <w:tcW w:w="4140" w:type="pct"/>
            <w:gridSpan w:val="3"/>
            <w:shd w:val="clear" w:color="auto" w:fill="auto"/>
            <w:noWrap/>
            <w:vAlign w:val="center"/>
          </w:tcPr>
          <w:p>
            <w:pPr>
              <w:widowControl/>
              <w:jc w:val="center"/>
              <w:rPr>
                <w:rFonts w:eastAsia="方正仿宋简体"/>
                <w:kern w:val="0"/>
                <w:sz w:val="24"/>
                <w:szCs w:val="28"/>
              </w:rPr>
            </w:pPr>
            <w:r>
              <w:rPr>
                <w:rFonts w:eastAsia="方正仿宋简体"/>
                <w:kern w:val="0"/>
                <w:sz w:val="24"/>
                <w:szCs w:val="28"/>
              </w:rPr>
              <w:t>投资者（包括个人投资者、机构投资者）</w:t>
            </w:r>
          </w:p>
        </w:tc>
        <w:tc>
          <w:tcPr>
            <w:tcW w:w="860" w:type="pct"/>
            <w:shd w:val="clear" w:color="auto" w:fill="auto"/>
            <w:noWrap/>
            <w:vAlign w:val="center"/>
          </w:tcPr>
          <w:p>
            <w:pPr>
              <w:widowControl/>
              <w:jc w:val="center"/>
              <w:rPr>
                <w:rFonts w:eastAsia="方正仿宋简体"/>
                <w:kern w:val="0"/>
                <w:sz w:val="24"/>
                <w:szCs w:val="28"/>
              </w:rPr>
            </w:pPr>
            <w:r>
              <w:rPr>
                <w:rFonts w:eastAsia="方正仿宋简体"/>
                <w:kern w:val="0"/>
                <w:sz w:val="24"/>
                <w:szCs w:val="28"/>
              </w:rPr>
              <w:t>经纪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727" w:type="pct"/>
            <w:shd w:val="clear" w:color="auto" w:fill="auto"/>
            <w:noWrap/>
            <w:vAlign w:val="center"/>
          </w:tcPr>
          <w:p>
            <w:pPr>
              <w:widowControl/>
              <w:jc w:val="center"/>
              <w:rPr>
                <w:rFonts w:eastAsia="方正仿宋简体"/>
                <w:kern w:val="0"/>
                <w:sz w:val="24"/>
                <w:szCs w:val="28"/>
              </w:rPr>
            </w:pPr>
            <w:r>
              <w:rPr>
                <w:rFonts w:eastAsia="方正仿宋简体"/>
                <w:kern w:val="0"/>
                <w:sz w:val="24"/>
                <w:szCs w:val="28"/>
              </w:rPr>
              <w:t>权利仓持仓限额</w:t>
            </w:r>
          </w:p>
        </w:tc>
        <w:tc>
          <w:tcPr>
            <w:tcW w:w="1164" w:type="pct"/>
            <w:shd w:val="clear" w:color="auto" w:fill="auto"/>
            <w:noWrap/>
            <w:vAlign w:val="center"/>
          </w:tcPr>
          <w:p>
            <w:pPr>
              <w:widowControl/>
              <w:jc w:val="center"/>
              <w:rPr>
                <w:rFonts w:eastAsia="方正仿宋简体"/>
                <w:kern w:val="0"/>
                <w:sz w:val="24"/>
                <w:szCs w:val="28"/>
              </w:rPr>
            </w:pPr>
            <w:r>
              <w:rPr>
                <w:rFonts w:eastAsia="方正仿宋简体"/>
                <w:kern w:val="0"/>
                <w:sz w:val="24"/>
                <w:szCs w:val="28"/>
              </w:rPr>
              <w:t>总持仓限额</w:t>
            </w:r>
          </w:p>
        </w:tc>
        <w:tc>
          <w:tcPr>
            <w:tcW w:w="1249" w:type="pct"/>
            <w:shd w:val="clear" w:color="auto" w:fill="auto"/>
            <w:noWrap/>
            <w:vAlign w:val="center"/>
          </w:tcPr>
          <w:p>
            <w:pPr>
              <w:widowControl/>
              <w:jc w:val="center"/>
              <w:rPr>
                <w:rFonts w:eastAsia="方正仿宋简体"/>
                <w:kern w:val="0"/>
                <w:sz w:val="24"/>
                <w:szCs w:val="28"/>
              </w:rPr>
            </w:pPr>
            <w:r>
              <w:rPr>
                <w:rFonts w:eastAsia="方正仿宋简体"/>
                <w:kern w:val="0"/>
                <w:sz w:val="24"/>
                <w:szCs w:val="28"/>
              </w:rPr>
              <w:t>单日（买入）开仓限额</w:t>
            </w:r>
          </w:p>
        </w:tc>
        <w:tc>
          <w:tcPr>
            <w:tcW w:w="860" w:type="pct"/>
            <w:shd w:val="clear" w:color="auto" w:fill="auto"/>
            <w:noWrap/>
            <w:vAlign w:val="center"/>
          </w:tcPr>
          <w:p>
            <w:pPr>
              <w:widowControl/>
              <w:jc w:val="center"/>
              <w:rPr>
                <w:rFonts w:eastAsia="方正仿宋简体"/>
                <w:kern w:val="0"/>
                <w:sz w:val="24"/>
                <w:szCs w:val="28"/>
              </w:rPr>
            </w:pPr>
            <w:r>
              <w:rPr>
                <w:rFonts w:eastAsia="方正仿宋简体"/>
                <w:kern w:val="0"/>
                <w:sz w:val="24"/>
                <w:szCs w:val="28"/>
              </w:rPr>
              <w:t>总持仓限额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727" w:type="pct"/>
            <w:shd w:val="clear" w:color="auto" w:fill="auto"/>
            <w:noWrap/>
            <w:vAlign w:val="center"/>
          </w:tcPr>
          <w:p>
            <w:pPr>
              <w:widowControl/>
              <w:jc w:val="center"/>
              <w:rPr>
                <w:rFonts w:eastAsia="方正仿宋简体"/>
                <w:kern w:val="0"/>
                <w:sz w:val="24"/>
                <w:szCs w:val="28"/>
              </w:rPr>
            </w:pPr>
            <w:r>
              <w:rPr>
                <w:rFonts w:eastAsia="方正仿宋简体"/>
                <w:kern w:val="0"/>
                <w:sz w:val="24"/>
                <w:szCs w:val="28"/>
              </w:rPr>
              <w:t>*</w:t>
            </w:r>
          </w:p>
        </w:tc>
        <w:tc>
          <w:tcPr>
            <w:tcW w:w="1164" w:type="pct"/>
            <w:shd w:val="clear" w:color="auto" w:fill="auto"/>
            <w:noWrap/>
            <w:vAlign w:val="center"/>
          </w:tcPr>
          <w:p>
            <w:pPr>
              <w:widowControl/>
              <w:jc w:val="center"/>
              <w:rPr>
                <w:rFonts w:eastAsia="方正仿宋简体"/>
                <w:kern w:val="0"/>
                <w:sz w:val="24"/>
                <w:szCs w:val="28"/>
              </w:rPr>
            </w:pPr>
            <w:r>
              <w:rPr>
                <w:rFonts w:eastAsia="方正仿宋简体"/>
                <w:kern w:val="0"/>
                <w:sz w:val="24"/>
                <w:szCs w:val="28"/>
              </w:rPr>
              <w:t>*</w:t>
            </w:r>
          </w:p>
        </w:tc>
        <w:tc>
          <w:tcPr>
            <w:tcW w:w="1249" w:type="pct"/>
            <w:shd w:val="clear" w:color="auto" w:fill="auto"/>
            <w:noWrap/>
            <w:vAlign w:val="center"/>
          </w:tcPr>
          <w:p>
            <w:pPr>
              <w:widowControl/>
              <w:jc w:val="center"/>
              <w:rPr>
                <w:rFonts w:eastAsia="方正仿宋简体"/>
                <w:kern w:val="0"/>
                <w:sz w:val="24"/>
                <w:szCs w:val="28"/>
              </w:rPr>
            </w:pPr>
            <w:r>
              <w:rPr>
                <w:rFonts w:eastAsia="方正仿宋简体"/>
                <w:kern w:val="0"/>
                <w:sz w:val="24"/>
                <w:szCs w:val="28"/>
              </w:rPr>
              <w:t>*</w:t>
            </w:r>
          </w:p>
        </w:tc>
        <w:tc>
          <w:tcPr>
            <w:tcW w:w="860" w:type="pct"/>
            <w:shd w:val="clear" w:color="auto" w:fill="auto"/>
            <w:noWrap/>
            <w:vAlign w:val="center"/>
          </w:tcPr>
          <w:p>
            <w:pPr>
              <w:widowControl/>
              <w:jc w:val="center"/>
              <w:rPr>
                <w:rFonts w:eastAsia="方正仿宋简体"/>
                <w:kern w:val="0"/>
                <w:sz w:val="24"/>
                <w:szCs w:val="28"/>
              </w:rPr>
            </w:pPr>
            <w:r>
              <w:rPr>
                <w:rFonts w:eastAsia="方正仿宋简体"/>
                <w:kern w:val="0"/>
                <w:sz w:val="24"/>
                <w:szCs w:val="28"/>
              </w:rPr>
              <w:t>*</w:t>
            </w:r>
          </w:p>
        </w:tc>
      </w:tr>
    </w:tbl>
    <w:p>
      <w:pPr>
        <w:keepNext/>
        <w:keepLines/>
        <w:numPr>
          <w:ilvl w:val="0"/>
          <w:numId w:val="42"/>
        </w:numPr>
        <w:spacing w:line="560" w:lineRule="exact"/>
        <w:ind w:left="0" w:firstLine="601" w:firstLineChars="200"/>
        <w:outlineLvl w:val="2"/>
        <w:rPr>
          <w:rFonts w:eastAsia="方正仿宋简体"/>
          <w:b/>
          <w:bCs/>
          <w:kern w:val="0"/>
          <w:sz w:val="30"/>
          <w:szCs w:val="30"/>
          <w:lang w:val="zh-CN" w:eastAsia="zh-CN"/>
        </w:rPr>
      </w:pPr>
      <w:r>
        <w:rPr>
          <w:rFonts w:eastAsia="方正仿宋简体"/>
          <w:b/>
          <w:bCs/>
          <w:kern w:val="0"/>
          <w:sz w:val="30"/>
          <w:szCs w:val="30"/>
          <w:lang w:val="zh-CN" w:eastAsia="zh-CN"/>
        </w:rPr>
        <w:t>持仓</w:t>
      </w:r>
      <w:bookmarkStart w:id="128" w:name="_Toc422331055"/>
      <w:r>
        <w:rPr>
          <w:rFonts w:eastAsia="方正仿宋简体"/>
          <w:b/>
          <w:bCs/>
          <w:kern w:val="0"/>
          <w:sz w:val="30"/>
          <w:szCs w:val="30"/>
          <w:lang w:val="zh-CN" w:eastAsia="zh-CN"/>
        </w:rPr>
        <w:t>限额占用预警与调整</w:t>
      </w:r>
      <w:bookmarkEnd w:id="128"/>
    </w:p>
    <w:p>
      <w:pPr>
        <w:numPr>
          <w:ilvl w:val="0"/>
          <w:numId w:val="46"/>
        </w:numPr>
        <w:spacing w:line="560" w:lineRule="exact"/>
        <w:ind w:left="0" w:firstLine="600" w:firstLineChars="200"/>
        <w:rPr>
          <w:rFonts w:eastAsia="方正仿宋简体"/>
          <w:kern w:val="0"/>
          <w:sz w:val="30"/>
          <w:szCs w:val="30"/>
        </w:rPr>
      </w:pPr>
      <w:r>
        <w:rPr>
          <w:rFonts w:eastAsia="方正仿宋简体"/>
          <w:kern w:val="0"/>
          <w:sz w:val="30"/>
          <w:szCs w:val="30"/>
        </w:rPr>
        <w:t>期货公司应对投资者的持仓限额、单日买入开仓限额进行前端控制（针对开仓申报，对平仓不限制），对超过限额导致的申报失败应有提醒。</w:t>
      </w:r>
    </w:p>
    <w:p>
      <w:pPr>
        <w:numPr>
          <w:ilvl w:val="0"/>
          <w:numId w:val="46"/>
        </w:numPr>
        <w:spacing w:line="560" w:lineRule="exact"/>
        <w:ind w:left="0" w:firstLine="600" w:firstLineChars="200"/>
        <w:rPr>
          <w:rFonts w:eastAsia="方正仿宋简体"/>
          <w:kern w:val="0"/>
          <w:sz w:val="30"/>
          <w:szCs w:val="30"/>
        </w:rPr>
      </w:pPr>
      <w:r>
        <w:rPr>
          <w:rFonts w:eastAsia="方正仿宋简体"/>
          <w:kern w:val="0"/>
          <w:sz w:val="30"/>
          <w:szCs w:val="30"/>
        </w:rPr>
        <w:t>对因本所持仓限额调整或投资者申请的持仓限额到期导致投资者持仓超限，期货公司无需要求投资者自行平仓或对投资者的超额持仓进行强行平仓，但对开仓需按新的持仓限额进行限制。对投资者额度使用情况与申请不符的，期货公司应及时对该投资者限制开仓并要求其自行平仓，同时及时向交易所报告。</w:t>
      </w:r>
    </w:p>
    <w:p>
      <w:pPr>
        <w:numPr>
          <w:ilvl w:val="0"/>
          <w:numId w:val="46"/>
        </w:numPr>
        <w:spacing w:line="560" w:lineRule="exact"/>
        <w:ind w:left="0" w:firstLine="600" w:firstLineChars="200"/>
        <w:rPr>
          <w:rFonts w:eastAsia="方正仿宋简体"/>
          <w:kern w:val="0"/>
          <w:sz w:val="30"/>
          <w:szCs w:val="30"/>
        </w:rPr>
      </w:pPr>
      <w:r>
        <w:rPr>
          <w:rFonts w:eastAsia="方正仿宋简体"/>
          <w:kern w:val="0"/>
          <w:sz w:val="30"/>
          <w:szCs w:val="30"/>
        </w:rPr>
        <w:t>在本所持仓限额范围内，若客户存在频繁的强行平仓、交易违规等情况，期货公司可对客户的持仓限额进行下调，期货公司应当至少提前三个交易日将调整情况告知客户。如客户持仓超过新核定持仓额度，期货公司可采取限制新开仓、要求客户自行平仓等措施。若客户主动申请调低持仓限额，期货公司应当同意，并按其申请额度进行配置。</w:t>
      </w:r>
    </w:p>
    <w:p>
      <w:pPr>
        <w:numPr>
          <w:ilvl w:val="0"/>
          <w:numId w:val="46"/>
        </w:numPr>
        <w:spacing w:line="560" w:lineRule="exact"/>
        <w:ind w:left="0" w:firstLine="600" w:firstLineChars="200"/>
        <w:rPr>
          <w:rFonts w:eastAsia="方正仿宋简体"/>
          <w:kern w:val="0"/>
          <w:sz w:val="30"/>
          <w:szCs w:val="30"/>
        </w:rPr>
      </w:pPr>
      <w:r>
        <w:rPr>
          <w:rFonts w:eastAsia="方正仿宋简体"/>
          <w:kern w:val="0"/>
          <w:sz w:val="30"/>
          <w:szCs w:val="30"/>
        </w:rPr>
        <w:t>对违反本所规定的超额持仓或买入开仓，如因前端控制失效导致持仓超过本所规定水平，期货公司应及时对投资者的超额持仓进行强行平仓，否则本所将按相关规定对期货公司进行处理。</w:t>
      </w:r>
    </w:p>
    <w:p>
      <w:pPr>
        <w:numPr>
          <w:ilvl w:val="0"/>
          <w:numId w:val="46"/>
        </w:numPr>
        <w:spacing w:line="560" w:lineRule="exact"/>
        <w:ind w:left="0" w:firstLine="600" w:firstLineChars="200"/>
        <w:rPr>
          <w:rFonts w:eastAsia="方正仿宋简体"/>
          <w:kern w:val="0"/>
          <w:sz w:val="30"/>
          <w:szCs w:val="30"/>
        </w:rPr>
      </w:pPr>
      <w:r>
        <w:rPr>
          <w:rFonts w:eastAsia="方正仿宋简体"/>
          <w:kern w:val="0"/>
          <w:sz w:val="30"/>
          <w:szCs w:val="30"/>
        </w:rPr>
        <w:t>投资者因套保等需要可以通过期货公司向本所申请提高持仓限额。</w:t>
      </w:r>
    </w:p>
    <w:p>
      <w:pPr>
        <w:numPr>
          <w:ilvl w:val="0"/>
          <w:numId w:val="46"/>
        </w:numPr>
        <w:spacing w:line="560" w:lineRule="exact"/>
        <w:ind w:left="0" w:firstLine="600" w:firstLineChars="200"/>
        <w:rPr>
          <w:rFonts w:eastAsia="方正仿宋简体"/>
          <w:kern w:val="0"/>
          <w:sz w:val="30"/>
          <w:szCs w:val="30"/>
        </w:rPr>
      </w:pPr>
      <w:r>
        <w:rPr>
          <w:rFonts w:eastAsia="方正仿宋简体"/>
          <w:kern w:val="0"/>
          <w:sz w:val="30"/>
          <w:szCs w:val="30"/>
        </w:rPr>
        <w:t>投资者符合本所相关规定可以调高持仓限额的，期货公司应当及时、主动为投资者进行相应的持仓限额调整，无需投资者提交申请，并尽快将持仓限额调整的情况通知到客户。</w:t>
      </w:r>
    </w:p>
    <w:p>
      <w:pPr>
        <w:numPr>
          <w:ilvl w:val="0"/>
          <w:numId w:val="46"/>
        </w:numPr>
        <w:spacing w:line="560" w:lineRule="exact"/>
        <w:ind w:left="0" w:firstLine="600" w:firstLineChars="200"/>
        <w:rPr>
          <w:rFonts w:hint="eastAsia" w:eastAsia="方正仿宋简体"/>
          <w:kern w:val="0"/>
          <w:sz w:val="30"/>
          <w:szCs w:val="30"/>
        </w:rPr>
      </w:pPr>
      <w:r>
        <w:rPr>
          <w:rFonts w:hint="eastAsia" w:eastAsia="方正仿宋简体"/>
          <w:kern w:val="0"/>
          <w:sz w:val="30"/>
          <w:szCs w:val="30"/>
        </w:rPr>
        <w:t>期货公司可以根据投资者沪市期权持仓限额设置本所期权持仓限额，也可以根据投资者深市</w:t>
      </w:r>
      <w:r>
        <w:rPr>
          <w:rFonts w:hint="eastAsia" w:eastAsia="方正仿宋简体"/>
          <w:kern w:val="0"/>
          <w:sz w:val="30"/>
          <w:szCs w:val="30"/>
          <w:lang w:eastAsia="zh-CN"/>
        </w:rPr>
        <w:t>其他</w:t>
      </w:r>
      <w:r>
        <w:rPr>
          <w:rFonts w:hint="eastAsia" w:eastAsia="方正仿宋简体"/>
          <w:kern w:val="0"/>
          <w:sz w:val="30"/>
          <w:szCs w:val="30"/>
        </w:rPr>
        <w:t>期权品种持仓限额设置本所新增期权品种持仓限额。</w:t>
      </w:r>
    </w:p>
    <w:p>
      <w:pPr>
        <w:numPr>
          <w:ilvl w:val="0"/>
          <w:numId w:val="46"/>
        </w:numPr>
        <w:spacing w:line="560" w:lineRule="exact"/>
        <w:ind w:left="0" w:firstLine="600" w:firstLineChars="200"/>
        <w:rPr>
          <w:rFonts w:eastAsia="方正仿宋简体"/>
          <w:kern w:val="0"/>
          <w:sz w:val="30"/>
          <w:szCs w:val="30"/>
        </w:rPr>
      </w:pPr>
      <w:r>
        <w:rPr>
          <w:rFonts w:hint="eastAsia" w:eastAsia="方正仿宋简体"/>
          <w:kern w:val="0"/>
          <w:sz w:val="30"/>
          <w:szCs w:val="30"/>
        </w:rPr>
        <w:t>投资者持有多个合约账户的，在提供合约账户相关凭证或</w:t>
      </w:r>
      <w:r>
        <w:rPr>
          <w:rFonts w:hint="eastAsia" w:eastAsia="方正仿宋简体"/>
          <w:kern w:val="0"/>
          <w:sz w:val="30"/>
          <w:szCs w:val="30"/>
          <w:lang w:eastAsia="zh-CN"/>
        </w:rPr>
        <w:t>者</w:t>
      </w:r>
      <w:r>
        <w:rPr>
          <w:rFonts w:hint="eastAsia" w:eastAsia="方正仿宋简体"/>
          <w:kern w:val="0"/>
          <w:sz w:val="30"/>
          <w:szCs w:val="30"/>
        </w:rPr>
        <w:t>交易记录的情况下，期货公司可以将其持仓限额调整至所有合约账户中最高的持仓限额。</w:t>
      </w:r>
    </w:p>
    <w:p>
      <w:pPr>
        <w:keepNext/>
        <w:keepLines/>
        <w:numPr>
          <w:ilvl w:val="0"/>
          <w:numId w:val="41"/>
        </w:numPr>
        <w:spacing w:line="560" w:lineRule="exact"/>
        <w:ind w:left="0" w:firstLine="601" w:firstLineChars="200"/>
        <w:outlineLvl w:val="1"/>
        <w:rPr>
          <w:rFonts w:eastAsia="方正仿宋简体"/>
          <w:b/>
          <w:bCs/>
          <w:kern w:val="0"/>
          <w:sz w:val="30"/>
          <w:szCs w:val="30"/>
          <w:lang w:val="zh-CN" w:eastAsia="zh-CN"/>
        </w:rPr>
      </w:pPr>
      <w:bookmarkStart w:id="129" w:name="_Toc468307841"/>
      <w:bookmarkEnd w:id="129"/>
      <w:bookmarkStart w:id="130" w:name="_Toc468308142"/>
      <w:bookmarkEnd w:id="130"/>
      <w:bookmarkStart w:id="131" w:name="_Toc468308342"/>
      <w:bookmarkStart w:id="132" w:name="_Toc25841997"/>
      <w:r>
        <w:rPr>
          <w:rFonts w:eastAsia="方正仿宋简体"/>
          <w:b/>
          <w:bCs/>
          <w:kern w:val="0"/>
          <w:sz w:val="30"/>
          <w:szCs w:val="30"/>
          <w:lang w:val="zh-CN" w:eastAsia="zh-CN"/>
        </w:rPr>
        <w:t>客户买入额度管理</w:t>
      </w:r>
      <w:r>
        <w:rPr>
          <w:rFonts w:eastAsia="方正仿宋简体"/>
          <w:b/>
          <w:bCs/>
          <w:kern w:val="0"/>
          <w:sz w:val="30"/>
          <w:szCs w:val="30"/>
          <w:lang w:val="zh-CN"/>
        </w:rPr>
        <w:t>（</w:t>
      </w:r>
      <w:r>
        <w:rPr>
          <w:rFonts w:eastAsia="方正仿宋简体"/>
          <w:b/>
          <w:bCs/>
          <w:kern w:val="0"/>
          <w:sz w:val="30"/>
          <w:szCs w:val="30"/>
          <w:lang w:val="zh-CN" w:eastAsia="zh-CN"/>
        </w:rPr>
        <w:t>限购</w:t>
      </w:r>
      <w:r>
        <w:rPr>
          <w:rFonts w:eastAsia="方正仿宋简体"/>
          <w:b/>
          <w:bCs/>
          <w:kern w:val="0"/>
          <w:sz w:val="30"/>
          <w:szCs w:val="30"/>
          <w:lang w:val="zh-CN"/>
        </w:rPr>
        <w:t>）</w:t>
      </w:r>
      <w:bookmarkEnd w:id="131"/>
      <w:bookmarkEnd w:id="132"/>
    </w:p>
    <w:p>
      <w:pPr>
        <w:spacing w:line="560" w:lineRule="exact"/>
        <w:ind w:firstLine="600" w:firstLineChars="200"/>
        <w:rPr>
          <w:rFonts w:eastAsia="方正仿宋简体"/>
          <w:kern w:val="0"/>
          <w:sz w:val="30"/>
          <w:szCs w:val="30"/>
        </w:rPr>
      </w:pPr>
      <w:r>
        <w:rPr>
          <w:rFonts w:eastAsia="方正仿宋简体"/>
          <w:kern w:val="0"/>
          <w:sz w:val="30"/>
          <w:szCs w:val="30"/>
        </w:rPr>
        <w:t>本所股票期权业务对个人投资者实行买入额度管理（限购制度），即规定个人投资者买入期权开仓的资金规模（持有深市期权权利仓对应的总成交金额）不得超过本所规定的限购额度，</w:t>
      </w:r>
      <w:r>
        <w:rPr>
          <w:rFonts w:eastAsia="方正仿宋简体"/>
          <w:sz w:val="30"/>
          <w:szCs w:val="30"/>
        </w:rPr>
        <w:t>已申请并获本所批准的套保额度账户除外。</w:t>
      </w:r>
    </w:p>
    <w:p>
      <w:pPr>
        <w:keepNext/>
        <w:keepLines/>
        <w:numPr>
          <w:ilvl w:val="0"/>
          <w:numId w:val="47"/>
        </w:numPr>
        <w:spacing w:line="560" w:lineRule="exact"/>
        <w:ind w:left="0" w:firstLine="601" w:firstLineChars="200"/>
        <w:outlineLvl w:val="2"/>
        <w:rPr>
          <w:rFonts w:eastAsia="方正仿宋简体"/>
          <w:b/>
          <w:bCs/>
          <w:kern w:val="0"/>
          <w:sz w:val="30"/>
          <w:szCs w:val="30"/>
          <w:lang w:val="zh-CN" w:eastAsia="zh-CN"/>
        </w:rPr>
      </w:pPr>
      <w:r>
        <w:rPr>
          <w:rFonts w:eastAsia="方正仿宋简体"/>
          <w:b/>
          <w:bCs/>
          <w:kern w:val="0"/>
          <w:sz w:val="30"/>
          <w:szCs w:val="30"/>
          <w:lang w:val="zh-CN" w:eastAsia="zh-CN"/>
        </w:rPr>
        <w:t>额度设定</w:t>
      </w:r>
    </w:p>
    <w:p>
      <w:pPr>
        <w:spacing w:line="560" w:lineRule="exact"/>
        <w:ind w:firstLine="600" w:firstLineChars="200"/>
        <w:rPr>
          <w:rFonts w:eastAsia="方正仿宋简体"/>
          <w:kern w:val="0"/>
          <w:sz w:val="30"/>
          <w:szCs w:val="30"/>
        </w:rPr>
      </w:pPr>
      <w:r>
        <w:rPr>
          <w:rFonts w:eastAsia="方正仿宋简体"/>
          <w:kern w:val="0"/>
          <w:sz w:val="30"/>
          <w:szCs w:val="30"/>
        </w:rPr>
        <w:t>期货公司可根据自身情况，结合个人客户的资产状况、适当性综合评估结果等因素，规定客户的限购额度，该限额不得超过本所规定的限购额度。期货公司总部负责客户限购额度的审核。</w:t>
      </w:r>
    </w:p>
    <w:p>
      <w:pPr>
        <w:spacing w:line="560" w:lineRule="exact"/>
        <w:ind w:firstLine="600" w:firstLineChars="200"/>
        <w:rPr>
          <w:rFonts w:eastAsia="方正仿宋简体"/>
          <w:kern w:val="0"/>
          <w:sz w:val="30"/>
          <w:szCs w:val="30"/>
        </w:rPr>
      </w:pPr>
      <w:r>
        <w:rPr>
          <w:rFonts w:eastAsia="方正仿宋简体"/>
          <w:kern w:val="0"/>
          <w:sz w:val="30"/>
          <w:szCs w:val="30"/>
        </w:rPr>
        <w:t>投资者在多家期货公司开户交易的，期货公司根据各自托管的该投资者的市值和资金余额分别进行计算和前端控制。</w:t>
      </w:r>
    </w:p>
    <w:p>
      <w:pPr>
        <w:spacing w:line="560" w:lineRule="exact"/>
        <w:ind w:firstLine="600" w:firstLineChars="200"/>
        <w:rPr>
          <w:rFonts w:eastAsia="方正仿宋简体"/>
          <w:sz w:val="30"/>
          <w:szCs w:val="30"/>
        </w:rPr>
      </w:pPr>
      <w:r>
        <w:rPr>
          <w:rFonts w:eastAsia="方正仿宋简体"/>
          <w:sz w:val="30"/>
          <w:szCs w:val="30"/>
        </w:rPr>
        <w:t>本所规定个人客户用于期权买入开仓的资金规模，不得超过下述金额中较高者（已申请并获本所批准的套保额度账户除外）：</w:t>
      </w:r>
    </w:p>
    <w:p>
      <w:pPr>
        <w:numPr>
          <w:ilvl w:val="0"/>
          <w:numId w:val="48"/>
        </w:numPr>
        <w:spacing w:line="560" w:lineRule="exact"/>
        <w:ind w:left="0" w:firstLine="600" w:firstLineChars="200"/>
        <w:rPr>
          <w:rFonts w:eastAsia="方正仿宋简体"/>
          <w:kern w:val="0"/>
          <w:sz w:val="30"/>
          <w:szCs w:val="30"/>
          <w:lang w:bidi="ar"/>
        </w:rPr>
      </w:pPr>
      <w:r>
        <w:rPr>
          <w:rFonts w:eastAsia="方正仿宋简体"/>
          <w:sz w:val="30"/>
          <w:szCs w:val="30"/>
        </w:rPr>
        <w:t>客户由期货公司托管的</w:t>
      </w:r>
      <w:r>
        <w:rPr>
          <w:rFonts w:eastAsia="方正仿宋简体"/>
          <w:sz w:val="30"/>
          <w:szCs w:val="30"/>
          <w:lang w:bidi="ar"/>
        </w:rPr>
        <w:t>自有资产余额</w:t>
      </w:r>
      <w:r>
        <w:rPr>
          <w:rFonts w:eastAsia="方正仿宋简体"/>
          <w:sz w:val="30"/>
          <w:szCs w:val="30"/>
        </w:rPr>
        <w:t>10%。</w:t>
      </w:r>
      <w:r>
        <w:rPr>
          <w:rFonts w:eastAsia="方正仿宋简体"/>
          <w:kern w:val="0"/>
          <w:sz w:val="30"/>
          <w:szCs w:val="30"/>
          <w:lang w:bidi="ar"/>
        </w:rPr>
        <w:t>对于风险承受能力较强且具备三级交易权限的客户，期货公司可以将其买入金额限额提高至不超过该客户托管在该期货公司的自有资产余额的20%；对于权利仓持仓限额已达到2000张的客户，期货公司可以将其买入金额限额提高至不超过该客户托管在该期货公司的自有资产余额的30%。</w:t>
      </w:r>
    </w:p>
    <w:p>
      <w:pPr>
        <w:spacing w:line="560" w:lineRule="exact"/>
        <w:ind w:firstLine="600" w:firstLineChars="200"/>
        <w:rPr>
          <w:rFonts w:eastAsia="方正仿宋简体"/>
          <w:kern w:val="0"/>
          <w:sz w:val="30"/>
          <w:szCs w:val="30"/>
        </w:rPr>
      </w:pPr>
      <w:r>
        <w:rPr>
          <w:rFonts w:eastAsia="方正仿宋简体"/>
          <w:kern w:val="0"/>
          <w:sz w:val="30"/>
          <w:szCs w:val="30"/>
          <w:lang w:bidi="ar"/>
        </w:rPr>
        <w:t>期货公司可采用投资者最近一次风险承受能力评估结果，具体认定由期货公司结合客户的实际情况进行判断。</w:t>
      </w:r>
    </w:p>
    <w:p>
      <w:pPr>
        <w:spacing w:line="560" w:lineRule="exact"/>
        <w:ind w:firstLine="600" w:firstLineChars="200"/>
        <w:rPr>
          <w:rFonts w:eastAsia="方正仿宋简体"/>
          <w:sz w:val="30"/>
          <w:szCs w:val="30"/>
        </w:rPr>
      </w:pPr>
      <w:r>
        <w:rPr>
          <w:rFonts w:eastAsia="方正仿宋简体"/>
          <w:kern w:val="0"/>
          <w:sz w:val="30"/>
          <w:szCs w:val="30"/>
          <w:lang w:bidi="ar"/>
        </w:rPr>
        <w:t>自有资产余额指投资者托管在该期货公司的证券市值与资金账户可用余额（不含通过融资融券交易融入的证券和资金）。其中，证券市值包括期权合约市值，计算方法为：期权合约市值=∑期权合约实时成交价或最新结算价×合约单位×合约张数×（±1）。当投资者持有权利仓时，期权合约市值计为正值；当投资者持有义务仓时，期权合约市值计为负值。</w:t>
      </w:r>
    </w:p>
    <w:p>
      <w:pPr>
        <w:numPr>
          <w:ilvl w:val="0"/>
          <w:numId w:val="48"/>
        </w:numPr>
        <w:spacing w:line="560" w:lineRule="exact"/>
        <w:ind w:left="0" w:firstLine="600" w:firstLineChars="200"/>
        <w:rPr>
          <w:rFonts w:eastAsia="方正仿宋简体"/>
          <w:sz w:val="30"/>
          <w:szCs w:val="30"/>
        </w:rPr>
      </w:pPr>
      <w:r>
        <w:rPr>
          <w:rFonts w:eastAsia="方正仿宋简体"/>
          <w:sz w:val="30"/>
          <w:szCs w:val="30"/>
        </w:rPr>
        <w:t>前6个月日均持有深沪市市值的20%。</w:t>
      </w:r>
    </w:p>
    <w:p>
      <w:pPr>
        <w:spacing w:line="560" w:lineRule="exact"/>
        <w:ind w:firstLine="600" w:firstLineChars="200"/>
        <w:rPr>
          <w:rFonts w:eastAsia="方正仿宋简体"/>
          <w:sz w:val="30"/>
          <w:szCs w:val="30"/>
        </w:rPr>
      </w:pPr>
      <w:r>
        <w:rPr>
          <w:rFonts w:eastAsia="方正仿宋简体"/>
          <w:sz w:val="30"/>
          <w:szCs w:val="30"/>
        </w:rPr>
        <w:t>其中深沪证券市值包括深沪期权合约市值，计算方法为：期权合约市值=∑期权合约实时成交价或最新结算价×合约单位×合约张数×（±1）。当投资者持有权利仓时，期权合约市值计为正值；当投资者持有义务仓时，期权合约市值计为负值。</w:t>
      </w:r>
    </w:p>
    <w:p>
      <w:pPr>
        <w:spacing w:line="560" w:lineRule="exact"/>
        <w:ind w:firstLine="600" w:firstLineChars="200"/>
        <w:rPr>
          <w:rFonts w:eastAsia="方正仿宋简体"/>
          <w:kern w:val="0"/>
          <w:sz w:val="30"/>
          <w:szCs w:val="30"/>
        </w:rPr>
      </w:pPr>
      <w:r>
        <w:rPr>
          <w:rFonts w:eastAsia="方正仿宋简体"/>
          <w:sz w:val="30"/>
          <w:szCs w:val="30"/>
        </w:rPr>
        <w:t>买入额度按万取整数部分。例如，Max{全部账户自有净资产的10%，前6个月日均持有深沪市市值的20%}=Max{4.3万，9.5万}，应设为10万。买入额度不足1万的，设为1万。</w:t>
      </w:r>
    </w:p>
    <w:p>
      <w:pPr>
        <w:keepNext/>
        <w:keepLines/>
        <w:numPr>
          <w:ilvl w:val="0"/>
          <w:numId w:val="47"/>
        </w:numPr>
        <w:spacing w:line="560" w:lineRule="exact"/>
        <w:ind w:left="0" w:firstLine="601" w:firstLineChars="200"/>
        <w:outlineLvl w:val="2"/>
        <w:rPr>
          <w:rFonts w:eastAsia="方正仿宋简体"/>
          <w:b/>
          <w:bCs/>
          <w:kern w:val="0"/>
          <w:sz w:val="30"/>
          <w:szCs w:val="30"/>
          <w:lang w:val="zh-CN" w:eastAsia="zh-CN"/>
        </w:rPr>
      </w:pPr>
      <w:r>
        <w:rPr>
          <w:rFonts w:eastAsia="方正仿宋简体"/>
          <w:b/>
          <w:bCs/>
          <w:kern w:val="0"/>
          <w:sz w:val="30"/>
          <w:szCs w:val="30"/>
          <w:lang w:val="zh-CN" w:eastAsia="zh-CN"/>
        </w:rPr>
        <w:t>前端控制</w:t>
      </w:r>
    </w:p>
    <w:p>
      <w:pPr>
        <w:spacing w:line="560" w:lineRule="exact"/>
        <w:ind w:firstLine="600" w:firstLineChars="200"/>
        <w:rPr>
          <w:rFonts w:eastAsia="方正仿宋简体"/>
          <w:kern w:val="0"/>
          <w:sz w:val="30"/>
          <w:szCs w:val="30"/>
        </w:rPr>
      </w:pPr>
      <w:r>
        <w:rPr>
          <w:rFonts w:eastAsia="方正仿宋简体"/>
          <w:kern w:val="0"/>
          <w:sz w:val="30"/>
          <w:szCs w:val="30"/>
        </w:rPr>
        <w:t>期货公司应对投资者的限购额度进行前端控制，对超过额度导致的申报失败应在交易界面进行提醒及解释。</w:t>
      </w:r>
    </w:p>
    <w:p>
      <w:pPr>
        <w:spacing w:line="560" w:lineRule="exact"/>
        <w:ind w:firstLine="600" w:firstLineChars="200"/>
        <w:rPr>
          <w:rFonts w:eastAsia="方正仿宋简体"/>
          <w:kern w:val="0"/>
          <w:sz w:val="30"/>
          <w:szCs w:val="30"/>
        </w:rPr>
      </w:pPr>
      <w:r>
        <w:rPr>
          <w:rFonts w:eastAsia="方正仿宋简体"/>
          <w:kern w:val="0"/>
          <w:sz w:val="30"/>
          <w:szCs w:val="30"/>
        </w:rPr>
        <w:t>期货公司前端控制参考算法（对每笔买入开仓申报）：∑（该账户持有各合约权利仓持仓张数×持仓成本）+已申报买入开仓但未成交金额</w:t>
      </w:r>
      <w:r>
        <w:rPr>
          <w:rFonts w:eastAsia="方正仿宋简体"/>
          <w:sz w:val="30"/>
          <w:szCs w:val="30"/>
        </w:rPr>
        <w:t>（撤单需扣减）</w:t>
      </w:r>
      <w:r>
        <w:rPr>
          <w:rFonts w:eastAsia="方正仿宋简体"/>
          <w:kern w:val="0"/>
          <w:sz w:val="30"/>
          <w:szCs w:val="30"/>
        </w:rPr>
        <w:t>+该笔买入金额（市价订单合约申报价格按涨停价计算）&gt;买入额度（由期货公司核定并向本所报备的额度），则该笔申报无效。对买入平仓不计入限额的前端控制。</w:t>
      </w:r>
    </w:p>
    <w:p>
      <w:pPr>
        <w:keepNext/>
        <w:keepLines/>
        <w:numPr>
          <w:ilvl w:val="0"/>
          <w:numId w:val="47"/>
        </w:numPr>
        <w:spacing w:line="560" w:lineRule="exact"/>
        <w:ind w:left="0" w:firstLine="601" w:firstLineChars="200"/>
        <w:outlineLvl w:val="2"/>
        <w:rPr>
          <w:rFonts w:eastAsia="方正仿宋简体"/>
          <w:b/>
          <w:bCs/>
          <w:kern w:val="0"/>
          <w:sz w:val="30"/>
          <w:szCs w:val="30"/>
          <w:lang w:val="zh-CN" w:eastAsia="zh-CN"/>
        </w:rPr>
      </w:pPr>
      <w:r>
        <w:rPr>
          <w:rFonts w:eastAsia="方正仿宋简体"/>
          <w:b/>
          <w:bCs/>
          <w:kern w:val="0"/>
          <w:sz w:val="30"/>
          <w:szCs w:val="30"/>
          <w:lang w:val="zh-CN" w:eastAsia="zh-CN"/>
        </w:rPr>
        <w:t>额度</w:t>
      </w:r>
      <w:r>
        <w:rPr>
          <w:rFonts w:eastAsia="方正仿宋简体"/>
          <w:b/>
          <w:bCs/>
          <w:kern w:val="0"/>
          <w:sz w:val="30"/>
          <w:szCs w:val="30"/>
          <w:lang w:val="zh-CN"/>
        </w:rPr>
        <w:t>管理</w:t>
      </w:r>
    </w:p>
    <w:p>
      <w:pPr>
        <w:numPr>
          <w:ilvl w:val="0"/>
          <w:numId w:val="49"/>
        </w:numPr>
        <w:spacing w:line="560" w:lineRule="exact"/>
        <w:ind w:left="0" w:firstLine="600" w:firstLineChars="200"/>
        <w:rPr>
          <w:rFonts w:eastAsia="方正仿宋简体"/>
          <w:kern w:val="0"/>
          <w:sz w:val="30"/>
          <w:szCs w:val="30"/>
        </w:rPr>
      </w:pPr>
      <w:r>
        <w:rPr>
          <w:rFonts w:eastAsia="方正仿宋简体"/>
          <w:kern w:val="0"/>
          <w:sz w:val="30"/>
          <w:szCs w:val="30"/>
        </w:rPr>
        <w:t>期货公司日常应接受客户提高或降低买入额度的申请，经审核（必须符合条件）通过后生效。</w:t>
      </w:r>
    </w:p>
    <w:p>
      <w:pPr>
        <w:numPr>
          <w:ilvl w:val="0"/>
          <w:numId w:val="49"/>
        </w:numPr>
        <w:spacing w:line="560" w:lineRule="exact"/>
        <w:ind w:left="0" w:firstLine="600" w:firstLineChars="200"/>
        <w:rPr>
          <w:rFonts w:eastAsia="方正仿宋简体"/>
          <w:kern w:val="0"/>
          <w:sz w:val="30"/>
          <w:szCs w:val="30"/>
        </w:rPr>
      </w:pPr>
      <w:r>
        <w:rPr>
          <w:rFonts w:eastAsia="方正仿宋简体"/>
          <w:kern w:val="0"/>
          <w:sz w:val="30"/>
          <w:szCs w:val="30"/>
        </w:rPr>
        <w:t>期货公司可自行设定针对客户买入额度的调整频率，但每年至少调整一次（可以对所有客户统一进行调整，也可以对单个客户分别进行调整）。额度调整下一交易日生效，期货公司应及时提醒客户额度变更情况。</w:t>
      </w:r>
    </w:p>
    <w:p>
      <w:pPr>
        <w:numPr>
          <w:ilvl w:val="0"/>
          <w:numId w:val="49"/>
        </w:numPr>
        <w:spacing w:line="560" w:lineRule="exact"/>
        <w:ind w:left="0" w:firstLine="600" w:firstLineChars="200"/>
        <w:rPr>
          <w:rFonts w:eastAsia="方正仿宋简体"/>
          <w:kern w:val="0"/>
          <w:sz w:val="30"/>
          <w:szCs w:val="30"/>
        </w:rPr>
      </w:pPr>
      <w:r>
        <w:rPr>
          <w:rFonts w:eastAsia="方正仿宋简体"/>
          <w:kern w:val="0"/>
          <w:sz w:val="30"/>
          <w:szCs w:val="30"/>
        </w:rPr>
        <w:t>期货公司对客户买入额度调整后，应按调整后的买入额度对客户进行前端控制，如存在客户买入持仓超过新核定买入额度或调整后的买入额度为零的，不需要求客户进行平仓（对因额度调整导致的持仓超限需要技术系统进行区分），该客户现有持仓可以持有到期，但不能新增权利仓持仓。</w:t>
      </w:r>
    </w:p>
    <w:p>
      <w:pPr>
        <w:numPr>
          <w:ilvl w:val="0"/>
          <w:numId w:val="49"/>
        </w:numPr>
        <w:spacing w:line="560" w:lineRule="exact"/>
        <w:ind w:left="0" w:firstLine="600" w:firstLineChars="200"/>
        <w:rPr>
          <w:rFonts w:eastAsia="方正仿宋简体"/>
          <w:kern w:val="0"/>
          <w:sz w:val="30"/>
          <w:szCs w:val="30"/>
        </w:rPr>
      </w:pPr>
      <w:r>
        <w:rPr>
          <w:rFonts w:eastAsia="方正仿宋简体"/>
          <w:kern w:val="0"/>
          <w:sz w:val="30"/>
          <w:szCs w:val="30"/>
        </w:rPr>
        <w:t>对于存在频繁强平记录和交易违规情况的客户，期货公司可调低限购额度，调整后期货公司应及时告知客户。</w:t>
      </w:r>
    </w:p>
    <w:p>
      <w:pPr>
        <w:spacing w:line="560" w:lineRule="exact"/>
        <w:ind w:firstLine="600" w:firstLineChars="200"/>
        <w:rPr>
          <w:rFonts w:eastAsia="方正仿宋简体"/>
          <w:sz w:val="30"/>
          <w:szCs w:val="30"/>
        </w:rPr>
      </w:pPr>
      <w:r>
        <w:rPr>
          <w:rFonts w:eastAsia="方正仿宋简体"/>
          <w:kern w:val="0"/>
          <w:sz w:val="30"/>
          <w:szCs w:val="30"/>
        </w:rPr>
        <w:t>5.如本所进行限购额度调整，期货公司须根据本所最新标准，结合公司限购额度计算方法，对客户限购额度进行统一调整。调整后期货公司应及时向客户公布调整信息</w:t>
      </w:r>
      <w:r>
        <w:rPr>
          <w:rFonts w:eastAsia="方正仿宋简体"/>
          <w:sz w:val="30"/>
          <w:szCs w:val="30"/>
        </w:rPr>
        <w:t>。</w:t>
      </w:r>
    </w:p>
    <w:p>
      <w:pPr>
        <w:keepNext/>
        <w:keepLines/>
        <w:numPr>
          <w:ilvl w:val="0"/>
          <w:numId w:val="41"/>
        </w:numPr>
        <w:spacing w:line="560" w:lineRule="exact"/>
        <w:ind w:left="0" w:firstLine="601" w:firstLineChars="200"/>
        <w:outlineLvl w:val="1"/>
        <w:rPr>
          <w:rFonts w:eastAsia="方正仿宋简体"/>
          <w:b/>
          <w:bCs/>
          <w:kern w:val="0"/>
          <w:sz w:val="30"/>
          <w:szCs w:val="30"/>
          <w:lang w:val="zh-CN" w:eastAsia="zh-CN"/>
        </w:rPr>
      </w:pPr>
      <w:bookmarkStart w:id="133" w:name="_Toc25841998"/>
      <w:r>
        <w:rPr>
          <w:rFonts w:eastAsia="方正仿宋简体"/>
          <w:b/>
          <w:bCs/>
          <w:kern w:val="0"/>
          <w:sz w:val="30"/>
          <w:szCs w:val="30"/>
          <w:lang w:val="zh-CN" w:eastAsia="zh-CN"/>
        </w:rPr>
        <w:t>投资者套期保值额度申请</w:t>
      </w:r>
      <w:bookmarkEnd w:id="133"/>
    </w:p>
    <w:p>
      <w:pPr>
        <w:keepNext/>
        <w:keepLines/>
        <w:numPr>
          <w:ilvl w:val="0"/>
          <w:numId w:val="50"/>
        </w:numPr>
        <w:spacing w:line="560" w:lineRule="exact"/>
        <w:ind w:left="0" w:firstLine="601" w:firstLineChars="200"/>
        <w:outlineLvl w:val="2"/>
        <w:rPr>
          <w:rFonts w:eastAsia="方正仿宋简体"/>
          <w:b/>
          <w:sz w:val="30"/>
          <w:szCs w:val="30"/>
          <w:lang w:val="zh-CN"/>
        </w:rPr>
      </w:pPr>
      <w:r>
        <w:rPr>
          <w:rFonts w:eastAsia="方正仿宋简体"/>
          <w:b/>
          <w:sz w:val="30"/>
          <w:szCs w:val="30"/>
          <w:lang w:val="zh-CN"/>
        </w:rPr>
        <w:t>申请对象</w:t>
      </w:r>
    </w:p>
    <w:p>
      <w:pPr>
        <w:spacing w:line="560" w:lineRule="exact"/>
        <w:ind w:firstLine="600" w:firstLineChars="200"/>
        <w:rPr>
          <w:rFonts w:eastAsia="方正仿宋简体"/>
          <w:sz w:val="30"/>
          <w:szCs w:val="30"/>
          <w:lang w:val="zh-CN"/>
        </w:rPr>
      </w:pPr>
      <w:r>
        <w:rPr>
          <w:rFonts w:eastAsia="方正仿宋简体"/>
          <w:sz w:val="30"/>
          <w:szCs w:val="30"/>
          <w:lang w:val="zh-CN"/>
        </w:rPr>
        <w:t>投资者（包括个人投资者、普通机构投资者和专业机构投资者等）因进行套期保值交易，需要提高持仓限额且符合</w:t>
      </w:r>
      <w:r>
        <w:rPr>
          <w:rFonts w:eastAsia="方正仿宋简体"/>
          <w:sz w:val="30"/>
          <w:szCs w:val="30"/>
        </w:rPr>
        <w:t>本所</w:t>
      </w:r>
      <w:r>
        <w:rPr>
          <w:rFonts w:eastAsia="方正仿宋简体"/>
          <w:sz w:val="30"/>
          <w:szCs w:val="30"/>
          <w:lang w:val="zh-CN"/>
        </w:rPr>
        <w:t>规定条件的，可以根据《深圳证券交易所股票期权试点持仓限额管理业务指引》的相关规定，对单个合约品种向</w:t>
      </w:r>
      <w:r>
        <w:rPr>
          <w:rFonts w:eastAsia="方正仿宋简体"/>
          <w:sz w:val="30"/>
          <w:szCs w:val="30"/>
        </w:rPr>
        <w:t>本所</w:t>
      </w:r>
      <w:r>
        <w:rPr>
          <w:rFonts w:eastAsia="方正仿宋简体"/>
          <w:sz w:val="30"/>
          <w:szCs w:val="30"/>
          <w:lang w:val="zh-CN"/>
        </w:rPr>
        <w:t>申请提高权利仓持仓限额、总持仓限额以及单日买入开仓限额。</w:t>
      </w:r>
    </w:p>
    <w:p>
      <w:pPr>
        <w:keepNext/>
        <w:keepLines/>
        <w:numPr>
          <w:ilvl w:val="0"/>
          <w:numId w:val="50"/>
        </w:numPr>
        <w:spacing w:line="560" w:lineRule="exact"/>
        <w:ind w:left="0" w:firstLine="601" w:firstLineChars="200"/>
        <w:outlineLvl w:val="2"/>
        <w:rPr>
          <w:rFonts w:eastAsia="方正仿宋简体"/>
          <w:b/>
          <w:sz w:val="30"/>
          <w:szCs w:val="30"/>
          <w:lang w:val="zh-CN"/>
        </w:rPr>
      </w:pPr>
      <w:r>
        <w:rPr>
          <w:rFonts w:eastAsia="方正仿宋简体"/>
          <w:b/>
          <w:sz w:val="30"/>
          <w:szCs w:val="30"/>
          <w:lang w:val="zh-CN"/>
        </w:rPr>
        <w:t>账户管理</w:t>
      </w:r>
    </w:p>
    <w:p>
      <w:pPr>
        <w:spacing w:line="560" w:lineRule="exact"/>
        <w:ind w:firstLine="600" w:firstLineChars="200"/>
        <w:rPr>
          <w:rFonts w:eastAsia="方正仿宋简体"/>
          <w:sz w:val="30"/>
          <w:szCs w:val="30"/>
          <w:lang w:val="zh-CN"/>
        </w:rPr>
      </w:pPr>
      <w:r>
        <w:rPr>
          <w:rFonts w:eastAsia="方正仿宋简体"/>
          <w:sz w:val="30"/>
          <w:szCs w:val="30"/>
          <w:lang w:val="zh-CN"/>
        </w:rPr>
        <w:t xml:space="preserve">对因套期保值交易申请提高权利仓持仓限额、总持仓限额以及单日买入开仓限额且审核通过的，上报的衍生品合约账户将作为套期保值专用账户（以下简称套保账户），持仓限额调整结果对该套保账户对应的A股证券账户生效。 </w:t>
      </w:r>
    </w:p>
    <w:p>
      <w:pPr>
        <w:spacing w:line="560" w:lineRule="exact"/>
        <w:ind w:firstLine="600" w:firstLineChars="200"/>
        <w:rPr>
          <w:rFonts w:eastAsia="方正仿宋简体"/>
          <w:sz w:val="30"/>
          <w:szCs w:val="30"/>
          <w:lang w:val="zh-CN"/>
        </w:rPr>
      </w:pPr>
      <w:r>
        <w:rPr>
          <w:rFonts w:eastAsia="方正仿宋简体"/>
          <w:sz w:val="30"/>
          <w:szCs w:val="30"/>
          <w:lang w:val="zh-CN"/>
        </w:rPr>
        <w:t xml:space="preserve">套保账户仅用于申请人所报备的套期保值交易，投资者不得使用该账户进行所报备方案外的交易。 </w:t>
      </w:r>
    </w:p>
    <w:p>
      <w:pPr>
        <w:spacing w:line="560" w:lineRule="exact"/>
        <w:ind w:firstLine="600" w:firstLineChars="200"/>
        <w:rPr>
          <w:rFonts w:eastAsia="方正仿宋简体"/>
          <w:sz w:val="30"/>
          <w:szCs w:val="30"/>
          <w:lang w:val="zh-CN"/>
        </w:rPr>
      </w:pPr>
      <w:r>
        <w:rPr>
          <w:rFonts w:eastAsia="方正仿宋简体"/>
          <w:sz w:val="30"/>
          <w:szCs w:val="30"/>
        </w:rPr>
        <w:t>本所</w:t>
      </w:r>
      <w:r>
        <w:rPr>
          <w:rFonts w:eastAsia="方正仿宋简体"/>
          <w:sz w:val="30"/>
          <w:szCs w:val="30"/>
          <w:lang w:val="zh-CN"/>
        </w:rPr>
        <w:t xml:space="preserve">以套保账户对应的深市A股证券账户进行前端控制和交易监管，期货公司仍以该套保账户为单位对客户持有的单个期权品种持仓按新审批的额度实行前端控制。 </w:t>
      </w:r>
    </w:p>
    <w:p>
      <w:pPr>
        <w:keepNext/>
        <w:keepLines/>
        <w:numPr>
          <w:ilvl w:val="0"/>
          <w:numId w:val="50"/>
        </w:numPr>
        <w:spacing w:line="560" w:lineRule="exact"/>
        <w:ind w:left="0" w:firstLine="601" w:firstLineChars="200"/>
        <w:outlineLvl w:val="2"/>
        <w:rPr>
          <w:rFonts w:eastAsia="方正仿宋简体"/>
          <w:b/>
          <w:sz w:val="30"/>
          <w:szCs w:val="30"/>
          <w:lang w:val="zh-CN"/>
        </w:rPr>
      </w:pPr>
      <w:r>
        <w:rPr>
          <w:rFonts w:eastAsia="方正仿宋简体"/>
          <w:b/>
          <w:sz w:val="30"/>
          <w:szCs w:val="30"/>
          <w:lang w:val="zh-CN"/>
        </w:rPr>
        <w:t>套期保值类型</w:t>
      </w:r>
    </w:p>
    <w:p>
      <w:pPr>
        <w:spacing w:line="560" w:lineRule="exact"/>
        <w:ind w:firstLine="600" w:firstLineChars="200"/>
        <w:rPr>
          <w:rFonts w:eastAsia="方正仿宋简体"/>
          <w:sz w:val="30"/>
          <w:szCs w:val="30"/>
          <w:lang w:val="zh-CN"/>
        </w:rPr>
      </w:pPr>
      <w:r>
        <w:rPr>
          <w:rFonts w:eastAsia="方正仿宋简体"/>
          <w:sz w:val="30"/>
          <w:szCs w:val="30"/>
          <w:lang w:val="zh-CN"/>
        </w:rPr>
        <w:t>1.现货多头套期保值，指在持有合约标的情况下，买入对应数量的认沽期权。</w:t>
      </w:r>
    </w:p>
    <w:p>
      <w:pPr>
        <w:spacing w:line="560" w:lineRule="exact"/>
        <w:ind w:firstLine="600" w:firstLineChars="200"/>
        <w:rPr>
          <w:rFonts w:eastAsia="方正仿宋简体"/>
          <w:sz w:val="30"/>
          <w:szCs w:val="30"/>
          <w:lang w:val="zh-CN"/>
        </w:rPr>
      </w:pPr>
      <w:r>
        <w:rPr>
          <w:rFonts w:eastAsia="方正仿宋简体"/>
          <w:sz w:val="30"/>
          <w:szCs w:val="30"/>
          <w:lang w:val="zh-CN"/>
        </w:rPr>
        <w:t>2.现货空头套期保值，指在融券卖出合约标的情况下，买入对应数量的认购期权。</w:t>
      </w:r>
    </w:p>
    <w:p>
      <w:pPr>
        <w:spacing w:line="560" w:lineRule="exact"/>
        <w:ind w:firstLine="600" w:firstLineChars="200"/>
        <w:rPr>
          <w:rFonts w:eastAsia="方正仿宋简体"/>
          <w:sz w:val="30"/>
          <w:szCs w:val="30"/>
          <w:lang w:val="zh-CN"/>
        </w:rPr>
      </w:pPr>
      <w:r>
        <w:rPr>
          <w:rFonts w:eastAsia="方正仿宋简体"/>
          <w:sz w:val="30"/>
          <w:szCs w:val="30"/>
          <w:lang w:val="zh-CN"/>
        </w:rPr>
        <w:t>3.期权合约之间套期保值，指对同一合约品种进行数量匹配的买入、卖出交易或保持Delta值中性的交易策略组合。</w:t>
      </w:r>
    </w:p>
    <w:p>
      <w:pPr>
        <w:spacing w:line="560" w:lineRule="exact"/>
        <w:ind w:firstLine="600" w:firstLineChars="200"/>
        <w:rPr>
          <w:rFonts w:eastAsia="方正仿宋简体"/>
          <w:sz w:val="30"/>
          <w:szCs w:val="30"/>
          <w:lang w:val="zh-CN"/>
        </w:rPr>
      </w:pPr>
      <w:r>
        <w:rPr>
          <w:rFonts w:eastAsia="方正仿宋简体"/>
          <w:sz w:val="30"/>
          <w:szCs w:val="30"/>
          <w:lang w:val="zh-CN"/>
        </w:rPr>
        <w:t>4.备兑开仓，指在持有合约标的情况下，卖出对应数量的认购期权。</w:t>
      </w:r>
    </w:p>
    <w:p>
      <w:pPr>
        <w:keepNext/>
        <w:keepLines/>
        <w:numPr>
          <w:ilvl w:val="0"/>
          <w:numId w:val="50"/>
        </w:numPr>
        <w:spacing w:line="560" w:lineRule="exact"/>
        <w:ind w:left="0" w:firstLine="601" w:firstLineChars="200"/>
        <w:outlineLvl w:val="2"/>
        <w:rPr>
          <w:rFonts w:eastAsia="方正仿宋简体"/>
          <w:b/>
          <w:sz w:val="30"/>
          <w:szCs w:val="30"/>
          <w:lang w:val="zh-CN"/>
        </w:rPr>
      </w:pPr>
      <w:r>
        <w:rPr>
          <w:rFonts w:eastAsia="方正仿宋简体"/>
          <w:b/>
          <w:sz w:val="30"/>
          <w:szCs w:val="30"/>
          <w:lang w:val="zh-CN"/>
        </w:rPr>
        <w:t>套期保值持仓限额申请材料</w:t>
      </w:r>
    </w:p>
    <w:p>
      <w:pPr>
        <w:spacing w:line="560" w:lineRule="exact"/>
        <w:ind w:firstLine="600" w:firstLineChars="200"/>
        <w:rPr>
          <w:rFonts w:eastAsia="方正仿宋简体"/>
          <w:sz w:val="30"/>
          <w:szCs w:val="30"/>
          <w:lang w:val="zh-CN"/>
        </w:rPr>
      </w:pPr>
      <w:r>
        <w:rPr>
          <w:rFonts w:eastAsia="方正仿宋简体"/>
          <w:sz w:val="30"/>
          <w:szCs w:val="30"/>
          <w:lang w:val="zh-CN"/>
        </w:rPr>
        <w:t>投资者进行套期保值交易需要申请提高持仓限额的，应当通过委托的期货公司向本所提交申请。接收委托的期货公司应当通过</w:t>
      </w:r>
      <w:r>
        <w:rPr>
          <w:rFonts w:eastAsia="方正仿宋简体"/>
          <w:sz w:val="30"/>
          <w:szCs w:val="30"/>
        </w:rPr>
        <w:t>本所</w:t>
      </w:r>
      <w:r>
        <w:rPr>
          <w:rFonts w:eastAsia="方正仿宋简体"/>
          <w:sz w:val="30"/>
          <w:szCs w:val="30"/>
          <w:lang w:val="zh-CN"/>
        </w:rPr>
        <w:t>期权业务专区填报电子申请，同时提交下列书面申请材料：</w:t>
      </w:r>
    </w:p>
    <w:p>
      <w:pPr>
        <w:numPr>
          <w:ilvl w:val="0"/>
          <w:numId w:val="51"/>
        </w:numPr>
        <w:spacing w:line="560" w:lineRule="exact"/>
        <w:ind w:left="0" w:firstLine="600" w:firstLineChars="200"/>
        <w:rPr>
          <w:rFonts w:eastAsia="方正仿宋简体"/>
          <w:sz w:val="30"/>
          <w:szCs w:val="30"/>
          <w:lang w:val="zh-CN"/>
        </w:rPr>
      </w:pPr>
      <w:r>
        <w:rPr>
          <w:rFonts w:eastAsia="方正仿宋简体"/>
          <w:sz w:val="30"/>
          <w:szCs w:val="30"/>
          <w:lang w:val="zh-CN"/>
        </w:rPr>
        <w:t>个人投资者提交经本人签字的套期保值专用账户报备表（附件4）及持仓限额调整申请表（附件5）；机构投资者提交加盖单位公章的申请书、套期保值专用账户报备表（附件4）及持仓限额调整申请表（附件5）；</w:t>
      </w:r>
    </w:p>
    <w:p>
      <w:pPr>
        <w:numPr>
          <w:ilvl w:val="0"/>
          <w:numId w:val="51"/>
        </w:numPr>
        <w:spacing w:line="560" w:lineRule="exact"/>
        <w:ind w:left="0" w:firstLine="600" w:firstLineChars="200"/>
        <w:rPr>
          <w:rFonts w:eastAsia="方正仿宋简体"/>
          <w:sz w:val="30"/>
          <w:szCs w:val="30"/>
          <w:lang w:val="zh-CN"/>
        </w:rPr>
      </w:pPr>
      <w:r>
        <w:rPr>
          <w:rFonts w:eastAsia="方正仿宋简体"/>
          <w:sz w:val="30"/>
          <w:szCs w:val="30"/>
          <w:lang w:val="zh-CN"/>
        </w:rPr>
        <w:t>个人投资者需提供账户信息、有效身份证明复印件；机构投资者需提供账户信息、单位的授权委托书、授权委托人（代理人）身份证复印件和单位营业执照复印件等；</w:t>
      </w:r>
    </w:p>
    <w:p>
      <w:pPr>
        <w:numPr>
          <w:ilvl w:val="0"/>
          <w:numId w:val="51"/>
        </w:numPr>
        <w:spacing w:line="560" w:lineRule="exact"/>
        <w:ind w:left="0" w:firstLine="600" w:firstLineChars="200"/>
        <w:rPr>
          <w:rFonts w:eastAsia="方正仿宋简体"/>
          <w:sz w:val="30"/>
          <w:szCs w:val="30"/>
          <w:lang w:val="zh-CN"/>
        </w:rPr>
      </w:pPr>
      <w:r>
        <w:rPr>
          <w:rFonts w:eastAsia="方正仿宋简体"/>
          <w:sz w:val="30"/>
          <w:szCs w:val="30"/>
          <w:lang w:val="zh-CN"/>
        </w:rPr>
        <w:t>期货公司出具的客户持仓限额调整意见书。客户持仓限额调整意见书需经期货公司股票期权经纪业务负责人签字，并加盖期货公司公章；</w:t>
      </w:r>
    </w:p>
    <w:p>
      <w:pPr>
        <w:numPr>
          <w:ilvl w:val="0"/>
          <w:numId w:val="51"/>
        </w:numPr>
        <w:spacing w:line="560" w:lineRule="exact"/>
        <w:ind w:left="0" w:firstLine="600" w:firstLineChars="200"/>
        <w:rPr>
          <w:rFonts w:eastAsia="方正仿宋简体"/>
          <w:sz w:val="30"/>
          <w:szCs w:val="30"/>
          <w:lang w:val="zh-CN"/>
        </w:rPr>
      </w:pPr>
      <w:r>
        <w:rPr>
          <w:rFonts w:eastAsia="方正仿宋简体"/>
          <w:sz w:val="30"/>
          <w:szCs w:val="30"/>
          <w:lang w:val="zh-CN"/>
        </w:rPr>
        <w:t>套期保值方案；</w:t>
      </w:r>
    </w:p>
    <w:p>
      <w:pPr>
        <w:numPr>
          <w:ilvl w:val="0"/>
          <w:numId w:val="51"/>
        </w:numPr>
        <w:spacing w:line="560" w:lineRule="exact"/>
        <w:ind w:left="0" w:firstLine="600" w:firstLineChars="200"/>
        <w:rPr>
          <w:rFonts w:eastAsia="方正仿宋简体"/>
          <w:sz w:val="30"/>
          <w:szCs w:val="30"/>
          <w:lang w:val="zh-CN"/>
        </w:rPr>
      </w:pPr>
      <w:r>
        <w:rPr>
          <w:rFonts w:eastAsia="方正仿宋简体"/>
          <w:sz w:val="30"/>
          <w:szCs w:val="30"/>
          <w:lang w:val="zh-CN"/>
        </w:rPr>
        <w:t>最近30个交易日与其套期保值方案相关的现货及期货市场交易、风险管理情况；</w:t>
      </w:r>
    </w:p>
    <w:p>
      <w:pPr>
        <w:numPr>
          <w:ilvl w:val="0"/>
          <w:numId w:val="51"/>
        </w:numPr>
        <w:spacing w:line="560" w:lineRule="exact"/>
        <w:ind w:left="0" w:firstLine="600" w:firstLineChars="200"/>
        <w:rPr>
          <w:rFonts w:eastAsia="方正仿宋简体"/>
          <w:sz w:val="30"/>
          <w:szCs w:val="30"/>
          <w:lang w:val="zh-CN"/>
        </w:rPr>
      </w:pPr>
      <w:r>
        <w:rPr>
          <w:rFonts w:eastAsia="方正仿宋简体"/>
          <w:sz w:val="30"/>
          <w:szCs w:val="30"/>
          <w:lang w:val="zh-CN"/>
        </w:rPr>
        <w:t>最近30个交易日的自有资产证明（附件6）；</w:t>
      </w:r>
    </w:p>
    <w:p>
      <w:pPr>
        <w:numPr>
          <w:ilvl w:val="0"/>
          <w:numId w:val="51"/>
        </w:numPr>
        <w:spacing w:line="560" w:lineRule="exact"/>
        <w:ind w:left="0" w:firstLine="600" w:firstLineChars="200"/>
        <w:rPr>
          <w:rFonts w:eastAsia="方正仿宋简体"/>
          <w:sz w:val="30"/>
          <w:szCs w:val="30"/>
          <w:lang w:val="zh-CN"/>
        </w:rPr>
      </w:pPr>
      <w:r>
        <w:rPr>
          <w:rFonts w:eastAsia="方正仿宋简体"/>
          <w:sz w:val="30"/>
          <w:szCs w:val="30"/>
          <w:lang w:val="zh-CN"/>
        </w:rPr>
        <w:t>最近30个交易日额度使用情况说明；</w:t>
      </w:r>
    </w:p>
    <w:p>
      <w:pPr>
        <w:numPr>
          <w:ilvl w:val="0"/>
          <w:numId w:val="51"/>
        </w:numPr>
        <w:spacing w:line="560" w:lineRule="exact"/>
        <w:ind w:left="0" w:firstLine="600" w:firstLineChars="200"/>
        <w:rPr>
          <w:rFonts w:eastAsia="方正仿宋简体"/>
          <w:sz w:val="30"/>
          <w:szCs w:val="30"/>
          <w:lang w:val="zh-CN"/>
        </w:rPr>
      </w:pPr>
      <w:r>
        <w:rPr>
          <w:rFonts w:eastAsia="方正仿宋简体"/>
          <w:sz w:val="30"/>
          <w:szCs w:val="30"/>
          <w:lang w:val="zh-CN"/>
        </w:rPr>
        <w:t>本所要求的其他材料。</w:t>
      </w:r>
    </w:p>
    <w:p>
      <w:pPr>
        <w:widowControl/>
        <w:spacing w:line="560" w:lineRule="exact"/>
        <w:ind w:firstLine="600" w:firstLineChars="200"/>
        <w:rPr>
          <w:rFonts w:eastAsia="方正仿宋简体"/>
          <w:kern w:val="0"/>
          <w:sz w:val="30"/>
          <w:szCs w:val="30"/>
        </w:rPr>
      </w:pPr>
      <w:r>
        <w:rPr>
          <w:rFonts w:eastAsia="方正仿宋简体"/>
          <w:kern w:val="0"/>
          <w:sz w:val="30"/>
          <w:szCs w:val="30"/>
        </w:rPr>
        <w:t>书面申请材料均为PDF文件（不大于20MB），其中《持仓限额调整申请表》（附件5）在专区页面填报完成后，点击下载签字盖章后，扫描为PDF文件。以上材料均需通过期权业务专区上传。</w:t>
      </w:r>
    </w:p>
    <w:p>
      <w:pPr>
        <w:spacing w:line="560" w:lineRule="exact"/>
        <w:ind w:firstLine="600" w:firstLineChars="200"/>
        <w:rPr>
          <w:rFonts w:eastAsia="方正仿宋简体"/>
          <w:sz w:val="30"/>
          <w:szCs w:val="30"/>
          <w:lang w:val="zh-CN"/>
        </w:rPr>
      </w:pPr>
      <w:r>
        <w:rPr>
          <w:rFonts w:eastAsia="方正仿宋简体"/>
          <w:sz w:val="30"/>
          <w:szCs w:val="30"/>
          <w:lang w:val="zh-CN"/>
        </w:rPr>
        <w:t>投资者提供的申请材料应当真实、准确、完整，期货公司应当对客户的申请材料进行核查，保证其真实、准确、完整，并持续对套期保值额度的使用情况进行跟踪评估。</w:t>
      </w:r>
    </w:p>
    <w:p>
      <w:pPr>
        <w:keepNext/>
        <w:keepLines/>
        <w:numPr>
          <w:ilvl w:val="0"/>
          <w:numId w:val="50"/>
        </w:numPr>
        <w:spacing w:line="560" w:lineRule="exact"/>
        <w:ind w:left="0" w:firstLine="601" w:firstLineChars="200"/>
        <w:outlineLvl w:val="2"/>
        <w:rPr>
          <w:rFonts w:eastAsia="方正仿宋简体"/>
          <w:b/>
          <w:sz w:val="30"/>
          <w:szCs w:val="30"/>
          <w:lang w:val="zh-CN"/>
        </w:rPr>
      </w:pPr>
      <w:r>
        <w:rPr>
          <w:rFonts w:eastAsia="方正仿宋简体"/>
          <w:b/>
          <w:sz w:val="30"/>
          <w:szCs w:val="30"/>
          <w:lang w:val="zh-CN"/>
        </w:rPr>
        <w:t>监管要求</w:t>
      </w:r>
    </w:p>
    <w:p>
      <w:pPr>
        <w:spacing w:line="560" w:lineRule="exact"/>
        <w:ind w:firstLine="600" w:firstLineChars="200"/>
        <w:rPr>
          <w:rFonts w:eastAsia="方正仿宋简体"/>
          <w:sz w:val="30"/>
          <w:szCs w:val="30"/>
          <w:lang w:val="zh-CN"/>
        </w:rPr>
      </w:pPr>
      <w:r>
        <w:rPr>
          <w:rFonts w:eastAsia="方正仿宋简体"/>
          <w:sz w:val="30"/>
          <w:szCs w:val="30"/>
        </w:rPr>
        <w:t>本所</w:t>
      </w:r>
      <w:r>
        <w:rPr>
          <w:rFonts w:eastAsia="方正仿宋简体"/>
          <w:sz w:val="30"/>
          <w:szCs w:val="30"/>
          <w:lang w:val="zh-CN"/>
        </w:rPr>
        <w:t>依据中国结算提供的开户数据，对期货公司开立的合约账户进行检查，对套保账户的交易行为按照本所相关股票期权业务规则进行监管。</w:t>
      </w:r>
    </w:p>
    <w:p>
      <w:pPr>
        <w:keepNext/>
        <w:keepLines/>
        <w:numPr>
          <w:ilvl w:val="0"/>
          <w:numId w:val="50"/>
        </w:numPr>
        <w:spacing w:line="560" w:lineRule="exact"/>
        <w:ind w:left="0" w:firstLine="601" w:firstLineChars="200"/>
        <w:outlineLvl w:val="2"/>
        <w:rPr>
          <w:rFonts w:eastAsia="方正仿宋简体"/>
          <w:b/>
          <w:sz w:val="30"/>
          <w:szCs w:val="30"/>
          <w:lang w:val="zh-CN"/>
        </w:rPr>
      </w:pPr>
      <w:r>
        <w:rPr>
          <w:rFonts w:eastAsia="方正仿宋简体"/>
          <w:b/>
          <w:sz w:val="30"/>
          <w:szCs w:val="30"/>
          <w:lang w:val="zh-CN"/>
        </w:rPr>
        <w:t>注意事项</w:t>
      </w:r>
    </w:p>
    <w:p>
      <w:pPr>
        <w:spacing w:line="560" w:lineRule="exact"/>
        <w:ind w:firstLine="600" w:firstLineChars="200"/>
        <w:rPr>
          <w:rFonts w:eastAsia="方正仿宋简体"/>
          <w:sz w:val="30"/>
          <w:szCs w:val="30"/>
          <w:lang w:val="zh-CN"/>
        </w:rPr>
      </w:pPr>
      <w:r>
        <w:rPr>
          <w:rFonts w:eastAsia="方正仿宋简体"/>
          <w:sz w:val="30"/>
          <w:szCs w:val="30"/>
          <w:lang w:val="zh-CN"/>
        </w:rPr>
        <w:t>1.机构投资者需提供账户信息、单位的授权委托书、授权委托人（代理人）身份证复印件和单位营业执照复印件等材料，并加盖公章。</w:t>
      </w:r>
    </w:p>
    <w:p>
      <w:pPr>
        <w:spacing w:line="560" w:lineRule="exact"/>
        <w:ind w:firstLine="600" w:firstLineChars="200"/>
        <w:rPr>
          <w:rFonts w:eastAsia="方正仿宋简体"/>
          <w:sz w:val="30"/>
          <w:szCs w:val="30"/>
          <w:lang w:val="zh-CN"/>
        </w:rPr>
      </w:pPr>
      <w:r>
        <w:rPr>
          <w:rFonts w:eastAsia="方正仿宋简体"/>
          <w:sz w:val="30"/>
          <w:szCs w:val="30"/>
          <w:lang w:val="zh-CN"/>
        </w:rPr>
        <w:t>2.套期保值方案包括但不限于：套期保值原理、套保策略、现货规模（须与上报资产明细一致）与套保额度需求测算、套期保值实施计划和目标、期现资产关联度分析、风险控制和内部控制制度等。</w:t>
      </w:r>
    </w:p>
    <w:p>
      <w:pPr>
        <w:spacing w:line="560" w:lineRule="exact"/>
        <w:ind w:firstLine="600" w:firstLineChars="200"/>
        <w:rPr>
          <w:rFonts w:eastAsia="方正仿宋简体"/>
          <w:sz w:val="30"/>
          <w:szCs w:val="30"/>
          <w:lang w:val="zh-CN"/>
        </w:rPr>
      </w:pPr>
      <w:r>
        <w:rPr>
          <w:rFonts w:eastAsia="方正仿宋简体"/>
          <w:sz w:val="30"/>
          <w:szCs w:val="30"/>
          <w:lang w:val="zh-CN"/>
        </w:rPr>
        <w:t>3.投资者申请材料要加盖期货公司业务章。</w:t>
      </w:r>
    </w:p>
    <w:p>
      <w:pPr>
        <w:keepNext/>
        <w:keepLines/>
        <w:numPr>
          <w:ilvl w:val="0"/>
          <w:numId w:val="41"/>
        </w:numPr>
        <w:spacing w:line="560" w:lineRule="exact"/>
        <w:ind w:left="0" w:firstLine="601" w:firstLineChars="200"/>
        <w:outlineLvl w:val="1"/>
        <w:rPr>
          <w:rFonts w:eastAsia="方正仿宋简体"/>
          <w:b/>
          <w:bCs/>
          <w:kern w:val="0"/>
          <w:sz w:val="30"/>
          <w:szCs w:val="30"/>
          <w:lang w:val="zh-CN" w:eastAsia="zh-CN"/>
        </w:rPr>
      </w:pPr>
      <w:bookmarkStart w:id="134" w:name="_Toc25841999"/>
      <w:r>
        <w:rPr>
          <w:rFonts w:eastAsia="方正仿宋简体"/>
          <w:b/>
          <w:bCs/>
          <w:kern w:val="0"/>
          <w:sz w:val="30"/>
          <w:szCs w:val="30"/>
          <w:lang w:val="zh-CN" w:eastAsia="zh-CN"/>
        </w:rPr>
        <w:t>经纪业务总持仓限额申请</w:t>
      </w:r>
      <w:bookmarkEnd w:id="134"/>
    </w:p>
    <w:p>
      <w:pPr>
        <w:keepNext/>
        <w:keepLines/>
        <w:numPr>
          <w:ilvl w:val="0"/>
          <w:numId w:val="52"/>
        </w:numPr>
        <w:spacing w:line="560" w:lineRule="exact"/>
        <w:ind w:left="0" w:firstLine="601" w:firstLineChars="200"/>
        <w:outlineLvl w:val="2"/>
        <w:rPr>
          <w:rFonts w:eastAsia="方正仿宋简体"/>
          <w:b/>
          <w:kern w:val="0"/>
          <w:sz w:val="30"/>
          <w:szCs w:val="30"/>
        </w:rPr>
      </w:pPr>
      <w:r>
        <w:rPr>
          <w:rFonts w:eastAsia="方正仿宋简体"/>
          <w:b/>
          <w:kern w:val="0"/>
          <w:sz w:val="30"/>
          <w:szCs w:val="30"/>
        </w:rPr>
        <w:t>申请对象</w:t>
      </w:r>
    </w:p>
    <w:p>
      <w:pPr>
        <w:widowControl/>
        <w:spacing w:line="560" w:lineRule="exact"/>
        <w:ind w:firstLine="600" w:firstLineChars="200"/>
        <w:rPr>
          <w:rFonts w:eastAsia="方正仿宋简体"/>
          <w:kern w:val="0"/>
          <w:sz w:val="30"/>
          <w:szCs w:val="30"/>
        </w:rPr>
      </w:pPr>
      <w:r>
        <w:rPr>
          <w:rFonts w:eastAsia="方正仿宋简体"/>
          <w:kern w:val="0"/>
          <w:sz w:val="30"/>
          <w:szCs w:val="30"/>
        </w:rPr>
        <w:t>期货公司因经纪业务需要提高持仓限额且符合本所规定条件的，可以根据《深圳证券交易所股票期权试点持仓限额管理业务指引》的相关规定，对单个合约品种向本所申请提高总持仓限额。</w:t>
      </w:r>
    </w:p>
    <w:p>
      <w:pPr>
        <w:keepNext/>
        <w:keepLines/>
        <w:numPr>
          <w:ilvl w:val="0"/>
          <w:numId w:val="52"/>
        </w:numPr>
        <w:spacing w:line="560" w:lineRule="exact"/>
        <w:ind w:left="0" w:firstLine="601" w:firstLineChars="200"/>
        <w:outlineLvl w:val="2"/>
        <w:rPr>
          <w:rFonts w:eastAsia="方正仿宋简体"/>
          <w:b/>
          <w:kern w:val="0"/>
          <w:sz w:val="30"/>
          <w:szCs w:val="30"/>
        </w:rPr>
      </w:pPr>
      <w:r>
        <w:rPr>
          <w:rFonts w:eastAsia="方正仿宋简体"/>
          <w:b/>
          <w:kern w:val="0"/>
          <w:sz w:val="30"/>
          <w:szCs w:val="30"/>
        </w:rPr>
        <w:t>持仓限额申请材料</w:t>
      </w:r>
    </w:p>
    <w:p>
      <w:pPr>
        <w:widowControl/>
        <w:spacing w:line="560" w:lineRule="exact"/>
        <w:ind w:firstLine="600" w:firstLineChars="200"/>
        <w:rPr>
          <w:rFonts w:eastAsia="方正仿宋简体"/>
          <w:kern w:val="0"/>
          <w:sz w:val="30"/>
          <w:szCs w:val="30"/>
        </w:rPr>
      </w:pPr>
      <w:r>
        <w:rPr>
          <w:rFonts w:eastAsia="方正仿宋简体"/>
          <w:kern w:val="0"/>
          <w:sz w:val="30"/>
          <w:szCs w:val="30"/>
        </w:rPr>
        <w:t>期货公司因经纪业务需要提高持仓限额的，应当向本所提交下列书面申请材料：</w:t>
      </w:r>
    </w:p>
    <w:p>
      <w:pPr>
        <w:numPr>
          <w:ilvl w:val="0"/>
          <w:numId w:val="53"/>
        </w:numPr>
        <w:spacing w:line="560" w:lineRule="exact"/>
        <w:ind w:firstLine="600" w:firstLineChars="200"/>
        <w:rPr>
          <w:rFonts w:eastAsia="方正仿宋简体"/>
          <w:sz w:val="30"/>
          <w:szCs w:val="30"/>
        </w:rPr>
      </w:pPr>
      <w:r>
        <w:rPr>
          <w:rFonts w:eastAsia="方正仿宋简体"/>
          <w:sz w:val="30"/>
          <w:szCs w:val="30"/>
        </w:rPr>
        <w:t>加盖期货公司公章的申请书。</w:t>
      </w:r>
    </w:p>
    <w:p>
      <w:pPr>
        <w:numPr>
          <w:ilvl w:val="0"/>
          <w:numId w:val="53"/>
        </w:numPr>
        <w:spacing w:line="560" w:lineRule="exact"/>
        <w:ind w:firstLine="600" w:firstLineChars="200"/>
        <w:rPr>
          <w:rFonts w:eastAsia="方正仿宋简体"/>
          <w:sz w:val="30"/>
          <w:szCs w:val="30"/>
        </w:rPr>
      </w:pPr>
      <w:r>
        <w:rPr>
          <w:rFonts w:eastAsia="方正仿宋简体"/>
          <w:sz w:val="30"/>
          <w:szCs w:val="30"/>
        </w:rPr>
        <w:t>持仓限额调整申请表（附件9）。持仓限额调整申请表需经期货公司分管期权经纪业务的公司高级管理人员及首席风控官（或合规总监）签字，并加盖期货公司公章。</w:t>
      </w:r>
    </w:p>
    <w:p>
      <w:pPr>
        <w:numPr>
          <w:ilvl w:val="0"/>
          <w:numId w:val="53"/>
        </w:numPr>
        <w:spacing w:line="560" w:lineRule="exact"/>
        <w:ind w:firstLine="600" w:firstLineChars="200"/>
        <w:rPr>
          <w:rFonts w:eastAsia="方正仿宋简体"/>
          <w:sz w:val="30"/>
          <w:szCs w:val="30"/>
        </w:rPr>
      </w:pPr>
      <w:r>
        <w:rPr>
          <w:rFonts w:eastAsia="方正仿宋简体"/>
          <w:sz w:val="30"/>
          <w:szCs w:val="30"/>
        </w:rPr>
        <w:t>最近30个交易日全体客户数量、额度使用情况等说明。</w:t>
      </w:r>
    </w:p>
    <w:p>
      <w:pPr>
        <w:numPr>
          <w:ilvl w:val="0"/>
          <w:numId w:val="53"/>
        </w:numPr>
        <w:spacing w:line="560" w:lineRule="exact"/>
        <w:ind w:firstLine="600" w:firstLineChars="200"/>
        <w:rPr>
          <w:rFonts w:eastAsia="方正仿宋简体"/>
          <w:sz w:val="30"/>
          <w:szCs w:val="30"/>
        </w:rPr>
      </w:pPr>
      <w:r>
        <w:rPr>
          <w:rFonts w:eastAsia="方正仿宋简体"/>
          <w:sz w:val="30"/>
          <w:szCs w:val="30"/>
        </w:rPr>
        <w:t>本所要求的其他材料。</w:t>
      </w:r>
    </w:p>
    <w:p>
      <w:pPr>
        <w:widowControl/>
        <w:spacing w:line="560" w:lineRule="exact"/>
        <w:ind w:firstLine="600" w:firstLineChars="200"/>
        <w:rPr>
          <w:rFonts w:eastAsia="方正仿宋简体"/>
          <w:kern w:val="0"/>
          <w:sz w:val="30"/>
          <w:szCs w:val="30"/>
        </w:rPr>
      </w:pPr>
      <w:r>
        <w:rPr>
          <w:rFonts w:eastAsia="方正仿宋简体"/>
          <w:kern w:val="0"/>
          <w:sz w:val="30"/>
          <w:szCs w:val="30"/>
        </w:rPr>
        <w:t>书面申请材料均为PDF文件（不大于20MB），其中《持仓限额调整申请表》（附件9）在专区页面填报完成后，点击下载签字盖章后，扫描为PDF文件。以上材料均需通过期权业务专区上传。</w:t>
      </w:r>
    </w:p>
    <w:p>
      <w:pPr>
        <w:keepNext/>
        <w:keepLines/>
        <w:numPr>
          <w:ilvl w:val="0"/>
          <w:numId w:val="41"/>
        </w:numPr>
        <w:spacing w:line="560" w:lineRule="exact"/>
        <w:ind w:left="0" w:firstLine="601" w:firstLineChars="200"/>
        <w:outlineLvl w:val="1"/>
        <w:rPr>
          <w:rFonts w:eastAsia="方正仿宋简体"/>
          <w:b/>
          <w:bCs/>
          <w:kern w:val="0"/>
          <w:sz w:val="30"/>
          <w:szCs w:val="30"/>
          <w:lang w:val="zh-CN" w:eastAsia="zh-CN"/>
        </w:rPr>
      </w:pPr>
      <w:bookmarkStart w:id="135" w:name="_Toc25842000"/>
      <w:bookmarkStart w:id="136" w:name="_Toc533019151"/>
      <w:r>
        <w:rPr>
          <w:rFonts w:eastAsia="方正仿宋简体"/>
          <w:b/>
          <w:bCs/>
          <w:kern w:val="0"/>
          <w:sz w:val="30"/>
          <w:szCs w:val="30"/>
          <w:lang w:val="zh-CN" w:eastAsia="zh-CN"/>
        </w:rPr>
        <w:t>特定产品持仓限额申请</w:t>
      </w:r>
      <w:bookmarkEnd w:id="135"/>
      <w:bookmarkEnd w:id="136"/>
    </w:p>
    <w:p>
      <w:pPr>
        <w:keepNext/>
        <w:keepLines/>
        <w:numPr>
          <w:ilvl w:val="0"/>
          <w:numId w:val="54"/>
        </w:numPr>
        <w:spacing w:line="560" w:lineRule="exact"/>
        <w:ind w:left="0" w:firstLine="601" w:firstLineChars="200"/>
        <w:outlineLvl w:val="2"/>
        <w:rPr>
          <w:rFonts w:eastAsia="方正仿宋简体"/>
          <w:b/>
          <w:bCs/>
          <w:kern w:val="0"/>
          <w:sz w:val="30"/>
          <w:szCs w:val="30"/>
          <w:lang w:val="zh-CN" w:eastAsia="zh-CN"/>
        </w:rPr>
      </w:pPr>
      <w:r>
        <w:rPr>
          <w:rFonts w:eastAsia="方正仿宋简体"/>
          <w:b/>
          <w:bCs/>
          <w:kern w:val="0"/>
          <w:sz w:val="30"/>
          <w:szCs w:val="30"/>
          <w:lang w:val="zh-CN" w:eastAsia="zh-CN"/>
        </w:rPr>
        <w:t>申请对象</w:t>
      </w:r>
    </w:p>
    <w:p>
      <w:pPr>
        <w:widowControl/>
        <w:spacing w:line="560" w:lineRule="exact"/>
        <w:ind w:firstLine="600" w:firstLineChars="200"/>
        <w:rPr>
          <w:rFonts w:eastAsia="方正仿宋简体"/>
          <w:kern w:val="0"/>
          <w:sz w:val="30"/>
          <w:szCs w:val="30"/>
        </w:rPr>
      </w:pPr>
      <w:r>
        <w:rPr>
          <w:rFonts w:eastAsia="方正仿宋简体"/>
          <w:kern w:val="0"/>
          <w:sz w:val="30"/>
          <w:szCs w:val="30"/>
        </w:rPr>
        <w:t>特定产品根据产品需要，可以根据《深圳证券交易所股票期权试点持仓限额管理业务指引》的相关规定，通过期货公司向本所申请持仓限额，本所根据产品方案、资产规模、投资策略等确定其持仓限额。</w:t>
      </w:r>
    </w:p>
    <w:p>
      <w:pPr>
        <w:keepNext/>
        <w:keepLines/>
        <w:numPr>
          <w:ilvl w:val="0"/>
          <w:numId w:val="54"/>
        </w:numPr>
        <w:spacing w:line="560" w:lineRule="exact"/>
        <w:ind w:left="0" w:firstLine="601" w:firstLineChars="200"/>
        <w:outlineLvl w:val="2"/>
        <w:rPr>
          <w:rFonts w:eastAsia="方正仿宋简体"/>
          <w:b/>
          <w:bCs/>
          <w:kern w:val="0"/>
          <w:sz w:val="30"/>
          <w:szCs w:val="30"/>
          <w:lang w:val="zh-CN" w:eastAsia="zh-CN"/>
        </w:rPr>
      </w:pPr>
      <w:r>
        <w:rPr>
          <w:rFonts w:eastAsia="方正仿宋简体"/>
          <w:b/>
          <w:bCs/>
          <w:kern w:val="0"/>
          <w:sz w:val="30"/>
          <w:szCs w:val="30"/>
          <w:lang w:val="zh-CN" w:eastAsia="zh-CN"/>
        </w:rPr>
        <w:t>账户管理</w:t>
      </w:r>
    </w:p>
    <w:p>
      <w:pPr>
        <w:spacing w:line="560" w:lineRule="exact"/>
        <w:ind w:firstLine="596" w:firstLineChars="200"/>
        <w:rPr>
          <w:rFonts w:eastAsia="方正仿宋简体"/>
          <w:spacing w:val="-1"/>
          <w:kern w:val="0"/>
          <w:sz w:val="30"/>
          <w:szCs w:val="30"/>
        </w:rPr>
      </w:pPr>
      <w:r>
        <w:rPr>
          <w:rFonts w:eastAsia="方正仿宋简体"/>
          <w:spacing w:val="-1"/>
          <w:kern w:val="0"/>
          <w:sz w:val="30"/>
          <w:szCs w:val="30"/>
        </w:rPr>
        <w:t>对特定产品因产品需要申请调整持仓限额且审核通过的，上报的衍生品合约账户将作为产品专用账户，持仓限额调整结果对该产品账户对应的A股证券账户生效。</w:t>
      </w:r>
    </w:p>
    <w:p>
      <w:pPr>
        <w:spacing w:line="560" w:lineRule="exact"/>
        <w:ind w:firstLine="600" w:firstLineChars="200"/>
        <w:rPr>
          <w:rFonts w:eastAsia="方正仿宋简体"/>
          <w:kern w:val="0"/>
          <w:sz w:val="30"/>
          <w:szCs w:val="30"/>
        </w:rPr>
      </w:pPr>
      <w:r>
        <w:rPr>
          <w:rFonts w:eastAsia="方正仿宋简体"/>
          <w:kern w:val="0"/>
          <w:sz w:val="30"/>
          <w:szCs w:val="30"/>
        </w:rPr>
        <w:t xml:space="preserve">产品账户仅用于申请人所报备的特定产品交易，不得使用该账户进行所报备方案外的交易。 </w:t>
      </w:r>
    </w:p>
    <w:p>
      <w:pPr>
        <w:spacing w:line="560" w:lineRule="exact"/>
        <w:ind w:firstLine="596" w:firstLineChars="200"/>
        <w:rPr>
          <w:rFonts w:eastAsia="方正仿宋简体"/>
          <w:spacing w:val="-1"/>
          <w:kern w:val="0"/>
          <w:sz w:val="30"/>
          <w:szCs w:val="30"/>
        </w:rPr>
      </w:pPr>
      <w:r>
        <w:rPr>
          <w:rFonts w:eastAsia="方正仿宋简体"/>
          <w:spacing w:val="-1"/>
          <w:kern w:val="0"/>
          <w:sz w:val="30"/>
          <w:szCs w:val="30"/>
        </w:rPr>
        <w:t>本所以</w:t>
      </w:r>
      <w:r>
        <w:rPr>
          <w:rFonts w:eastAsia="方正仿宋简体"/>
          <w:kern w:val="0"/>
          <w:sz w:val="30"/>
          <w:szCs w:val="30"/>
        </w:rPr>
        <w:t>产品账户</w:t>
      </w:r>
      <w:r>
        <w:rPr>
          <w:rFonts w:eastAsia="方正仿宋简体"/>
          <w:spacing w:val="-1"/>
          <w:kern w:val="0"/>
          <w:sz w:val="30"/>
          <w:szCs w:val="30"/>
        </w:rPr>
        <w:t>对应的深市A股证券账户进行前端控制和交易监管，期货公司仍以该</w:t>
      </w:r>
      <w:r>
        <w:rPr>
          <w:rFonts w:eastAsia="方正仿宋简体"/>
          <w:kern w:val="0"/>
          <w:sz w:val="30"/>
          <w:szCs w:val="30"/>
        </w:rPr>
        <w:t>产品账户</w:t>
      </w:r>
      <w:r>
        <w:rPr>
          <w:rFonts w:eastAsia="方正仿宋简体"/>
          <w:spacing w:val="-1"/>
          <w:kern w:val="0"/>
          <w:sz w:val="30"/>
          <w:szCs w:val="30"/>
        </w:rPr>
        <w:t xml:space="preserve">为单位对其持有的单个期权品种持仓按新审批的额度实行前端控制。 </w:t>
      </w:r>
    </w:p>
    <w:p>
      <w:pPr>
        <w:keepNext/>
        <w:keepLines/>
        <w:numPr>
          <w:ilvl w:val="0"/>
          <w:numId w:val="54"/>
        </w:numPr>
        <w:spacing w:line="560" w:lineRule="exact"/>
        <w:ind w:left="0" w:firstLine="601" w:firstLineChars="200"/>
        <w:outlineLvl w:val="2"/>
        <w:rPr>
          <w:rFonts w:eastAsia="方正仿宋简体"/>
          <w:b/>
          <w:bCs/>
          <w:kern w:val="0"/>
          <w:sz w:val="30"/>
          <w:szCs w:val="30"/>
          <w:lang w:val="zh-CN" w:eastAsia="zh-CN"/>
        </w:rPr>
      </w:pPr>
      <w:r>
        <w:rPr>
          <w:rFonts w:eastAsia="方正仿宋简体"/>
          <w:b/>
          <w:bCs/>
          <w:kern w:val="0"/>
          <w:sz w:val="30"/>
          <w:szCs w:val="30"/>
          <w:lang w:val="zh-CN" w:eastAsia="zh-CN"/>
        </w:rPr>
        <w:t>持仓限额申请材料</w:t>
      </w:r>
    </w:p>
    <w:p>
      <w:pPr>
        <w:widowControl/>
        <w:spacing w:line="560" w:lineRule="exact"/>
        <w:ind w:firstLine="600" w:firstLineChars="200"/>
        <w:rPr>
          <w:rFonts w:eastAsia="方正仿宋简体"/>
          <w:kern w:val="0"/>
          <w:sz w:val="30"/>
          <w:szCs w:val="30"/>
        </w:rPr>
      </w:pPr>
      <w:r>
        <w:rPr>
          <w:rFonts w:eastAsia="方正仿宋简体"/>
          <w:kern w:val="0"/>
          <w:sz w:val="30"/>
          <w:szCs w:val="30"/>
        </w:rPr>
        <w:t>特定产品因产品需要申请调整持仓限额的，应当向本所提交下列申请材料：</w:t>
      </w:r>
    </w:p>
    <w:p>
      <w:pPr>
        <w:widowControl/>
        <w:numPr>
          <w:ilvl w:val="0"/>
          <w:numId w:val="55"/>
        </w:numPr>
        <w:spacing w:line="560" w:lineRule="exact"/>
        <w:ind w:left="0" w:firstLine="600" w:firstLineChars="200"/>
        <w:rPr>
          <w:rFonts w:eastAsia="方正仿宋简体"/>
          <w:kern w:val="0"/>
          <w:sz w:val="30"/>
          <w:szCs w:val="30"/>
        </w:rPr>
      </w:pPr>
      <w:r>
        <w:rPr>
          <w:rFonts w:eastAsia="方正仿宋简体"/>
          <w:kern w:val="0"/>
          <w:sz w:val="30"/>
          <w:szCs w:val="30"/>
        </w:rPr>
        <w:t>产品发行人提交加盖单位公章的申请书、产品专用账户报备表（附件7）及持仓限额调整申请表（附件8）。</w:t>
      </w:r>
    </w:p>
    <w:p>
      <w:pPr>
        <w:widowControl/>
        <w:numPr>
          <w:ilvl w:val="0"/>
          <w:numId w:val="55"/>
        </w:numPr>
        <w:spacing w:line="560" w:lineRule="exact"/>
        <w:ind w:left="0" w:firstLine="600" w:firstLineChars="200"/>
        <w:rPr>
          <w:rFonts w:eastAsia="方正仿宋简体"/>
          <w:kern w:val="0"/>
          <w:sz w:val="30"/>
          <w:szCs w:val="30"/>
        </w:rPr>
      </w:pPr>
      <w:r>
        <w:rPr>
          <w:rFonts w:eastAsia="方正仿宋简体"/>
          <w:kern w:val="0"/>
          <w:sz w:val="30"/>
          <w:szCs w:val="30"/>
        </w:rPr>
        <w:t>产品发行人需提供产品账户信息、发行人的授权委托书、授权委托人（代理人）身份证复印件和发行人营业执照复印件和产品备案文件等。</w:t>
      </w:r>
    </w:p>
    <w:p>
      <w:pPr>
        <w:widowControl/>
        <w:numPr>
          <w:ilvl w:val="0"/>
          <w:numId w:val="55"/>
        </w:numPr>
        <w:spacing w:line="560" w:lineRule="exact"/>
        <w:ind w:left="0" w:firstLine="600" w:firstLineChars="200"/>
        <w:rPr>
          <w:rFonts w:eastAsia="方正仿宋简体"/>
          <w:kern w:val="0"/>
          <w:sz w:val="30"/>
          <w:szCs w:val="30"/>
        </w:rPr>
      </w:pPr>
      <w:r>
        <w:rPr>
          <w:rFonts w:eastAsia="方正仿宋简体"/>
          <w:kern w:val="0"/>
          <w:sz w:val="30"/>
          <w:szCs w:val="30"/>
        </w:rPr>
        <w:t>期货公司出具的特定产品持仓限额调整意见书，该意见书需经期货公司股票期权经纪业务负责人签字，并加盖期货公司或其授权部门公章。</w:t>
      </w:r>
    </w:p>
    <w:p>
      <w:pPr>
        <w:widowControl/>
        <w:numPr>
          <w:ilvl w:val="0"/>
          <w:numId w:val="55"/>
        </w:numPr>
        <w:spacing w:line="560" w:lineRule="exact"/>
        <w:ind w:left="0" w:firstLine="600" w:firstLineChars="200"/>
        <w:rPr>
          <w:rFonts w:eastAsia="方正仿宋简体"/>
          <w:kern w:val="0"/>
          <w:sz w:val="30"/>
          <w:szCs w:val="30"/>
        </w:rPr>
      </w:pPr>
      <w:r>
        <w:rPr>
          <w:rFonts w:eastAsia="方正仿宋简体"/>
          <w:kern w:val="0"/>
          <w:sz w:val="30"/>
          <w:szCs w:val="30"/>
        </w:rPr>
        <w:t>产品方案、资产规模、投资策略情况。</w:t>
      </w:r>
    </w:p>
    <w:p>
      <w:pPr>
        <w:widowControl/>
        <w:numPr>
          <w:ilvl w:val="0"/>
          <w:numId w:val="55"/>
        </w:numPr>
        <w:spacing w:line="560" w:lineRule="exact"/>
        <w:ind w:left="0" w:firstLine="600" w:firstLineChars="200"/>
        <w:rPr>
          <w:rFonts w:eastAsia="方正仿宋简体"/>
          <w:kern w:val="0"/>
          <w:sz w:val="30"/>
          <w:szCs w:val="30"/>
        </w:rPr>
      </w:pPr>
      <w:r>
        <w:rPr>
          <w:rFonts w:eastAsia="方正仿宋简体"/>
          <w:kern w:val="0"/>
          <w:sz w:val="30"/>
          <w:szCs w:val="30"/>
        </w:rPr>
        <w:t>本所要求的其他材料。</w:t>
      </w:r>
    </w:p>
    <w:p>
      <w:pPr>
        <w:widowControl/>
        <w:spacing w:line="560" w:lineRule="exact"/>
        <w:ind w:firstLine="600" w:firstLineChars="200"/>
        <w:rPr>
          <w:rFonts w:eastAsia="方正仿宋简体"/>
          <w:kern w:val="0"/>
          <w:sz w:val="30"/>
          <w:szCs w:val="30"/>
        </w:rPr>
      </w:pPr>
      <w:r>
        <w:rPr>
          <w:rFonts w:eastAsia="方正仿宋简体"/>
          <w:kern w:val="0"/>
          <w:sz w:val="30"/>
          <w:szCs w:val="30"/>
        </w:rPr>
        <w:t>书面申请材料均为PDF文件（不大于20MB），其中《持仓限额调整申请表》（附件8）在专区页面填报完成后，点击下载签字盖章后，扫描为PDF文件。以上材料均需通过期权业务专区上传。</w:t>
      </w:r>
    </w:p>
    <w:p>
      <w:pPr>
        <w:widowControl/>
        <w:spacing w:line="560" w:lineRule="exact"/>
        <w:ind w:firstLine="600" w:firstLineChars="200"/>
        <w:rPr>
          <w:rFonts w:eastAsia="方正仿宋简体"/>
          <w:kern w:val="0"/>
          <w:sz w:val="30"/>
          <w:szCs w:val="30"/>
        </w:rPr>
      </w:pPr>
      <w:r>
        <w:rPr>
          <w:rFonts w:eastAsia="方正仿宋简体"/>
          <w:kern w:val="0"/>
          <w:sz w:val="30"/>
          <w:szCs w:val="30"/>
        </w:rPr>
        <w:t>特定产品发行人提供的申请材料应当真实、准确、完整，期货公司应当对客户的申请材料进行核查，保证其真实、准确、完整，并持续对其额度的使用情况进行跟踪评估。</w:t>
      </w:r>
      <w:bookmarkStart w:id="137" w:name="_Toc437542882"/>
      <w:bookmarkStart w:id="138" w:name="_Toc408300999"/>
    </w:p>
    <w:p>
      <w:pPr>
        <w:widowControl/>
        <w:spacing w:line="560" w:lineRule="exact"/>
        <w:rPr>
          <w:rFonts w:eastAsia="方正仿宋简体"/>
          <w:kern w:val="0"/>
          <w:sz w:val="30"/>
          <w:szCs w:val="30"/>
        </w:rPr>
      </w:pPr>
      <w:r>
        <w:rPr>
          <w:rFonts w:eastAsia="方正仿宋简体"/>
          <w:kern w:val="0"/>
          <w:sz w:val="30"/>
          <w:szCs w:val="30"/>
        </w:rPr>
        <w:br w:type="page"/>
      </w:r>
    </w:p>
    <w:p>
      <w:pPr>
        <w:keepNext w:val="0"/>
        <w:keepLines w:val="0"/>
        <w:pageBreakBefore w:val="0"/>
        <w:widowControl w:val="0"/>
        <w:numPr>
          <w:ilvl w:val="0"/>
          <w:numId w:val="16"/>
        </w:numPr>
        <w:kinsoku/>
        <w:wordWrap/>
        <w:overflowPunct/>
        <w:topLinePunct w:val="0"/>
        <w:autoSpaceDE/>
        <w:autoSpaceDN/>
        <w:bidi w:val="0"/>
        <w:adjustRightInd/>
        <w:snapToGrid/>
        <w:spacing w:line="560" w:lineRule="exact"/>
        <w:ind w:left="0" w:firstLine="0" w:firstLineChars="0"/>
        <w:jc w:val="center"/>
        <w:textAlignment w:val="auto"/>
        <w:outlineLvl w:val="0"/>
        <w:rPr>
          <w:rFonts w:ascii="黑体" w:hAnsi="黑体" w:eastAsia="黑体"/>
          <w:bCs/>
          <w:sz w:val="30"/>
          <w:szCs w:val="30"/>
        </w:rPr>
      </w:pPr>
      <w:bookmarkStart w:id="139" w:name="_Toc25842001"/>
      <w:r>
        <w:rPr>
          <w:rFonts w:ascii="黑体" w:hAnsi="黑体" w:eastAsia="黑体"/>
          <w:bCs/>
          <w:sz w:val="30"/>
          <w:szCs w:val="30"/>
        </w:rPr>
        <w:t>保证金管理</w:t>
      </w:r>
      <w:bookmarkEnd w:id="137"/>
      <w:bookmarkEnd w:id="139"/>
    </w:p>
    <w:p>
      <w:pPr>
        <w:numPr>
          <w:ilvl w:val="0"/>
          <w:numId w:val="56"/>
        </w:numPr>
        <w:spacing w:line="560" w:lineRule="exact"/>
        <w:ind w:left="0" w:firstLine="601" w:firstLineChars="200"/>
        <w:outlineLvl w:val="1"/>
        <w:rPr>
          <w:rFonts w:eastAsia="方正仿宋简体"/>
          <w:b/>
          <w:bCs/>
          <w:kern w:val="0"/>
          <w:sz w:val="30"/>
          <w:szCs w:val="30"/>
          <w:lang w:val="zh-CN" w:eastAsia="zh-CN"/>
        </w:rPr>
      </w:pPr>
      <w:bookmarkStart w:id="140" w:name="_Toc25842002"/>
      <w:bookmarkStart w:id="141" w:name="_Toc437542883"/>
      <w:r>
        <w:rPr>
          <w:rFonts w:eastAsia="方正仿宋简体"/>
          <w:b/>
          <w:bCs/>
          <w:kern w:val="0"/>
          <w:sz w:val="30"/>
          <w:szCs w:val="30"/>
          <w:lang w:val="zh-CN" w:eastAsia="zh-CN"/>
        </w:rPr>
        <w:t>客户保证金管理</w:t>
      </w:r>
      <w:bookmarkEnd w:id="140"/>
      <w:bookmarkEnd w:id="141"/>
    </w:p>
    <w:p>
      <w:pPr>
        <w:keepNext/>
        <w:keepLines/>
        <w:numPr>
          <w:ilvl w:val="0"/>
          <w:numId w:val="57"/>
        </w:numPr>
        <w:spacing w:line="560" w:lineRule="exact"/>
        <w:ind w:left="0" w:firstLine="601" w:firstLineChars="200"/>
        <w:outlineLvl w:val="2"/>
        <w:rPr>
          <w:rFonts w:eastAsia="方正仿宋简体"/>
          <w:b/>
          <w:sz w:val="30"/>
          <w:szCs w:val="30"/>
        </w:rPr>
      </w:pPr>
      <w:r>
        <w:rPr>
          <w:rFonts w:eastAsia="方正仿宋简体"/>
          <w:b/>
          <w:sz w:val="30"/>
          <w:szCs w:val="30"/>
        </w:rPr>
        <w:t>保证金水平</w:t>
      </w:r>
    </w:p>
    <w:p>
      <w:pPr>
        <w:spacing w:line="560" w:lineRule="exact"/>
        <w:ind w:firstLine="600" w:firstLineChars="200"/>
        <w:rPr>
          <w:rFonts w:eastAsia="方正仿宋简体"/>
          <w:sz w:val="30"/>
          <w:szCs w:val="30"/>
        </w:rPr>
      </w:pPr>
      <w:r>
        <w:rPr>
          <w:rFonts w:eastAsia="方正仿宋简体"/>
          <w:sz w:val="30"/>
          <w:szCs w:val="30"/>
        </w:rPr>
        <w:t>客户保证金由期货公司向进行保证金开仓（使用保证金作为履约担保，卖出认购或者认沽期权）的客户收取，收取比例由期货公司规定，但要符合本所及中国结算的相关规定。客户存放在期货公司的保证金属于客户所有，用于客户缴存保证金并进行交易结算，严禁挪作他用。</w:t>
      </w:r>
    </w:p>
    <w:p>
      <w:pPr>
        <w:numPr>
          <w:ilvl w:val="0"/>
          <w:numId w:val="58"/>
        </w:numPr>
        <w:spacing w:line="560" w:lineRule="exact"/>
        <w:ind w:left="0" w:firstLine="601" w:firstLineChars="200"/>
        <w:outlineLvl w:val="3"/>
        <w:rPr>
          <w:rFonts w:eastAsia="方正仿宋简体"/>
          <w:b/>
          <w:sz w:val="30"/>
          <w:szCs w:val="30"/>
        </w:rPr>
      </w:pPr>
      <w:r>
        <w:rPr>
          <w:rFonts w:eastAsia="方正仿宋简体"/>
          <w:b/>
          <w:sz w:val="30"/>
          <w:szCs w:val="30"/>
        </w:rPr>
        <w:t>保证金计算方式</w:t>
      </w:r>
    </w:p>
    <w:p>
      <w:pPr>
        <w:spacing w:line="560" w:lineRule="exact"/>
        <w:ind w:firstLine="600" w:firstLineChars="200"/>
        <w:rPr>
          <w:rFonts w:eastAsia="方正仿宋简体"/>
          <w:sz w:val="30"/>
          <w:szCs w:val="30"/>
        </w:rPr>
      </w:pPr>
      <w:r>
        <w:rPr>
          <w:rFonts w:eastAsia="方正仿宋简体"/>
          <w:sz w:val="30"/>
          <w:szCs w:val="30"/>
        </w:rPr>
        <w:t>期货公司可按线性、非线性或其他可有效控制保证金水平的方式向单个客户收取保证金，可针对不同客户设定不同的保证金水平，但不低于本所和中国结算要求的水平（《风控办法》要求的所司保证金标准）。期货公司对于客户认沽期权卖出开仓时所收取的保证金最高不应超过行权价与合约单位的乘积。</w:t>
      </w:r>
    </w:p>
    <w:p>
      <w:pPr>
        <w:spacing w:line="560" w:lineRule="exact"/>
        <w:ind w:firstLine="600" w:firstLineChars="200"/>
        <w:rPr>
          <w:rFonts w:eastAsia="方正仿宋简体"/>
          <w:sz w:val="30"/>
          <w:szCs w:val="30"/>
        </w:rPr>
      </w:pPr>
      <w:r>
        <w:rPr>
          <w:rFonts w:eastAsia="方正仿宋简体"/>
          <w:sz w:val="30"/>
          <w:szCs w:val="30"/>
        </w:rPr>
        <w:t>期货公司应在投资者签署开户协议时，向客户明确可能导致保证金参数水平调整的情形。若期货公司调整保证金水平参数设置，应当通过邮件、短信、交易客户端等渠道做好通知提醒工作。</w:t>
      </w:r>
    </w:p>
    <w:p>
      <w:pPr>
        <w:numPr>
          <w:ilvl w:val="0"/>
          <w:numId w:val="59"/>
        </w:numPr>
        <w:spacing w:line="560" w:lineRule="exact"/>
        <w:ind w:left="0" w:firstLine="600" w:firstLineChars="200"/>
        <w:rPr>
          <w:rFonts w:eastAsia="方正仿宋简体"/>
          <w:sz w:val="30"/>
          <w:szCs w:val="30"/>
        </w:rPr>
      </w:pPr>
      <w:r>
        <w:rPr>
          <w:rFonts w:eastAsia="方正仿宋简体"/>
          <w:sz w:val="30"/>
          <w:szCs w:val="30"/>
        </w:rPr>
        <w:t>保证金线性收取方式</w:t>
      </w:r>
    </w:p>
    <w:p>
      <w:pPr>
        <w:spacing w:line="560" w:lineRule="exact"/>
        <w:ind w:firstLine="600" w:firstLineChars="200"/>
        <w:rPr>
          <w:rFonts w:eastAsia="方正仿宋简体"/>
          <w:sz w:val="30"/>
          <w:szCs w:val="30"/>
        </w:rPr>
      </w:pPr>
      <w:r>
        <w:rPr>
          <w:rFonts w:eastAsia="方正仿宋简体"/>
          <w:sz w:val="30"/>
          <w:szCs w:val="30"/>
        </w:rPr>
        <w:t>在所司保证金标准的基础上整体设置收取比例。假如期货公司设置了20%的上浮比例，那么每张ETF认购期权维持保证金={结算价+Max（12%×合约标的收盘价-认购期权虚值，7%×标的收盘价）}×合约单位×1.2。</w:t>
      </w:r>
    </w:p>
    <w:p>
      <w:pPr>
        <w:numPr>
          <w:ilvl w:val="0"/>
          <w:numId w:val="59"/>
        </w:numPr>
        <w:spacing w:line="560" w:lineRule="exact"/>
        <w:ind w:left="0" w:firstLine="600" w:firstLineChars="200"/>
        <w:rPr>
          <w:rFonts w:eastAsia="方正仿宋简体"/>
          <w:sz w:val="30"/>
          <w:szCs w:val="30"/>
        </w:rPr>
      </w:pPr>
      <w:r>
        <w:rPr>
          <w:rFonts w:eastAsia="方正仿宋简体"/>
          <w:sz w:val="30"/>
          <w:szCs w:val="30"/>
        </w:rPr>
        <w:t>保证金非线性收取方式</w:t>
      </w:r>
    </w:p>
    <w:p>
      <w:pPr>
        <w:spacing w:line="560" w:lineRule="exact"/>
        <w:ind w:firstLine="600" w:firstLineChars="200"/>
        <w:rPr>
          <w:rFonts w:eastAsia="方正仿宋简体"/>
          <w:sz w:val="30"/>
          <w:szCs w:val="30"/>
        </w:rPr>
      </w:pPr>
      <w:r>
        <w:rPr>
          <w:rFonts w:eastAsia="方正仿宋简体"/>
          <w:sz w:val="30"/>
          <w:szCs w:val="30"/>
        </w:rPr>
        <w:t>调整《风控办法》保证金收取公式里的个别或所有参数。假如期货公司将按合约标的收盘价的12%调整为15%，那么每张ETF认购期权维持保证金={结算价+Max（15%×合约标的收盘价-认购期权虚值，7%×标的收盘价）}×合约单位。</w:t>
      </w:r>
    </w:p>
    <w:p>
      <w:pPr>
        <w:numPr>
          <w:ilvl w:val="0"/>
          <w:numId w:val="58"/>
        </w:numPr>
        <w:spacing w:line="560" w:lineRule="exact"/>
        <w:ind w:left="0" w:firstLine="601" w:firstLineChars="200"/>
        <w:outlineLvl w:val="3"/>
        <w:rPr>
          <w:rFonts w:eastAsia="方正仿宋简体"/>
          <w:b/>
          <w:sz w:val="30"/>
          <w:szCs w:val="30"/>
        </w:rPr>
      </w:pPr>
      <w:r>
        <w:rPr>
          <w:rFonts w:eastAsia="方正仿宋简体"/>
          <w:b/>
          <w:sz w:val="30"/>
          <w:szCs w:val="30"/>
        </w:rPr>
        <w:t>保证金参数调整</w:t>
      </w:r>
    </w:p>
    <w:p>
      <w:pPr>
        <w:spacing w:line="560" w:lineRule="exact"/>
        <w:ind w:firstLine="600" w:firstLineChars="200"/>
        <w:rPr>
          <w:rFonts w:eastAsia="方正仿宋简体"/>
          <w:sz w:val="30"/>
          <w:szCs w:val="30"/>
        </w:rPr>
      </w:pPr>
      <w:r>
        <w:rPr>
          <w:rFonts w:eastAsia="方正仿宋简体"/>
          <w:sz w:val="30"/>
          <w:szCs w:val="30"/>
        </w:rPr>
        <w:t>期货公司按线性、非线性或其他可有效控制确定保证金水平时，在参数设置或调整时需要重点考虑以下几点因素：</w:t>
      </w:r>
    </w:p>
    <w:p>
      <w:pPr>
        <w:numPr>
          <w:ilvl w:val="0"/>
          <w:numId w:val="60"/>
        </w:numPr>
        <w:spacing w:line="560" w:lineRule="exact"/>
        <w:ind w:left="0" w:firstLine="600" w:firstLineChars="200"/>
        <w:rPr>
          <w:rFonts w:eastAsia="方正仿宋简体"/>
          <w:sz w:val="30"/>
          <w:szCs w:val="30"/>
        </w:rPr>
      </w:pPr>
      <w:r>
        <w:rPr>
          <w:rFonts w:eastAsia="方正仿宋简体"/>
          <w:sz w:val="30"/>
          <w:szCs w:val="30"/>
        </w:rPr>
        <w:t>可结合义务仓合约虚值或实值程度设置不同参数，使得深度虚值、轻度虚值、轻度实值和深度实值等不同状态的合约所收保证金的参数配置不一致；</w:t>
      </w:r>
    </w:p>
    <w:p>
      <w:pPr>
        <w:numPr>
          <w:ilvl w:val="0"/>
          <w:numId w:val="60"/>
        </w:numPr>
        <w:spacing w:line="560" w:lineRule="exact"/>
        <w:ind w:left="0" w:firstLine="600" w:firstLineChars="200"/>
        <w:rPr>
          <w:rFonts w:eastAsia="方正仿宋简体"/>
          <w:sz w:val="30"/>
          <w:szCs w:val="30"/>
        </w:rPr>
      </w:pPr>
      <w:r>
        <w:rPr>
          <w:rFonts w:eastAsia="方正仿宋简体"/>
          <w:sz w:val="30"/>
          <w:szCs w:val="30"/>
        </w:rPr>
        <w:t>临近行权日的参数调整；</w:t>
      </w:r>
    </w:p>
    <w:p>
      <w:pPr>
        <w:numPr>
          <w:ilvl w:val="0"/>
          <w:numId w:val="60"/>
        </w:numPr>
        <w:spacing w:line="560" w:lineRule="exact"/>
        <w:ind w:left="0" w:firstLine="600" w:firstLineChars="200"/>
        <w:rPr>
          <w:rFonts w:eastAsia="方正仿宋简体"/>
          <w:sz w:val="30"/>
          <w:szCs w:val="30"/>
        </w:rPr>
      </w:pPr>
      <w:r>
        <w:rPr>
          <w:rFonts w:eastAsia="方正仿宋简体"/>
          <w:sz w:val="30"/>
          <w:szCs w:val="30"/>
        </w:rPr>
        <w:t>临近较长节假日的参数调整；</w:t>
      </w:r>
    </w:p>
    <w:p>
      <w:pPr>
        <w:numPr>
          <w:ilvl w:val="0"/>
          <w:numId w:val="60"/>
        </w:numPr>
        <w:spacing w:line="560" w:lineRule="exact"/>
        <w:ind w:left="0" w:firstLine="600" w:firstLineChars="200"/>
        <w:rPr>
          <w:rFonts w:eastAsia="方正仿宋简体"/>
          <w:sz w:val="30"/>
          <w:szCs w:val="30"/>
        </w:rPr>
      </w:pPr>
      <w:r>
        <w:rPr>
          <w:rFonts w:eastAsia="方正仿宋简体"/>
          <w:sz w:val="30"/>
          <w:szCs w:val="30"/>
        </w:rPr>
        <w:t>市场出现异常情况时的参数调整;</w:t>
      </w:r>
    </w:p>
    <w:p>
      <w:pPr>
        <w:numPr>
          <w:ilvl w:val="0"/>
          <w:numId w:val="60"/>
        </w:numPr>
        <w:spacing w:line="560" w:lineRule="exact"/>
        <w:ind w:left="0" w:firstLine="600" w:firstLineChars="200"/>
        <w:rPr>
          <w:rFonts w:eastAsia="方正仿宋简体"/>
          <w:sz w:val="30"/>
          <w:szCs w:val="30"/>
        </w:rPr>
      </w:pPr>
      <w:r>
        <w:rPr>
          <w:rFonts w:eastAsia="方正仿宋简体"/>
          <w:sz w:val="30"/>
          <w:szCs w:val="30"/>
        </w:rPr>
        <w:t>针对不同客户设定差异化参数；</w:t>
      </w:r>
    </w:p>
    <w:p>
      <w:pPr>
        <w:numPr>
          <w:ilvl w:val="0"/>
          <w:numId w:val="60"/>
        </w:numPr>
        <w:spacing w:line="560" w:lineRule="exact"/>
        <w:ind w:left="0" w:firstLine="600" w:firstLineChars="200"/>
        <w:rPr>
          <w:rFonts w:eastAsia="方正仿宋简体"/>
          <w:sz w:val="30"/>
          <w:szCs w:val="30"/>
        </w:rPr>
      </w:pPr>
      <w:r>
        <w:rPr>
          <w:rFonts w:eastAsia="方正仿宋简体"/>
          <w:sz w:val="30"/>
          <w:szCs w:val="30"/>
        </w:rPr>
        <w:t>根据风险压力测试或相关风险评估结果及时进行调整等。</w:t>
      </w:r>
    </w:p>
    <w:p>
      <w:pPr>
        <w:numPr>
          <w:ilvl w:val="0"/>
          <w:numId w:val="58"/>
        </w:numPr>
        <w:spacing w:line="560" w:lineRule="exact"/>
        <w:ind w:left="0" w:firstLine="601" w:firstLineChars="200"/>
        <w:outlineLvl w:val="3"/>
        <w:rPr>
          <w:rFonts w:eastAsia="方正仿宋简体"/>
          <w:b/>
          <w:sz w:val="30"/>
          <w:szCs w:val="30"/>
        </w:rPr>
      </w:pPr>
      <w:r>
        <w:rPr>
          <w:rFonts w:eastAsia="方正仿宋简体"/>
          <w:b/>
          <w:sz w:val="30"/>
          <w:szCs w:val="30"/>
        </w:rPr>
        <w:t>期权虚实值程度</w:t>
      </w:r>
    </w:p>
    <w:p>
      <w:pPr>
        <w:spacing w:line="560" w:lineRule="exact"/>
        <w:ind w:firstLine="600" w:firstLineChars="200"/>
        <w:rPr>
          <w:rFonts w:eastAsia="方正仿宋简体"/>
          <w:sz w:val="30"/>
          <w:szCs w:val="30"/>
        </w:rPr>
      </w:pPr>
      <w:r>
        <w:rPr>
          <w:rFonts w:eastAsia="方正仿宋简体"/>
          <w:sz w:val="30"/>
          <w:szCs w:val="30"/>
        </w:rPr>
        <w:t>以下列出两种量度期权虚实值程度的方法供期货公司参考：</w:t>
      </w:r>
    </w:p>
    <w:p>
      <w:pPr>
        <w:numPr>
          <w:ilvl w:val="0"/>
          <w:numId w:val="61"/>
        </w:numPr>
        <w:spacing w:line="560" w:lineRule="exact"/>
        <w:ind w:left="0" w:firstLine="600" w:firstLineChars="200"/>
        <w:rPr>
          <w:rFonts w:eastAsia="方正仿宋简体"/>
          <w:sz w:val="30"/>
          <w:szCs w:val="30"/>
        </w:rPr>
      </w:pPr>
      <w:r>
        <w:rPr>
          <w:rFonts w:eastAsia="方正仿宋简体"/>
          <w:sz w:val="30"/>
          <w:szCs w:val="30"/>
        </w:rPr>
        <w:t>虚值程度</w:t>
      </w:r>
    </w:p>
    <w:p>
      <w:pPr>
        <w:spacing w:line="560" w:lineRule="exact"/>
        <w:ind w:firstLine="600" w:firstLineChars="200"/>
        <w:rPr>
          <w:rFonts w:eastAsia="方正仿宋简体"/>
          <w:sz w:val="30"/>
          <w:szCs w:val="30"/>
        </w:rPr>
      </w:pPr>
      <w:r>
        <w:rPr>
          <w:rFonts w:eastAsia="方正仿宋简体"/>
          <w:sz w:val="30"/>
          <w:szCs w:val="30"/>
        </w:rPr>
        <w:t>认购期权虚值程度=（认购期权合约行权价-标的证券收盘价）/标的证券收盘价</w:t>
      </w:r>
    </w:p>
    <w:p>
      <w:pPr>
        <w:spacing w:line="560" w:lineRule="exact"/>
        <w:ind w:firstLine="600" w:firstLineChars="200"/>
        <w:rPr>
          <w:rFonts w:eastAsia="方正仿宋简体"/>
          <w:sz w:val="30"/>
          <w:szCs w:val="30"/>
        </w:rPr>
      </w:pPr>
      <w:r>
        <w:rPr>
          <w:rFonts w:eastAsia="方正仿宋简体"/>
          <w:sz w:val="30"/>
          <w:szCs w:val="30"/>
        </w:rPr>
        <w:t>认沽期权虚值程度=（标的证券收盘价-认沽期权合约行权价）/标的证券收盘价</w:t>
      </w:r>
    </w:p>
    <w:p>
      <w:pPr>
        <w:spacing w:line="560" w:lineRule="exact"/>
        <w:ind w:firstLine="600" w:firstLineChars="200"/>
        <w:rPr>
          <w:rFonts w:eastAsia="方正仿宋简体"/>
          <w:sz w:val="30"/>
          <w:szCs w:val="30"/>
        </w:rPr>
      </w:pPr>
      <w:r>
        <w:rPr>
          <w:rFonts w:eastAsia="方正仿宋简体"/>
          <w:sz w:val="30"/>
          <w:szCs w:val="30"/>
        </w:rPr>
        <w:t>盘中监控取标的证券前收盘价，盘后监控取标的证券当日收盘价。上述计算结果为负值时，该期权为实值期权，实值程度为该计算结果的绝对值。</w:t>
      </w:r>
    </w:p>
    <w:p>
      <w:pPr>
        <w:spacing w:line="560" w:lineRule="exact"/>
        <w:ind w:firstLine="600" w:firstLineChars="200"/>
        <w:rPr>
          <w:rFonts w:eastAsia="方正仿宋简体"/>
          <w:sz w:val="30"/>
          <w:szCs w:val="30"/>
        </w:rPr>
      </w:pPr>
      <w:r>
        <w:rPr>
          <w:rFonts w:eastAsia="方正仿宋简体"/>
          <w:sz w:val="30"/>
          <w:szCs w:val="30"/>
        </w:rPr>
        <w:t>虚值程度和实值程度的参数配置可以由期货公司自行定义。如对ETF期权，轻度虚值可设置为：认购或认沽期权虚值程度4%-8%，深度虚值可设置为：认购或认沽期权虚值程度&gt;=8%。</w:t>
      </w:r>
    </w:p>
    <w:p>
      <w:pPr>
        <w:numPr>
          <w:ilvl w:val="0"/>
          <w:numId w:val="61"/>
        </w:numPr>
        <w:spacing w:line="560" w:lineRule="exact"/>
        <w:ind w:left="0" w:firstLine="600" w:firstLineChars="200"/>
        <w:rPr>
          <w:rFonts w:eastAsia="方正仿宋简体"/>
          <w:sz w:val="30"/>
          <w:szCs w:val="30"/>
        </w:rPr>
      </w:pPr>
      <w:r>
        <w:rPr>
          <w:rFonts w:eastAsia="方正仿宋简体"/>
          <w:sz w:val="30"/>
          <w:szCs w:val="30"/>
        </w:rPr>
        <w:t>Delta值</w:t>
      </w:r>
    </w:p>
    <w:p>
      <w:pPr>
        <w:spacing w:line="560" w:lineRule="exact"/>
        <w:ind w:firstLine="600" w:firstLineChars="200"/>
        <w:rPr>
          <w:rFonts w:eastAsia="方正仿宋简体"/>
          <w:sz w:val="30"/>
          <w:szCs w:val="30"/>
        </w:rPr>
      </w:pPr>
      <w:r>
        <w:rPr>
          <w:rFonts w:eastAsia="方正仿宋简体"/>
          <w:sz w:val="30"/>
          <w:szCs w:val="30"/>
        </w:rPr>
        <w:t>期货公司可自行计算期权合约的Delta值，并设置期权合约虚实值程度的界限。</w:t>
      </w:r>
    </w:p>
    <w:p>
      <w:pPr>
        <w:ind w:firstLine="560" w:firstLineChars="200"/>
        <w:jc w:val="center"/>
        <w:rPr>
          <w:rFonts w:eastAsia="方正仿宋简体"/>
          <w:sz w:val="28"/>
          <w:szCs w:val="28"/>
        </w:rPr>
      </w:pPr>
      <w:r>
        <w:rPr>
          <w:rFonts w:eastAsia="方正仿宋简体"/>
          <w:sz w:val="28"/>
          <w:szCs w:val="28"/>
        </w:rPr>
        <w:t>表3 期权虚实值程度参考表</w:t>
      </w:r>
    </w:p>
    <w:tbl>
      <w:tblPr>
        <w:tblStyle w:val="3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23"/>
        <w:gridCol w:w="3265"/>
        <w:gridCol w:w="35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5" w:type="pct"/>
          </w:tcPr>
          <w:p>
            <w:pPr>
              <w:rPr>
                <w:rFonts w:eastAsia="方正仿宋简体"/>
                <w:sz w:val="28"/>
                <w:szCs w:val="28"/>
              </w:rPr>
            </w:pPr>
          </w:p>
        </w:tc>
        <w:tc>
          <w:tcPr>
            <w:tcW w:w="1848" w:type="pct"/>
          </w:tcPr>
          <w:p>
            <w:pPr>
              <w:jc w:val="center"/>
              <w:rPr>
                <w:rFonts w:eastAsia="方正仿宋简体"/>
                <w:sz w:val="28"/>
                <w:szCs w:val="28"/>
              </w:rPr>
            </w:pPr>
            <w:r>
              <w:rPr>
                <w:rFonts w:eastAsia="方正仿宋简体"/>
                <w:sz w:val="28"/>
                <w:szCs w:val="28"/>
              </w:rPr>
              <w:t>认购期权Delta</w:t>
            </w:r>
          </w:p>
        </w:tc>
        <w:tc>
          <w:tcPr>
            <w:tcW w:w="2007" w:type="pct"/>
          </w:tcPr>
          <w:p>
            <w:pPr>
              <w:jc w:val="center"/>
              <w:rPr>
                <w:rFonts w:eastAsia="方正仿宋简体"/>
                <w:sz w:val="28"/>
                <w:szCs w:val="28"/>
              </w:rPr>
            </w:pPr>
            <w:r>
              <w:rPr>
                <w:rFonts w:eastAsia="方正仿宋简体"/>
                <w:sz w:val="28"/>
                <w:szCs w:val="28"/>
              </w:rPr>
              <w:t>认沽期权Delta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5" w:type="pct"/>
          </w:tcPr>
          <w:p>
            <w:pPr>
              <w:rPr>
                <w:rFonts w:eastAsia="方正仿宋简体"/>
                <w:sz w:val="28"/>
                <w:szCs w:val="28"/>
              </w:rPr>
            </w:pPr>
            <w:r>
              <w:rPr>
                <w:rFonts w:eastAsia="方正仿宋简体"/>
                <w:sz w:val="28"/>
                <w:szCs w:val="28"/>
              </w:rPr>
              <w:t>深度虚值</w:t>
            </w:r>
          </w:p>
        </w:tc>
        <w:tc>
          <w:tcPr>
            <w:tcW w:w="1848" w:type="pct"/>
          </w:tcPr>
          <w:p>
            <w:pPr>
              <w:jc w:val="center"/>
              <w:rPr>
                <w:rFonts w:eastAsia="方正仿宋简体"/>
                <w:sz w:val="28"/>
                <w:szCs w:val="28"/>
              </w:rPr>
            </w:pPr>
            <w:r>
              <w:rPr>
                <w:rFonts w:eastAsia="方正仿宋简体"/>
                <w:sz w:val="28"/>
                <w:szCs w:val="28"/>
              </w:rPr>
              <w:t>0&lt;Delta&lt;=0.2</w:t>
            </w:r>
          </w:p>
        </w:tc>
        <w:tc>
          <w:tcPr>
            <w:tcW w:w="2007" w:type="pct"/>
          </w:tcPr>
          <w:p>
            <w:pPr>
              <w:jc w:val="center"/>
              <w:rPr>
                <w:rFonts w:eastAsia="方正仿宋简体"/>
                <w:sz w:val="28"/>
                <w:szCs w:val="28"/>
              </w:rPr>
            </w:pPr>
            <w:r>
              <w:rPr>
                <w:rFonts w:eastAsia="方正仿宋简体"/>
                <w:sz w:val="28"/>
                <w:szCs w:val="28"/>
              </w:rPr>
              <w:t>-0.2&lt;=Delta&lt;0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5" w:type="pct"/>
          </w:tcPr>
          <w:p>
            <w:pPr>
              <w:rPr>
                <w:rFonts w:eastAsia="方正仿宋简体"/>
                <w:sz w:val="28"/>
                <w:szCs w:val="28"/>
              </w:rPr>
            </w:pPr>
            <w:r>
              <w:rPr>
                <w:rFonts w:eastAsia="方正仿宋简体"/>
                <w:sz w:val="28"/>
                <w:szCs w:val="28"/>
              </w:rPr>
              <w:t>轻度虚值</w:t>
            </w:r>
          </w:p>
        </w:tc>
        <w:tc>
          <w:tcPr>
            <w:tcW w:w="1848" w:type="pct"/>
          </w:tcPr>
          <w:p>
            <w:pPr>
              <w:jc w:val="center"/>
              <w:rPr>
                <w:rFonts w:eastAsia="方正仿宋简体"/>
                <w:sz w:val="28"/>
                <w:szCs w:val="28"/>
              </w:rPr>
            </w:pPr>
            <w:r>
              <w:rPr>
                <w:rFonts w:eastAsia="方正仿宋简体"/>
                <w:sz w:val="28"/>
                <w:szCs w:val="28"/>
              </w:rPr>
              <w:t>0.4&lt;=Delta&lt;=0.5</w:t>
            </w:r>
          </w:p>
        </w:tc>
        <w:tc>
          <w:tcPr>
            <w:tcW w:w="2007" w:type="pct"/>
          </w:tcPr>
          <w:p>
            <w:pPr>
              <w:jc w:val="center"/>
              <w:rPr>
                <w:rFonts w:eastAsia="方正仿宋简体"/>
                <w:sz w:val="28"/>
                <w:szCs w:val="28"/>
              </w:rPr>
            </w:pPr>
            <w:r>
              <w:rPr>
                <w:rFonts w:eastAsia="方正仿宋简体"/>
                <w:sz w:val="28"/>
                <w:szCs w:val="28"/>
              </w:rPr>
              <w:t>-0.5&lt;=Delta&lt;=-0.4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5" w:type="pct"/>
          </w:tcPr>
          <w:p>
            <w:pPr>
              <w:rPr>
                <w:rFonts w:eastAsia="方正仿宋简体"/>
                <w:sz w:val="28"/>
                <w:szCs w:val="28"/>
              </w:rPr>
            </w:pPr>
            <w:r>
              <w:rPr>
                <w:rFonts w:eastAsia="方正仿宋简体"/>
                <w:sz w:val="28"/>
                <w:szCs w:val="28"/>
              </w:rPr>
              <w:t>轻度实值</w:t>
            </w:r>
          </w:p>
        </w:tc>
        <w:tc>
          <w:tcPr>
            <w:tcW w:w="1848" w:type="pct"/>
          </w:tcPr>
          <w:p>
            <w:pPr>
              <w:jc w:val="center"/>
              <w:rPr>
                <w:rFonts w:eastAsia="方正仿宋简体"/>
                <w:sz w:val="28"/>
                <w:szCs w:val="28"/>
              </w:rPr>
            </w:pPr>
            <w:r>
              <w:rPr>
                <w:rFonts w:eastAsia="方正仿宋简体"/>
                <w:sz w:val="28"/>
                <w:szCs w:val="28"/>
              </w:rPr>
              <w:t>0.5&lt;Delta&lt;0.6</w:t>
            </w:r>
          </w:p>
        </w:tc>
        <w:tc>
          <w:tcPr>
            <w:tcW w:w="2007" w:type="pct"/>
          </w:tcPr>
          <w:p>
            <w:pPr>
              <w:jc w:val="center"/>
              <w:rPr>
                <w:rFonts w:eastAsia="方正仿宋简体"/>
                <w:sz w:val="28"/>
                <w:szCs w:val="28"/>
              </w:rPr>
            </w:pPr>
            <w:r>
              <w:rPr>
                <w:rFonts w:eastAsia="方正仿宋简体"/>
                <w:sz w:val="28"/>
                <w:szCs w:val="28"/>
              </w:rPr>
              <w:t>-0.6&lt;Delta&lt;-0.5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5" w:type="pct"/>
          </w:tcPr>
          <w:p>
            <w:pPr>
              <w:rPr>
                <w:rFonts w:eastAsia="方正仿宋简体"/>
                <w:sz w:val="28"/>
                <w:szCs w:val="28"/>
              </w:rPr>
            </w:pPr>
            <w:r>
              <w:rPr>
                <w:rFonts w:eastAsia="方正仿宋简体"/>
                <w:sz w:val="28"/>
                <w:szCs w:val="28"/>
              </w:rPr>
              <w:t>深度实值</w:t>
            </w:r>
          </w:p>
        </w:tc>
        <w:tc>
          <w:tcPr>
            <w:tcW w:w="1848" w:type="pct"/>
          </w:tcPr>
          <w:p>
            <w:pPr>
              <w:jc w:val="center"/>
              <w:rPr>
                <w:rFonts w:eastAsia="方正仿宋简体"/>
                <w:sz w:val="28"/>
                <w:szCs w:val="28"/>
              </w:rPr>
            </w:pPr>
            <w:r>
              <w:rPr>
                <w:rFonts w:eastAsia="方正仿宋简体"/>
                <w:sz w:val="28"/>
                <w:szCs w:val="28"/>
              </w:rPr>
              <w:t>Delta&gt;=0.8</w:t>
            </w:r>
          </w:p>
        </w:tc>
        <w:tc>
          <w:tcPr>
            <w:tcW w:w="2007" w:type="pct"/>
          </w:tcPr>
          <w:p>
            <w:pPr>
              <w:jc w:val="center"/>
              <w:rPr>
                <w:rFonts w:eastAsia="方正仿宋简体"/>
                <w:sz w:val="28"/>
                <w:szCs w:val="28"/>
              </w:rPr>
            </w:pPr>
            <w:r>
              <w:rPr>
                <w:rFonts w:eastAsia="方正仿宋简体"/>
                <w:sz w:val="28"/>
                <w:szCs w:val="28"/>
              </w:rPr>
              <w:t>Delta&lt;=-0.8</w:t>
            </w:r>
          </w:p>
        </w:tc>
      </w:tr>
    </w:tbl>
    <w:p>
      <w:pPr>
        <w:spacing w:line="560" w:lineRule="exact"/>
        <w:ind w:firstLine="600" w:firstLineChars="200"/>
        <w:rPr>
          <w:rFonts w:eastAsia="方正仿宋简体"/>
          <w:sz w:val="30"/>
          <w:szCs w:val="30"/>
        </w:rPr>
      </w:pPr>
      <w:r>
        <w:rPr>
          <w:rFonts w:eastAsia="方正仿宋简体"/>
          <w:sz w:val="30"/>
          <w:szCs w:val="30"/>
        </w:rPr>
        <w:t>虚值程度和实值程度的参数配置可以由期货公司自行定义。如对于认购期权，深度实值可设置为：Delta&gt;=0.8，深度虚值可设置为：Delta&lt;=0.2。</w:t>
      </w:r>
    </w:p>
    <w:p>
      <w:pPr>
        <w:keepNext/>
        <w:keepLines/>
        <w:numPr>
          <w:ilvl w:val="0"/>
          <w:numId w:val="57"/>
        </w:numPr>
        <w:spacing w:line="560" w:lineRule="exact"/>
        <w:ind w:left="0" w:firstLine="601" w:firstLineChars="200"/>
        <w:outlineLvl w:val="2"/>
        <w:rPr>
          <w:rFonts w:eastAsia="方正仿宋简体"/>
          <w:b/>
          <w:sz w:val="30"/>
          <w:szCs w:val="30"/>
        </w:rPr>
      </w:pPr>
      <w:r>
        <w:rPr>
          <w:rFonts w:eastAsia="方正仿宋简体"/>
          <w:b/>
          <w:sz w:val="30"/>
          <w:szCs w:val="30"/>
        </w:rPr>
        <w:t>保证金收取</w:t>
      </w:r>
    </w:p>
    <w:p>
      <w:pPr>
        <w:numPr>
          <w:ilvl w:val="0"/>
          <w:numId w:val="62"/>
        </w:numPr>
        <w:spacing w:line="560" w:lineRule="exact"/>
        <w:ind w:left="0" w:firstLine="601" w:firstLineChars="200"/>
        <w:outlineLvl w:val="3"/>
        <w:rPr>
          <w:rFonts w:eastAsia="方正仿宋简体"/>
          <w:b/>
          <w:bCs/>
          <w:kern w:val="0"/>
          <w:sz w:val="30"/>
          <w:szCs w:val="30"/>
          <w:lang w:val="zh-CN" w:eastAsia="zh-CN"/>
        </w:rPr>
      </w:pPr>
      <w:r>
        <w:rPr>
          <w:rFonts w:eastAsia="方正仿宋简体"/>
          <w:b/>
          <w:bCs/>
          <w:kern w:val="0"/>
          <w:sz w:val="30"/>
          <w:szCs w:val="30"/>
          <w:lang w:val="zh-CN" w:eastAsia="zh-CN"/>
        </w:rPr>
        <w:t>盘中开仓保证金计算</w:t>
      </w:r>
    </w:p>
    <w:p>
      <w:pPr>
        <w:spacing w:line="560" w:lineRule="exact"/>
        <w:ind w:firstLine="600" w:firstLineChars="200"/>
        <w:rPr>
          <w:rFonts w:eastAsia="方正仿宋简体"/>
          <w:sz w:val="30"/>
          <w:szCs w:val="30"/>
        </w:rPr>
      </w:pPr>
      <w:r>
        <w:rPr>
          <w:rFonts w:eastAsia="方正仿宋简体"/>
          <w:sz w:val="30"/>
          <w:szCs w:val="30"/>
        </w:rPr>
        <w:t>对同一期权合约，投资者可在交易时段（9:15-15:00）双向持仓（可同时持有权利仓与义务仓），本所对卖出认购或者认沽期权时按开仓保证金水平计减结算参与人保证金可用余额，期货公司对客户卖出认购或者认沽期权时按公司开仓保证金水平扣减客户保证金可用余额，不能因日终时可与权利仓对冲而免收或少收。</w:t>
      </w:r>
    </w:p>
    <w:p>
      <w:pPr>
        <w:numPr>
          <w:ilvl w:val="0"/>
          <w:numId w:val="62"/>
        </w:numPr>
        <w:spacing w:line="560" w:lineRule="exact"/>
        <w:ind w:left="0" w:firstLine="601" w:firstLineChars="200"/>
        <w:outlineLvl w:val="3"/>
        <w:rPr>
          <w:rFonts w:eastAsia="方正仿宋简体"/>
          <w:b/>
          <w:bCs/>
          <w:kern w:val="0"/>
          <w:sz w:val="30"/>
          <w:szCs w:val="30"/>
          <w:lang w:val="zh-CN" w:eastAsia="zh-CN"/>
        </w:rPr>
      </w:pPr>
      <w:r>
        <w:rPr>
          <w:rFonts w:eastAsia="方正仿宋简体"/>
          <w:b/>
          <w:bCs/>
          <w:kern w:val="0"/>
          <w:sz w:val="30"/>
          <w:szCs w:val="30"/>
          <w:lang w:val="zh-CN" w:eastAsia="zh-CN"/>
        </w:rPr>
        <w:t>盘后维持保证金收取</w:t>
      </w:r>
    </w:p>
    <w:p>
      <w:pPr>
        <w:spacing w:line="560" w:lineRule="exact"/>
        <w:ind w:firstLine="600" w:firstLineChars="200"/>
        <w:rPr>
          <w:rFonts w:eastAsia="方正仿宋简体"/>
          <w:sz w:val="30"/>
          <w:szCs w:val="30"/>
        </w:rPr>
      </w:pPr>
      <w:r>
        <w:rPr>
          <w:rFonts w:eastAsia="方正仿宋简体"/>
          <w:sz w:val="30"/>
          <w:szCs w:val="30"/>
        </w:rPr>
        <w:t>日终时由本所和中国结算对同一账户同一合约双向持仓数量自动进行对冲（取净头寸，优先对冲非备兑义务仓），调整为单向持仓。中国结算按对冲后的单向持仓进行结算参与人维持保证金计收，期货公司按对冲后的单向持仓进行客户维持保证金计收。</w:t>
      </w:r>
    </w:p>
    <w:p>
      <w:pPr>
        <w:numPr>
          <w:ilvl w:val="0"/>
          <w:numId w:val="62"/>
        </w:numPr>
        <w:spacing w:line="560" w:lineRule="exact"/>
        <w:ind w:left="0" w:firstLine="601" w:firstLineChars="200"/>
        <w:outlineLvl w:val="3"/>
        <w:rPr>
          <w:rFonts w:eastAsia="方正仿宋简体"/>
          <w:b/>
          <w:bCs/>
          <w:kern w:val="0"/>
          <w:sz w:val="30"/>
          <w:szCs w:val="30"/>
          <w:lang w:val="zh-CN" w:eastAsia="zh-CN"/>
        </w:rPr>
      </w:pPr>
      <w:r>
        <w:rPr>
          <w:rFonts w:eastAsia="方正仿宋简体"/>
          <w:b/>
          <w:bCs/>
          <w:kern w:val="0"/>
          <w:sz w:val="30"/>
          <w:szCs w:val="30"/>
          <w:lang w:val="zh-CN" w:eastAsia="zh-CN"/>
        </w:rPr>
        <w:t>到期被指派合约保证金收取</w:t>
      </w:r>
    </w:p>
    <w:p>
      <w:pPr>
        <w:spacing w:line="560" w:lineRule="exact"/>
        <w:ind w:firstLine="600" w:firstLineChars="200"/>
        <w:rPr>
          <w:rFonts w:eastAsia="方正仿宋简体"/>
          <w:sz w:val="30"/>
          <w:szCs w:val="30"/>
        </w:rPr>
      </w:pPr>
      <w:r>
        <w:rPr>
          <w:rFonts w:eastAsia="方正仿宋简体"/>
          <w:sz w:val="30"/>
          <w:szCs w:val="30"/>
        </w:rPr>
        <w:t>结算参与人层面，行权日日终，中国结算对于期权合约被指派的义务方按当日结算价格重新计收维持保证金，未被指派的到期合约不再收取维持保证金。</w:t>
      </w:r>
    </w:p>
    <w:p>
      <w:pPr>
        <w:spacing w:line="560" w:lineRule="exact"/>
        <w:ind w:firstLine="600" w:firstLineChars="200"/>
        <w:rPr>
          <w:rFonts w:eastAsia="方正仿宋简体"/>
          <w:sz w:val="30"/>
          <w:szCs w:val="30"/>
        </w:rPr>
      </w:pPr>
      <w:r>
        <w:rPr>
          <w:rFonts w:eastAsia="方正仿宋简体"/>
          <w:sz w:val="30"/>
          <w:szCs w:val="30"/>
        </w:rPr>
        <w:t>期货公司客户层面，行权日日终，对单个客户，如客户是净应收券或应收资金，期货公司不冻结资金；如客户是净应付券，期货公司可以根据与客户在期权经纪合同中的约定，冻结相应合约标的，不足部分可以采取冻结股票期权保证金账户部分资金方式（如合约标的收盘价×10%或能覆盖假设客户违约时现金结算的资金）；如客户是应付资金，期货公司可以根据与客户在期权经纪合同中的约定，冻结相应资金。</w:t>
      </w:r>
    </w:p>
    <w:p>
      <w:pPr>
        <w:numPr>
          <w:ilvl w:val="0"/>
          <w:numId w:val="62"/>
        </w:numPr>
        <w:spacing w:line="560" w:lineRule="exact"/>
        <w:ind w:left="0" w:firstLine="601" w:firstLineChars="200"/>
        <w:outlineLvl w:val="3"/>
        <w:rPr>
          <w:rFonts w:eastAsia="方正仿宋简体"/>
          <w:b/>
          <w:bCs/>
          <w:kern w:val="0"/>
          <w:sz w:val="30"/>
          <w:szCs w:val="30"/>
          <w:lang w:val="zh-CN" w:eastAsia="zh-CN"/>
        </w:rPr>
      </w:pPr>
      <w:r>
        <w:rPr>
          <w:rFonts w:eastAsia="方正仿宋简体"/>
          <w:b/>
          <w:kern w:val="0"/>
          <w:sz w:val="30"/>
          <w:szCs w:val="30"/>
          <w:lang w:val="zh-CN" w:eastAsia="zh-CN"/>
        </w:rPr>
        <w:t>除权除息日保证金收取</w:t>
      </w:r>
    </w:p>
    <w:p>
      <w:pPr>
        <w:spacing w:line="560" w:lineRule="exact"/>
        <w:ind w:firstLine="600" w:firstLineChars="200"/>
        <w:rPr>
          <w:rFonts w:eastAsia="方正仿宋简体"/>
          <w:sz w:val="30"/>
          <w:szCs w:val="30"/>
        </w:rPr>
      </w:pPr>
      <w:r>
        <w:rPr>
          <w:rFonts w:eastAsia="方正仿宋简体"/>
          <w:sz w:val="30"/>
          <w:szCs w:val="30"/>
        </w:rPr>
        <w:t>除权除息日，本所依据经合约调整后的上一交易日结算价与合约单位计增或计减期货公司的可用保证金额度。而上一交易日日终，中国结算向结算会员按合约调整前结算价、合约单位收取维持保证金。因此，对原有义务仓持仓平仓，释放的保证金金额会与上一交易日日终计算的维持保证金不一致，存在一些误差（由合约单位取整引起，但单张合约金额误差不大）。</w:t>
      </w:r>
    </w:p>
    <w:p>
      <w:pPr>
        <w:spacing w:line="560" w:lineRule="exact"/>
        <w:ind w:firstLine="600" w:firstLineChars="200"/>
        <w:rPr>
          <w:rFonts w:eastAsia="方正仿宋简体"/>
          <w:sz w:val="30"/>
          <w:szCs w:val="30"/>
        </w:rPr>
      </w:pPr>
      <w:r>
        <w:rPr>
          <w:rFonts w:eastAsia="方正仿宋简体"/>
          <w:sz w:val="30"/>
          <w:szCs w:val="30"/>
        </w:rPr>
        <w:t>除权除息日，如果出现上述不一致，期货公司应加强对保证金的管理。同时，如果期货公司对客户保证金方式亦存在此问题，当日应及时向客户提醒或解释，并加强对客户保证金管理（可用资金或出金会有误差）。</w:t>
      </w:r>
    </w:p>
    <w:p>
      <w:pPr>
        <w:keepNext/>
        <w:keepLines/>
        <w:numPr>
          <w:ilvl w:val="0"/>
          <w:numId w:val="57"/>
        </w:numPr>
        <w:spacing w:line="560" w:lineRule="exact"/>
        <w:ind w:left="0" w:firstLine="601" w:firstLineChars="200"/>
        <w:outlineLvl w:val="2"/>
        <w:rPr>
          <w:rFonts w:eastAsia="方正仿宋简体"/>
          <w:b/>
          <w:sz w:val="30"/>
          <w:szCs w:val="30"/>
        </w:rPr>
      </w:pPr>
      <w:r>
        <w:rPr>
          <w:rFonts w:eastAsia="方正仿宋简体"/>
          <w:b/>
          <w:sz w:val="30"/>
          <w:szCs w:val="30"/>
        </w:rPr>
        <w:t>盘中监控</w:t>
      </w:r>
    </w:p>
    <w:p>
      <w:pPr>
        <w:spacing w:line="560" w:lineRule="exact"/>
        <w:ind w:firstLine="600" w:firstLineChars="200"/>
        <w:rPr>
          <w:rFonts w:eastAsia="方正仿宋简体"/>
          <w:sz w:val="30"/>
          <w:szCs w:val="30"/>
        </w:rPr>
      </w:pPr>
      <w:r>
        <w:rPr>
          <w:rFonts w:eastAsia="方正仿宋简体"/>
          <w:sz w:val="30"/>
          <w:szCs w:val="30"/>
        </w:rPr>
        <w:t>期货公司在监控客户保证金使用情况时，应以投资者股票期权保证金账户为单位对投资者持有的所有股票期权品种的保证金合并计算并进行监控。</w:t>
      </w:r>
    </w:p>
    <w:p>
      <w:pPr>
        <w:spacing w:line="560" w:lineRule="exact"/>
        <w:ind w:firstLine="600" w:firstLineChars="200"/>
        <w:rPr>
          <w:rFonts w:eastAsia="方正仿宋简体"/>
          <w:sz w:val="30"/>
          <w:szCs w:val="30"/>
        </w:rPr>
      </w:pPr>
      <w:r>
        <w:rPr>
          <w:rFonts w:eastAsia="方正仿宋简体"/>
          <w:sz w:val="30"/>
          <w:szCs w:val="30"/>
        </w:rPr>
        <w:t>区别于上述开仓保证金和维持保证金，期货公司在客户保证金监控时，需增加对合约标的证券或期权合约交易价格变动带来的保证金变化的监控。</w:t>
      </w:r>
    </w:p>
    <w:p>
      <w:pPr>
        <w:spacing w:line="560" w:lineRule="exact"/>
        <w:ind w:firstLine="600" w:firstLineChars="200"/>
        <w:rPr>
          <w:rFonts w:eastAsia="方正仿宋简体"/>
          <w:sz w:val="30"/>
          <w:szCs w:val="30"/>
        </w:rPr>
      </w:pPr>
      <w:r>
        <w:rPr>
          <w:rFonts w:eastAsia="方正仿宋简体"/>
          <w:sz w:val="30"/>
          <w:szCs w:val="30"/>
        </w:rPr>
        <w:t>根据最新价格实时计算的客户持有某期权合约的实时价格保证金是指，客户持有该同一期权合约义务仓和权利仓对冲后剩余义务仓，按合约标的证券最新成交价格和期权合约最新成交价格（如当日无成交，则取前结算价），根据期货公司设置的保证金水平计算的保证金。</w:t>
      </w:r>
    </w:p>
    <w:p>
      <w:pPr>
        <w:spacing w:line="560" w:lineRule="exact"/>
        <w:ind w:firstLine="600" w:firstLineChars="200"/>
        <w:rPr>
          <w:rFonts w:eastAsia="方正仿宋简体"/>
          <w:sz w:val="30"/>
          <w:szCs w:val="30"/>
        </w:rPr>
      </w:pPr>
      <w:r>
        <w:rPr>
          <w:rFonts w:eastAsia="方正仿宋简体"/>
          <w:sz w:val="30"/>
          <w:szCs w:val="30"/>
        </w:rPr>
        <w:t>期货公司应按最新价格计算各客户持有各合约所需保证金金额，监控其是否足额及变化情况。</w:t>
      </w:r>
    </w:p>
    <w:p>
      <w:pPr>
        <w:numPr>
          <w:ilvl w:val="0"/>
          <w:numId w:val="63"/>
        </w:numPr>
        <w:spacing w:line="560" w:lineRule="exact"/>
        <w:ind w:left="0" w:firstLine="601" w:firstLineChars="200"/>
        <w:outlineLvl w:val="3"/>
        <w:rPr>
          <w:rFonts w:eastAsia="方正仿宋简体"/>
          <w:b/>
          <w:bCs/>
          <w:sz w:val="30"/>
          <w:szCs w:val="30"/>
        </w:rPr>
      </w:pPr>
      <w:r>
        <w:rPr>
          <w:rFonts w:eastAsia="方正仿宋简体"/>
          <w:b/>
          <w:sz w:val="30"/>
          <w:szCs w:val="30"/>
        </w:rPr>
        <w:t>客户实时风险值</w:t>
      </w:r>
    </w:p>
    <w:p>
      <w:pPr>
        <w:spacing w:line="560" w:lineRule="exact"/>
        <w:ind w:firstLine="600" w:firstLineChars="200"/>
        <w:rPr>
          <w:rFonts w:eastAsia="方正仿宋简体"/>
          <w:sz w:val="30"/>
          <w:szCs w:val="30"/>
        </w:rPr>
      </w:pPr>
      <w:r>
        <w:rPr>
          <w:rFonts w:eastAsia="方正仿宋简体"/>
          <w:sz w:val="30"/>
          <w:szCs w:val="30"/>
        </w:rPr>
        <w:t>期货公司应监控客户实时价格保证金占其保证金总额的情况，建议设立监控指标：</w:t>
      </w:r>
    </w:p>
    <w:p>
      <w:pPr>
        <w:spacing w:line="560" w:lineRule="exact"/>
        <w:ind w:firstLine="600" w:firstLineChars="200"/>
        <w:rPr>
          <w:rFonts w:eastAsia="方正仿宋简体"/>
          <w:sz w:val="30"/>
          <w:szCs w:val="30"/>
        </w:rPr>
      </w:pPr>
      <w:r>
        <w:rPr>
          <w:rFonts w:eastAsia="方正仿宋简体"/>
          <w:sz w:val="30"/>
          <w:szCs w:val="30"/>
        </w:rPr>
        <w:t>客户实时风险值1=按照期货公司保证金水平计算的客户实时价格保证金/该客户保证金总额（扣除行权待交收等冻结的资金后）</w:t>
      </w:r>
    </w:p>
    <w:p>
      <w:pPr>
        <w:spacing w:line="560" w:lineRule="exact"/>
        <w:ind w:firstLine="600" w:firstLineChars="200"/>
        <w:rPr>
          <w:rFonts w:eastAsia="方正仿宋简体"/>
          <w:sz w:val="30"/>
          <w:szCs w:val="30"/>
        </w:rPr>
      </w:pPr>
      <w:r>
        <w:rPr>
          <w:rFonts w:eastAsia="方正仿宋简体"/>
          <w:sz w:val="30"/>
          <w:szCs w:val="30"/>
        </w:rPr>
        <w:t>客户实时风险值2=按照所司保证金水平计算的客户实时价格保证金/该客户保证金总额（扣除行权待交收等冻结的资金后）</w:t>
      </w:r>
    </w:p>
    <w:p>
      <w:pPr>
        <w:spacing w:line="560" w:lineRule="exact"/>
        <w:ind w:firstLine="600" w:firstLineChars="200"/>
        <w:rPr>
          <w:rFonts w:eastAsia="方正仿宋简体"/>
          <w:sz w:val="30"/>
          <w:szCs w:val="30"/>
        </w:rPr>
      </w:pPr>
      <w:r>
        <w:rPr>
          <w:rFonts w:eastAsia="方正仿宋简体"/>
          <w:sz w:val="30"/>
          <w:szCs w:val="30"/>
        </w:rPr>
        <w:t>客户保证金总额为客户股票期权保证金账户用于衍生品交易的资金总额，包括了申报未成交冻结的资金，根据出入金、成交进行实时增减。行权待交收冻结的资金为行权日或交收日，客户因行权或被指派应付券或应付款而被冻结的资金。</w:t>
      </w:r>
    </w:p>
    <w:p>
      <w:pPr>
        <w:spacing w:line="560" w:lineRule="exact"/>
        <w:ind w:firstLine="600" w:firstLineChars="200"/>
        <w:rPr>
          <w:rFonts w:eastAsia="方正仿宋简体"/>
          <w:sz w:val="30"/>
          <w:szCs w:val="30"/>
        </w:rPr>
      </w:pPr>
      <w:r>
        <w:rPr>
          <w:rFonts w:eastAsia="方正仿宋简体"/>
          <w:sz w:val="30"/>
          <w:szCs w:val="30"/>
        </w:rPr>
        <w:t>若客户实时风险值1和客户实时风险值2的分母出现负数，指标均为100%（期货公司可以自行设置其他数值）；如分母为0，当客户实时价格保证金&gt;0时，指标为100%，当客户实时价格保证金=0时，指标为0。</w:t>
      </w:r>
    </w:p>
    <w:p>
      <w:pPr>
        <w:spacing w:line="560" w:lineRule="exact"/>
        <w:ind w:firstLine="600" w:firstLineChars="200"/>
        <w:rPr>
          <w:rFonts w:eastAsia="方正仿宋简体"/>
          <w:sz w:val="30"/>
          <w:szCs w:val="30"/>
        </w:rPr>
      </w:pPr>
      <w:r>
        <w:rPr>
          <w:rFonts w:eastAsia="方正仿宋简体"/>
          <w:sz w:val="30"/>
          <w:szCs w:val="30"/>
        </w:rPr>
        <w:t>期货公司亦可增设监控指标，例如增设客户实时风险值3=按照公司保证金水平计算的客户实时价格保证金/[该客户保证金总额（扣除行权待交收冻结的资金后）-申报未成交冻结的资金]。当客户实时风险值3达到期货公司设置的阀值时，期货公司可以及时提醒客户撤单或追加保证金。</w:t>
      </w:r>
    </w:p>
    <w:p>
      <w:pPr>
        <w:spacing w:line="560" w:lineRule="exact"/>
        <w:ind w:firstLine="600" w:firstLineChars="200"/>
        <w:rPr>
          <w:rFonts w:eastAsia="方正仿宋简体"/>
          <w:sz w:val="30"/>
          <w:szCs w:val="30"/>
        </w:rPr>
      </w:pPr>
      <w:r>
        <w:rPr>
          <w:rFonts w:eastAsia="方正仿宋简体"/>
          <w:sz w:val="30"/>
          <w:szCs w:val="30"/>
        </w:rPr>
        <w:t>期货公司亦可按（客户实时价格保证金+行权待交收冻结的资金）/该客户保证金总额设计客户实时风险值，监控阀值自行定义。</w:t>
      </w:r>
    </w:p>
    <w:p>
      <w:pPr>
        <w:numPr>
          <w:ilvl w:val="0"/>
          <w:numId w:val="63"/>
        </w:numPr>
        <w:spacing w:line="560" w:lineRule="exact"/>
        <w:ind w:left="0" w:firstLine="601" w:firstLineChars="200"/>
        <w:outlineLvl w:val="3"/>
        <w:rPr>
          <w:rFonts w:eastAsia="方正仿宋简体"/>
          <w:b/>
          <w:bCs/>
          <w:sz w:val="30"/>
          <w:szCs w:val="30"/>
        </w:rPr>
      </w:pPr>
      <w:r>
        <w:rPr>
          <w:rFonts w:eastAsia="方正仿宋简体"/>
          <w:b/>
          <w:sz w:val="30"/>
          <w:szCs w:val="30"/>
        </w:rPr>
        <w:t>三条监控线</w:t>
      </w:r>
    </w:p>
    <w:p>
      <w:pPr>
        <w:spacing w:line="560" w:lineRule="exact"/>
        <w:ind w:firstLine="600" w:firstLineChars="200"/>
        <w:rPr>
          <w:rFonts w:eastAsia="方正仿宋简体"/>
          <w:sz w:val="30"/>
          <w:szCs w:val="30"/>
        </w:rPr>
      </w:pPr>
      <w:r>
        <w:rPr>
          <w:rFonts w:eastAsia="方正仿宋简体"/>
          <w:sz w:val="30"/>
          <w:szCs w:val="30"/>
        </w:rPr>
        <w:t>建议期货公司与客户在期权经纪合同中约定，对客户实时风险值设置公司盘中追保线、公司盘中平仓线、即时处置线。</w:t>
      </w:r>
    </w:p>
    <w:p>
      <w:pPr>
        <w:numPr>
          <w:ilvl w:val="0"/>
          <w:numId w:val="64"/>
        </w:numPr>
        <w:spacing w:line="560" w:lineRule="exact"/>
        <w:ind w:left="0" w:firstLine="600" w:firstLineChars="200"/>
        <w:rPr>
          <w:rFonts w:eastAsia="方正仿宋简体"/>
          <w:sz w:val="30"/>
          <w:szCs w:val="30"/>
        </w:rPr>
      </w:pPr>
      <w:r>
        <w:rPr>
          <w:rFonts w:eastAsia="方正仿宋简体"/>
          <w:sz w:val="30"/>
          <w:szCs w:val="30"/>
        </w:rPr>
        <w:t>公司盘中追保线</w:t>
      </w:r>
    </w:p>
    <w:p>
      <w:pPr>
        <w:spacing w:line="560" w:lineRule="exact"/>
        <w:ind w:firstLine="600" w:firstLineChars="200"/>
        <w:rPr>
          <w:rFonts w:eastAsia="方正仿宋简体"/>
          <w:sz w:val="30"/>
          <w:szCs w:val="30"/>
        </w:rPr>
      </w:pPr>
      <w:r>
        <w:rPr>
          <w:rFonts w:eastAsia="方正仿宋简体"/>
          <w:sz w:val="30"/>
          <w:szCs w:val="30"/>
        </w:rPr>
        <w:t>监控客户实时风险值1，盘中追保线低于公司盘中平仓线（具体值期货公司自定）。比如盘中追保线为90%，当盘中客户实时风险值1高于盘中追保线时，期货公司可以向客户发追保通知，并同时可以限制该客户新开仓。</w:t>
      </w:r>
    </w:p>
    <w:p>
      <w:pPr>
        <w:numPr>
          <w:ilvl w:val="0"/>
          <w:numId w:val="64"/>
        </w:numPr>
        <w:spacing w:line="560" w:lineRule="exact"/>
        <w:ind w:left="0" w:firstLine="600" w:firstLineChars="200"/>
        <w:rPr>
          <w:rFonts w:eastAsia="方正仿宋简体"/>
          <w:sz w:val="30"/>
          <w:szCs w:val="30"/>
        </w:rPr>
      </w:pPr>
      <w:r>
        <w:rPr>
          <w:rFonts w:eastAsia="方正仿宋简体"/>
          <w:sz w:val="30"/>
          <w:szCs w:val="30"/>
        </w:rPr>
        <w:t>公司盘中平仓线</w:t>
      </w:r>
    </w:p>
    <w:p>
      <w:pPr>
        <w:spacing w:line="560" w:lineRule="exact"/>
        <w:ind w:firstLine="600" w:firstLineChars="200"/>
        <w:rPr>
          <w:rFonts w:eastAsia="方正仿宋简体"/>
          <w:sz w:val="30"/>
          <w:szCs w:val="30"/>
        </w:rPr>
      </w:pPr>
      <w:r>
        <w:rPr>
          <w:rFonts w:eastAsia="方正仿宋简体"/>
          <w:sz w:val="30"/>
          <w:szCs w:val="30"/>
        </w:rPr>
        <w:t>客户实时风险值1达到100%时，触发公司盘中平仓线。当盘中客户实时风险值1高于公司盘中平仓线时，期货公司应及时向客户发强平通知（如上一交易日日终维持保证金已不足，并已发出</w:t>
      </w:r>
      <w:r>
        <w:rPr>
          <w:rFonts w:hint="eastAsia" w:ascii="方正仿宋简体" w:eastAsia="方正仿宋简体"/>
          <w:sz w:val="30"/>
          <w:szCs w:val="30"/>
        </w:rPr>
        <w:t>“</w:t>
      </w:r>
      <w:r>
        <w:rPr>
          <w:rFonts w:eastAsia="方正仿宋简体"/>
          <w:sz w:val="30"/>
          <w:szCs w:val="30"/>
        </w:rPr>
        <w:t>强行平仓通知书</w:t>
      </w:r>
      <w:r>
        <w:rPr>
          <w:rFonts w:hint="eastAsia" w:ascii="方正仿宋简体" w:eastAsia="方正仿宋简体"/>
          <w:sz w:val="30"/>
          <w:szCs w:val="30"/>
        </w:rPr>
        <w:t>”</w:t>
      </w:r>
      <w:r>
        <w:rPr>
          <w:rFonts w:eastAsia="方正仿宋简体"/>
          <w:sz w:val="30"/>
          <w:szCs w:val="30"/>
        </w:rPr>
        <w:t>，可不再通知），期货公司可在当日或者下一交易日规定时间对客户进行强行平仓。</w:t>
      </w:r>
    </w:p>
    <w:p>
      <w:pPr>
        <w:numPr>
          <w:ilvl w:val="0"/>
          <w:numId w:val="64"/>
        </w:numPr>
        <w:spacing w:line="560" w:lineRule="exact"/>
        <w:ind w:left="0" w:firstLine="600" w:firstLineChars="200"/>
        <w:rPr>
          <w:rFonts w:eastAsia="方正仿宋简体"/>
          <w:sz w:val="30"/>
          <w:szCs w:val="30"/>
        </w:rPr>
      </w:pPr>
      <w:r>
        <w:rPr>
          <w:rFonts w:eastAsia="方正仿宋简体"/>
          <w:sz w:val="30"/>
          <w:szCs w:val="30"/>
        </w:rPr>
        <w:t>即时处置线</w:t>
      </w:r>
    </w:p>
    <w:p>
      <w:pPr>
        <w:spacing w:line="560" w:lineRule="exact"/>
        <w:ind w:firstLine="600" w:firstLineChars="200"/>
        <w:rPr>
          <w:rFonts w:eastAsia="方正仿宋简体"/>
          <w:sz w:val="30"/>
          <w:szCs w:val="30"/>
        </w:rPr>
      </w:pPr>
      <w:r>
        <w:rPr>
          <w:rFonts w:eastAsia="方正仿宋简体"/>
          <w:sz w:val="30"/>
          <w:szCs w:val="30"/>
        </w:rPr>
        <w:t>客户实时风险值2达到100%时，触发即时处置线。当盘中客户实时风险值2高于即时处置线时，期货公司可以根据自身风险管理的需求立即采取措施。</w:t>
      </w:r>
    </w:p>
    <w:p>
      <w:pPr>
        <w:numPr>
          <w:ilvl w:val="0"/>
          <w:numId w:val="63"/>
        </w:numPr>
        <w:spacing w:line="560" w:lineRule="exact"/>
        <w:ind w:left="0" w:firstLine="601" w:firstLineChars="200"/>
        <w:outlineLvl w:val="3"/>
        <w:rPr>
          <w:rFonts w:eastAsia="方正仿宋简体"/>
          <w:b/>
          <w:sz w:val="30"/>
          <w:szCs w:val="30"/>
        </w:rPr>
      </w:pPr>
      <w:r>
        <w:rPr>
          <w:rFonts w:eastAsia="方正仿宋简体"/>
          <w:b/>
          <w:sz w:val="30"/>
          <w:szCs w:val="30"/>
        </w:rPr>
        <w:t>风险管理措施</w:t>
      </w:r>
    </w:p>
    <w:p>
      <w:pPr>
        <w:spacing w:line="560" w:lineRule="exact"/>
        <w:ind w:firstLine="600" w:firstLineChars="200"/>
        <w:rPr>
          <w:rFonts w:eastAsia="方正仿宋简体"/>
          <w:sz w:val="30"/>
          <w:szCs w:val="30"/>
        </w:rPr>
      </w:pPr>
      <w:r>
        <w:rPr>
          <w:rFonts w:eastAsia="方正仿宋简体"/>
          <w:sz w:val="30"/>
          <w:szCs w:val="30"/>
        </w:rPr>
        <w:t>下面列举了几种从严格到宽松的风险管理措施：</w:t>
      </w:r>
    </w:p>
    <w:p>
      <w:pPr>
        <w:numPr>
          <w:ilvl w:val="0"/>
          <w:numId w:val="65"/>
        </w:numPr>
        <w:spacing w:line="560" w:lineRule="exact"/>
        <w:ind w:left="0" w:firstLine="600" w:firstLineChars="200"/>
        <w:rPr>
          <w:rFonts w:eastAsia="方正仿宋简体"/>
          <w:sz w:val="30"/>
          <w:szCs w:val="30"/>
        </w:rPr>
      </w:pPr>
      <w:r>
        <w:rPr>
          <w:rFonts w:eastAsia="方正仿宋简体"/>
          <w:sz w:val="30"/>
          <w:szCs w:val="30"/>
        </w:rPr>
        <w:t>客户实时风险值2触发即时处置线，立即发起强行平仓。当执行强行平仓时，因行情变化引起的客户实时风险值2低于即时处置线不影响平仓流程，仍对客户进行强行平仓，直至客户实时风险值1处于追保线以下。如果客户入金使风险度降低，则可以考虑停止强行平仓流程。</w:t>
      </w:r>
    </w:p>
    <w:p>
      <w:pPr>
        <w:numPr>
          <w:ilvl w:val="0"/>
          <w:numId w:val="65"/>
        </w:numPr>
        <w:spacing w:line="560" w:lineRule="exact"/>
        <w:ind w:left="0" w:firstLine="600" w:firstLineChars="200"/>
        <w:rPr>
          <w:rFonts w:eastAsia="方正仿宋简体"/>
          <w:sz w:val="30"/>
          <w:szCs w:val="30"/>
        </w:rPr>
      </w:pPr>
      <w:r>
        <w:rPr>
          <w:rFonts w:eastAsia="方正仿宋简体"/>
          <w:sz w:val="30"/>
          <w:szCs w:val="30"/>
        </w:rPr>
        <w:t>客户实时风险值2触发即时处置线，立即发起强行平仓。当执行强行平仓时因行情波动使客户实时风险值1已降到公司盘中平仓线以下，则中止强行平仓。当执行强行平仓时因行情波动使客户实时风险值2已位于即时处置线以下，但是客户实时风险值1高于公司盘中平仓线，应对客户进行强行平仓，直至客户实时风险值1处于盘中追保线以下。如果客户入金使客户实时风险值降低，则可以考虑停止强行平仓流程。</w:t>
      </w:r>
    </w:p>
    <w:p>
      <w:pPr>
        <w:numPr>
          <w:ilvl w:val="0"/>
          <w:numId w:val="65"/>
        </w:numPr>
        <w:spacing w:line="560" w:lineRule="exact"/>
        <w:ind w:left="0" w:firstLine="600" w:firstLineChars="200"/>
        <w:rPr>
          <w:rFonts w:eastAsia="方正仿宋简体"/>
          <w:sz w:val="30"/>
          <w:szCs w:val="30"/>
        </w:rPr>
      </w:pPr>
      <w:r>
        <w:rPr>
          <w:rFonts w:eastAsia="方正仿宋简体"/>
          <w:sz w:val="30"/>
          <w:szCs w:val="30"/>
        </w:rPr>
        <w:t>客户实时风险值2触发即时处置线，不立即发起强行平仓，通知客户追加保证金或自行平仓，并约定收盘前比如下午14:30未达到公司要求的进行强行平仓。</w:t>
      </w:r>
    </w:p>
    <w:p>
      <w:pPr>
        <w:numPr>
          <w:ilvl w:val="0"/>
          <w:numId w:val="65"/>
        </w:numPr>
        <w:spacing w:line="560" w:lineRule="exact"/>
        <w:ind w:left="0" w:firstLine="600" w:firstLineChars="200"/>
        <w:rPr>
          <w:rFonts w:eastAsia="方正仿宋简体"/>
          <w:sz w:val="30"/>
          <w:szCs w:val="30"/>
        </w:rPr>
      </w:pPr>
      <w:r>
        <w:rPr>
          <w:rFonts w:eastAsia="方正仿宋简体"/>
          <w:sz w:val="30"/>
          <w:szCs w:val="30"/>
        </w:rPr>
        <w:t>客户实时风险值2触发即时处置线，盘中不发起强行平仓，通知客户追加保证金或自行平仓，并把该账户列为重点关注对象，同时应做好相应的资金管理安排，提前准备好日终可能需要为客户垫付的资金（根据当日无负债结算的要求，日终客户维持保证金不得低于按所司规定的保证金水平。如低于，需要期货公司用自有资金补足，不得挪用其他客户保证金）。</w:t>
      </w:r>
    </w:p>
    <w:p>
      <w:pPr>
        <w:numPr>
          <w:ilvl w:val="0"/>
          <w:numId w:val="63"/>
        </w:numPr>
        <w:spacing w:line="560" w:lineRule="exact"/>
        <w:ind w:left="0" w:firstLine="601" w:firstLineChars="200"/>
        <w:outlineLvl w:val="3"/>
        <w:rPr>
          <w:rFonts w:eastAsia="方正仿宋简体"/>
          <w:b/>
          <w:sz w:val="30"/>
          <w:szCs w:val="30"/>
        </w:rPr>
      </w:pPr>
      <w:r>
        <w:rPr>
          <w:rFonts w:eastAsia="方正仿宋简体"/>
          <w:b/>
          <w:sz w:val="30"/>
          <w:szCs w:val="30"/>
        </w:rPr>
        <w:t>客户提取现金管理</w:t>
      </w:r>
    </w:p>
    <w:p>
      <w:pPr>
        <w:spacing w:line="560" w:lineRule="exact"/>
        <w:ind w:firstLine="600" w:firstLineChars="200"/>
        <w:rPr>
          <w:rFonts w:eastAsia="方正仿宋简体"/>
          <w:sz w:val="30"/>
          <w:szCs w:val="30"/>
        </w:rPr>
      </w:pPr>
      <w:r>
        <w:rPr>
          <w:rFonts w:eastAsia="方正仿宋简体"/>
          <w:sz w:val="30"/>
          <w:szCs w:val="30"/>
        </w:rPr>
        <w:t>期货公司应根据自身风险管理与资金管理情况，在期权经纪合同中与客户约定客户取现的计算方法，计算方法及结果需要明确告知客户。客户可取现金可参考以下原则：当日权利金净收入不可提取、当日平仓释放资金保证金可提取等（具体以与客户约定为准）。</w:t>
      </w:r>
    </w:p>
    <w:p>
      <w:pPr>
        <w:numPr>
          <w:ilvl w:val="0"/>
          <w:numId w:val="66"/>
        </w:numPr>
        <w:spacing w:line="560" w:lineRule="exact"/>
        <w:ind w:left="0" w:firstLine="600" w:firstLineChars="200"/>
        <w:rPr>
          <w:rFonts w:eastAsia="方正仿宋简体"/>
          <w:sz w:val="30"/>
          <w:szCs w:val="30"/>
        </w:rPr>
      </w:pPr>
      <w:r>
        <w:rPr>
          <w:rFonts w:eastAsia="方正仿宋简体"/>
          <w:sz w:val="30"/>
          <w:szCs w:val="30"/>
        </w:rPr>
        <w:t>客户占用未对冲保证金</w:t>
      </w:r>
    </w:p>
    <w:p>
      <w:pPr>
        <w:spacing w:line="560" w:lineRule="exact"/>
        <w:ind w:firstLine="600" w:firstLineChars="200"/>
        <w:rPr>
          <w:rFonts w:eastAsia="方正仿宋简体"/>
          <w:sz w:val="30"/>
          <w:szCs w:val="30"/>
        </w:rPr>
      </w:pPr>
      <w:r>
        <w:rPr>
          <w:rFonts w:eastAsia="方正仿宋简体"/>
          <w:sz w:val="30"/>
          <w:szCs w:val="30"/>
        </w:rPr>
        <w:t>客户占用未对冲开仓保证金：按照开仓保证金公式并按公司设立的收取水平，以合约标的前收盘价和合约前结算价计算的，且为客户已成交和已申报开仓未成交的期权义务仓合约（对双向持仓不进行对冲）所占用的保证金。</w:t>
      </w:r>
    </w:p>
    <w:p>
      <w:pPr>
        <w:spacing w:line="560" w:lineRule="exact"/>
        <w:ind w:firstLine="600" w:firstLineChars="200"/>
        <w:rPr>
          <w:rFonts w:eastAsia="方正仿宋简体"/>
          <w:sz w:val="30"/>
          <w:szCs w:val="30"/>
        </w:rPr>
      </w:pPr>
      <w:r>
        <w:rPr>
          <w:rFonts w:eastAsia="方正仿宋简体"/>
          <w:sz w:val="30"/>
          <w:szCs w:val="30"/>
        </w:rPr>
        <w:t>客户占用未对冲实时价格保证金：按照开仓保证金公式并按公司设立的收取水平，以合约标的最新价和合约最新价计算的，且为客户已成交和已申报开仓未成交的期权义务仓合约（对双向持仓不进行对冲）所占用的保证金。</w:t>
      </w:r>
    </w:p>
    <w:p>
      <w:pPr>
        <w:spacing w:line="560" w:lineRule="exact"/>
        <w:ind w:firstLine="600" w:firstLineChars="200"/>
        <w:rPr>
          <w:rFonts w:eastAsia="方正仿宋简体"/>
          <w:sz w:val="30"/>
          <w:szCs w:val="30"/>
        </w:rPr>
      </w:pPr>
      <w:r>
        <w:rPr>
          <w:rFonts w:eastAsia="方正仿宋简体"/>
          <w:sz w:val="30"/>
          <w:szCs w:val="30"/>
        </w:rPr>
        <w:t>未对冲保证金是指未进行盘后轧差的保证金。</w:t>
      </w:r>
    </w:p>
    <w:p>
      <w:pPr>
        <w:numPr>
          <w:ilvl w:val="0"/>
          <w:numId w:val="66"/>
        </w:numPr>
        <w:spacing w:line="560" w:lineRule="exact"/>
        <w:ind w:left="0" w:firstLine="600" w:firstLineChars="200"/>
        <w:rPr>
          <w:rFonts w:eastAsia="方正仿宋简体"/>
          <w:sz w:val="30"/>
          <w:szCs w:val="30"/>
        </w:rPr>
      </w:pPr>
      <w:r>
        <w:rPr>
          <w:rFonts w:eastAsia="方正仿宋简体"/>
          <w:sz w:val="30"/>
          <w:szCs w:val="30"/>
        </w:rPr>
        <w:t>客户可取现值</w:t>
      </w:r>
    </w:p>
    <w:p>
      <w:pPr>
        <w:spacing w:line="560" w:lineRule="exact"/>
        <w:ind w:firstLine="600" w:firstLineChars="200"/>
        <w:rPr>
          <w:rFonts w:eastAsia="方正仿宋简体"/>
          <w:sz w:val="30"/>
          <w:szCs w:val="30"/>
        </w:rPr>
      </w:pPr>
      <w:r>
        <w:rPr>
          <w:rFonts w:eastAsia="方正仿宋简体"/>
          <w:sz w:val="30"/>
          <w:szCs w:val="30"/>
        </w:rPr>
        <w:t>客户可取现值计算方法举例如下：</w:t>
      </w:r>
    </w:p>
    <w:p>
      <w:pPr>
        <w:spacing w:line="560" w:lineRule="exact"/>
        <w:ind w:firstLine="600" w:firstLineChars="200"/>
        <w:rPr>
          <w:rFonts w:eastAsia="方正仿宋简体"/>
          <w:sz w:val="30"/>
          <w:szCs w:val="30"/>
        </w:rPr>
      </w:pPr>
      <w:r>
        <w:rPr>
          <w:rFonts w:eastAsia="方正仿宋简体"/>
          <w:sz w:val="30"/>
          <w:szCs w:val="30"/>
        </w:rPr>
        <w:t>可取资金=上一日日终结算后资金保证金总额（或当日期初资金保证金总额）+当日入金-当日出金-手续费+当日权利金收入-当日权利金支出-[Max（客户占用未对冲实时价格保证金，客户占用未对冲开仓保证金）/提取线]-Max（当日权利金收入-当日权利金支出，0）-行权待交收冻结资金-其他相关冻结资金</w:t>
      </w:r>
    </w:p>
    <w:p>
      <w:pPr>
        <w:numPr>
          <w:ilvl w:val="0"/>
          <w:numId w:val="66"/>
        </w:numPr>
        <w:spacing w:line="560" w:lineRule="exact"/>
        <w:ind w:left="0" w:firstLine="600" w:firstLineChars="200"/>
        <w:rPr>
          <w:rFonts w:eastAsia="方正仿宋简体"/>
          <w:sz w:val="30"/>
          <w:szCs w:val="30"/>
        </w:rPr>
      </w:pPr>
      <w:r>
        <w:rPr>
          <w:rFonts w:eastAsia="方正仿宋简体"/>
          <w:sz w:val="30"/>
          <w:szCs w:val="30"/>
        </w:rPr>
        <w:t>提取线</w:t>
      </w:r>
    </w:p>
    <w:p>
      <w:pPr>
        <w:spacing w:line="560" w:lineRule="exact"/>
        <w:ind w:firstLine="600" w:firstLineChars="200"/>
        <w:rPr>
          <w:rFonts w:eastAsia="方正仿宋简体"/>
          <w:sz w:val="30"/>
          <w:szCs w:val="30"/>
        </w:rPr>
      </w:pPr>
      <w:r>
        <w:rPr>
          <w:rFonts w:eastAsia="方正仿宋简体"/>
          <w:sz w:val="30"/>
          <w:szCs w:val="30"/>
        </w:rPr>
        <w:t>期货公司设定一个比例（即提取线，不高于盘中追保线，由期货公司自行设定），客户未对冲实时价格保证金加行权待交收冻结资金及其他相关冻结资金占其保证金总额高于或等于该比例时，不可提取现金；低于该比例时且符合其他约定条件时，可提取现金。现金提取后，客户未对冲实时价格保证金加行权待交收冻结资金及其他相关冻结资金占其保证金总额不得高于该比例。</w:t>
      </w:r>
    </w:p>
    <w:p>
      <w:pPr>
        <w:spacing w:line="560" w:lineRule="exact"/>
        <w:ind w:firstLine="600" w:firstLineChars="200"/>
        <w:rPr>
          <w:rFonts w:eastAsia="方正仿宋简体"/>
          <w:sz w:val="30"/>
          <w:szCs w:val="30"/>
        </w:rPr>
      </w:pPr>
      <w:r>
        <w:rPr>
          <w:rFonts w:eastAsia="方正仿宋简体"/>
          <w:sz w:val="30"/>
          <w:szCs w:val="30"/>
        </w:rPr>
        <w:t>期货公司也可以不设置提取线，客户可取现值可以按扣除最大占用保证金及相关冻结资金后的可用余额计算，但应考虑避免日终出现维持保证金不足的情况。</w:t>
      </w:r>
    </w:p>
    <w:p>
      <w:pPr>
        <w:keepNext/>
        <w:keepLines/>
        <w:numPr>
          <w:ilvl w:val="0"/>
          <w:numId w:val="57"/>
        </w:numPr>
        <w:spacing w:line="560" w:lineRule="exact"/>
        <w:ind w:left="0" w:firstLine="601" w:firstLineChars="200"/>
        <w:outlineLvl w:val="2"/>
        <w:rPr>
          <w:rFonts w:eastAsia="方正仿宋简体"/>
          <w:b/>
          <w:sz w:val="30"/>
          <w:szCs w:val="30"/>
        </w:rPr>
      </w:pPr>
      <w:r>
        <w:rPr>
          <w:rFonts w:eastAsia="方正仿宋简体"/>
          <w:b/>
          <w:sz w:val="30"/>
          <w:szCs w:val="30"/>
        </w:rPr>
        <w:t>逐日盯市</w:t>
      </w:r>
    </w:p>
    <w:p>
      <w:pPr>
        <w:numPr>
          <w:ilvl w:val="0"/>
          <w:numId w:val="67"/>
        </w:numPr>
        <w:spacing w:line="560" w:lineRule="exact"/>
        <w:ind w:left="0" w:firstLine="601" w:firstLineChars="200"/>
        <w:outlineLvl w:val="3"/>
        <w:rPr>
          <w:rFonts w:eastAsia="方正仿宋简体"/>
          <w:b/>
          <w:sz w:val="30"/>
          <w:szCs w:val="30"/>
        </w:rPr>
      </w:pPr>
      <w:r>
        <w:rPr>
          <w:rFonts w:eastAsia="方正仿宋简体"/>
          <w:b/>
          <w:sz w:val="30"/>
          <w:szCs w:val="30"/>
        </w:rPr>
        <w:t>客户维持保证金比例</w:t>
      </w:r>
    </w:p>
    <w:p>
      <w:pPr>
        <w:spacing w:line="560" w:lineRule="exact"/>
        <w:ind w:firstLine="600" w:firstLineChars="200"/>
        <w:rPr>
          <w:rFonts w:eastAsia="方正仿宋简体"/>
          <w:sz w:val="30"/>
          <w:szCs w:val="30"/>
        </w:rPr>
      </w:pPr>
      <w:r>
        <w:rPr>
          <w:rFonts w:eastAsia="方正仿宋简体"/>
          <w:sz w:val="30"/>
          <w:szCs w:val="30"/>
        </w:rPr>
        <w:t>期货公司应在日终对客户保证金进行逐日盯市，建议设立监控指标：</w:t>
      </w:r>
    </w:p>
    <w:p>
      <w:pPr>
        <w:spacing w:line="560" w:lineRule="exact"/>
        <w:ind w:firstLine="600" w:firstLineChars="200"/>
        <w:rPr>
          <w:rFonts w:eastAsia="方正仿宋简体"/>
          <w:sz w:val="30"/>
          <w:szCs w:val="30"/>
        </w:rPr>
      </w:pPr>
      <w:r>
        <w:rPr>
          <w:rFonts w:eastAsia="方正仿宋简体"/>
          <w:sz w:val="30"/>
          <w:szCs w:val="30"/>
        </w:rPr>
        <w:t>客户维持保证金比例1=按照公司保证金水平计算的维持保证金（持仓日终自动对冲后收取的保证金）/该客户保证金总额（扣除行权待交收冻结的资金后）</w:t>
      </w:r>
    </w:p>
    <w:p>
      <w:pPr>
        <w:spacing w:line="560" w:lineRule="exact"/>
        <w:ind w:firstLine="600" w:firstLineChars="200"/>
        <w:rPr>
          <w:rFonts w:eastAsia="方正仿宋简体"/>
          <w:sz w:val="30"/>
          <w:szCs w:val="30"/>
        </w:rPr>
      </w:pPr>
      <w:r>
        <w:rPr>
          <w:rFonts w:eastAsia="方正仿宋简体"/>
          <w:sz w:val="30"/>
          <w:szCs w:val="30"/>
        </w:rPr>
        <w:t>客户维持保证金比例2=按照所司保证金标准计算的维持保证金（持仓日终自动对冲后收取的保证金）/该客户保证金总额（扣除行权待交收冻结的资金后）</w:t>
      </w:r>
    </w:p>
    <w:p>
      <w:pPr>
        <w:numPr>
          <w:ilvl w:val="0"/>
          <w:numId w:val="67"/>
        </w:numPr>
        <w:spacing w:line="560" w:lineRule="exact"/>
        <w:ind w:left="0" w:firstLine="601" w:firstLineChars="200"/>
        <w:outlineLvl w:val="3"/>
        <w:rPr>
          <w:rFonts w:eastAsia="方正仿宋简体"/>
          <w:b/>
          <w:sz w:val="30"/>
          <w:szCs w:val="30"/>
        </w:rPr>
      </w:pPr>
      <w:r>
        <w:rPr>
          <w:rFonts w:eastAsia="方正仿宋简体"/>
          <w:b/>
          <w:sz w:val="30"/>
          <w:szCs w:val="30"/>
        </w:rPr>
        <w:t>三条监控线</w:t>
      </w:r>
    </w:p>
    <w:p>
      <w:pPr>
        <w:spacing w:line="560" w:lineRule="exact"/>
        <w:ind w:firstLine="600" w:firstLineChars="200"/>
        <w:rPr>
          <w:rFonts w:eastAsia="方正仿宋简体"/>
          <w:sz w:val="30"/>
          <w:szCs w:val="30"/>
        </w:rPr>
      </w:pPr>
      <w:r>
        <w:rPr>
          <w:rFonts w:eastAsia="方正仿宋简体"/>
          <w:sz w:val="30"/>
          <w:szCs w:val="30"/>
        </w:rPr>
        <w:t>建议期货公司与客户在期权经纪合同中约定，针对客户维持保证金比例1和客户维持保证金比例2设置公司盘后平仓线、公司盘后追保线和交易所平仓线。</w:t>
      </w:r>
    </w:p>
    <w:p>
      <w:pPr>
        <w:numPr>
          <w:ilvl w:val="0"/>
          <w:numId w:val="68"/>
        </w:numPr>
        <w:spacing w:line="560" w:lineRule="exact"/>
        <w:ind w:left="0" w:firstLine="600" w:firstLineChars="200"/>
        <w:rPr>
          <w:rFonts w:eastAsia="方正仿宋简体"/>
          <w:sz w:val="30"/>
          <w:szCs w:val="30"/>
        </w:rPr>
      </w:pPr>
      <w:r>
        <w:rPr>
          <w:rFonts w:eastAsia="方正仿宋简体"/>
          <w:sz w:val="30"/>
          <w:szCs w:val="30"/>
        </w:rPr>
        <w:t>公司盘后平仓线</w:t>
      </w:r>
    </w:p>
    <w:p>
      <w:pPr>
        <w:spacing w:line="560" w:lineRule="exact"/>
        <w:ind w:firstLine="600" w:firstLineChars="200"/>
        <w:rPr>
          <w:rFonts w:eastAsia="方正仿宋简体"/>
          <w:sz w:val="30"/>
          <w:szCs w:val="30"/>
        </w:rPr>
      </w:pPr>
      <w:r>
        <w:rPr>
          <w:rFonts w:eastAsia="方正仿宋简体"/>
          <w:sz w:val="30"/>
          <w:szCs w:val="30"/>
        </w:rPr>
        <w:t>公司盘后平仓线为客户维持保证金比例1=100% 当盘后客户维持保证金比例1高于公司盘后平仓线时，公司应及时向客户发送强行平仓通知，并通知客户在下一交易日规定时间（比如14:30）以前补足保证金或自行平仓；若客户未在规定时间内补足保证金或自行平仓，期货公司应在下一交易日规定时间（比如14:30）开始对客户实施强行平仓，并告知客户，如下一交易日盘中进一步达到即时处置线时，期货公司可以选择实时对客户进行强行平仓。</w:t>
      </w:r>
    </w:p>
    <w:p>
      <w:pPr>
        <w:numPr>
          <w:ilvl w:val="0"/>
          <w:numId w:val="68"/>
        </w:numPr>
        <w:spacing w:line="560" w:lineRule="exact"/>
        <w:ind w:left="0" w:firstLine="600" w:firstLineChars="200"/>
        <w:rPr>
          <w:rFonts w:eastAsia="方正仿宋简体"/>
          <w:sz w:val="30"/>
          <w:szCs w:val="30"/>
        </w:rPr>
      </w:pPr>
      <w:r>
        <w:rPr>
          <w:rFonts w:eastAsia="方正仿宋简体"/>
          <w:sz w:val="30"/>
          <w:szCs w:val="30"/>
        </w:rPr>
        <w:t>公司盘后追保线</w:t>
      </w:r>
    </w:p>
    <w:p>
      <w:pPr>
        <w:spacing w:line="560" w:lineRule="exact"/>
        <w:ind w:firstLine="600" w:firstLineChars="200"/>
        <w:rPr>
          <w:rFonts w:eastAsia="方正仿宋简体"/>
          <w:sz w:val="30"/>
          <w:szCs w:val="30"/>
        </w:rPr>
      </w:pPr>
      <w:r>
        <w:rPr>
          <w:rFonts w:eastAsia="方正仿宋简体"/>
          <w:sz w:val="30"/>
          <w:szCs w:val="30"/>
        </w:rPr>
        <w:t>按监控客户维持保证金比例1计算，盘后追保线低于公司盘后平仓线（具体值期货公司自行设定）。比如盘后追保线为90%，当客户维持保证金比例1高于盘后追保线时，期货公司应及时向客户发追保通知，同时可以限制该客户新开仓。</w:t>
      </w:r>
    </w:p>
    <w:p>
      <w:pPr>
        <w:numPr>
          <w:ilvl w:val="0"/>
          <w:numId w:val="68"/>
        </w:numPr>
        <w:spacing w:line="560" w:lineRule="exact"/>
        <w:ind w:left="0" w:firstLine="600" w:firstLineChars="200"/>
        <w:rPr>
          <w:rFonts w:eastAsia="方正仿宋简体"/>
          <w:sz w:val="30"/>
          <w:szCs w:val="30"/>
        </w:rPr>
      </w:pPr>
      <w:r>
        <w:rPr>
          <w:rFonts w:eastAsia="方正仿宋简体"/>
          <w:sz w:val="30"/>
          <w:szCs w:val="30"/>
        </w:rPr>
        <w:t>交易所平仓线</w:t>
      </w:r>
    </w:p>
    <w:p>
      <w:pPr>
        <w:spacing w:line="560" w:lineRule="exact"/>
        <w:ind w:firstLine="600" w:firstLineChars="200"/>
        <w:rPr>
          <w:rFonts w:eastAsia="方正仿宋简体"/>
          <w:sz w:val="30"/>
          <w:szCs w:val="30"/>
        </w:rPr>
      </w:pPr>
      <w:r>
        <w:rPr>
          <w:rFonts w:eastAsia="方正仿宋简体"/>
          <w:sz w:val="30"/>
          <w:szCs w:val="30"/>
        </w:rPr>
        <w:t>交易所平仓线为客户维持保证金比例2=100%，当盘后客户维持保证金比例2高于交易所平仓线时，公司应及时向客户发送强行平仓通知，并在下一交易日开盘后尽快对客户实施强行平仓。当日日终，需要期货公司用自有资金补足，确保日终客户维持保证金不低于按《风控办法》规定的保证金水平，不得挪用其他客户保证金。</w:t>
      </w:r>
    </w:p>
    <w:p>
      <w:pPr>
        <w:numPr>
          <w:ilvl w:val="0"/>
          <w:numId w:val="67"/>
        </w:numPr>
        <w:spacing w:line="560" w:lineRule="exact"/>
        <w:ind w:left="0" w:firstLine="601" w:firstLineChars="200"/>
        <w:outlineLvl w:val="3"/>
        <w:rPr>
          <w:rFonts w:eastAsia="方正仿宋简体"/>
          <w:b/>
          <w:sz w:val="30"/>
          <w:szCs w:val="30"/>
        </w:rPr>
      </w:pPr>
      <w:r>
        <w:rPr>
          <w:rFonts w:eastAsia="方正仿宋简体"/>
          <w:b/>
          <w:sz w:val="30"/>
          <w:szCs w:val="30"/>
        </w:rPr>
        <w:t>保证金通知邮箱</w:t>
      </w:r>
    </w:p>
    <w:p>
      <w:pPr>
        <w:spacing w:line="560" w:lineRule="exact"/>
        <w:ind w:firstLine="600" w:firstLineChars="200"/>
        <w:rPr>
          <w:rFonts w:eastAsia="方正仿宋简体"/>
          <w:sz w:val="30"/>
          <w:szCs w:val="30"/>
        </w:rPr>
      </w:pPr>
      <w:r>
        <w:rPr>
          <w:rFonts w:eastAsia="方正仿宋简体"/>
          <w:sz w:val="30"/>
          <w:szCs w:val="30"/>
        </w:rPr>
        <w:t>期货公司可向与客户约定的客户专门邮箱或其融资融券业务邮箱发送追保、强平等各类通知，并存档留痕。期货公司可在期权经纪合同中列明并告知客户。</w:t>
      </w:r>
    </w:p>
    <w:p>
      <w:pPr>
        <w:numPr>
          <w:ilvl w:val="0"/>
          <w:numId w:val="67"/>
        </w:numPr>
        <w:spacing w:line="560" w:lineRule="exact"/>
        <w:ind w:left="0" w:firstLine="601" w:firstLineChars="200"/>
        <w:outlineLvl w:val="3"/>
        <w:rPr>
          <w:rFonts w:eastAsia="方正仿宋简体"/>
          <w:b/>
          <w:sz w:val="30"/>
          <w:szCs w:val="30"/>
        </w:rPr>
      </w:pPr>
      <w:r>
        <w:rPr>
          <w:rFonts w:eastAsia="方正仿宋简体"/>
          <w:b/>
          <w:sz w:val="30"/>
          <w:szCs w:val="30"/>
        </w:rPr>
        <w:t>压力测试</w:t>
      </w:r>
    </w:p>
    <w:p>
      <w:pPr>
        <w:spacing w:line="560" w:lineRule="exact"/>
        <w:ind w:firstLine="600" w:firstLineChars="200"/>
        <w:rPr>
          <w:rFonts w:eastAsia="方正仿宋简体"/>
          <w:sz w:val="30"/>
          <w:szCs w:val="30"/>
        </w:rPr>
      </w:pPr>
      <w:r>
        <w:rPr>
          <w:rFonts w:eastAsia="方正仿宋简体"/>
          <w:sz w:val="30"/>
          <w:szCs w:val="30"/>
        </w:rPr>
        <w:t>期货公司应对客户保证金进行压力测试，包括对客户保证金进行特定品种、特定价格、特定情景的压力测试等。</w:t>
      </w:r>
    </w:p>
    <w:p>
      <w:pPr>
        <w:spacing w:line="560" w:lineRule="exact"/>
        <w:ind w:firstLine="600" w:firstLineChars="200"/>
        <w:rPr>
          <w:rFonts w:eastAsia="方正仿宋简体"/>
          <w:sz w:val="30"/>
          <w:szCs w:val="30"/>
        </w:rPr>
      </w:pPr>
      <w:r>
        <w:rPr>
          <w:rFonts w:eastAsia="方正仿宋简体"/>
          <w:sz w:val="30"/>
          <w:szCs w:val="30"/>
        </w:rPr>
        <w:t>期货公司盘中应重视对一定程度虚值期权合约的实时监控。当标的证券价格发生较大变化、所持合约虚值程度发生较大变化或从虚值转为平值时，期货公司应对该情况下客户保证金变化进行压力测试或进行评估，以应对客户保证金大量不足的情形。</w:t>
      </w:r>
    </w:p>
    <w:p>
      <w:pPr>
        <w:keepNext/>
        <w:keepLines/>
        <w:numPr>
          <w:ilvl w:val="0"/>
          <w:numId w:val="57"/>
        </w:numPr>
        <w:spacing w:line="560" w:lineRule="exact"/>
        <w:ind w:left="0" w:firstLine="601" w:firstLineChars="200"/>
        <w:outlineLvl w:val="2"/>
        <w:rPr>
          <w:rFonts w:eastAsia="方正仿宋简体"/>
          <w:b/>
          <w:bCs/>
          <w:kern w:val="0"/>
          <w:sz w:val="30"/>
          <w:szCs w:val="30"/>
          <w:lang w:val="zh-CN" w:eastAsia="zh-CN"/>
        </w:rPr>
      </w:pPr>
      <w:r>
        <w:rPr>
          <w:rFonts w:eastAsia="方正仿宋简体"/>
          <w:b/>
          <w:sz w:val="30"/>
          <w:szCs w:val="30"/>
        </w:rPr>
        <w:t>其他</w:t>
      </w:r>
    </w:p>
    <w:p>
      <w:pPr>
        <w:spacing w:line="560" w:lineRule="exact"/>
        <w:ind w:firstLine="600" w:firstLineChars="200"/>
        <w:rPr>
          <w:rFonts w:eastAsia="方正仿宋简体"/>
          <w:sz w:val="30"/>
          <w:szCs w:val="30"/>
        </w:rPr>
      </w:pPr>
      <w:r>
        <w:rPr>
          <w:rFonts w:eastAsia="方正仿宋简体"/>
          <w:sz w:val="30"/>
          <w:szCs w:val="30"/>
        </w:rPr>
        <w:t>期货公司可建立保证金分级管理与收取办法。一方面，期货公司可根据投资者信用情况、业务权限和交易级别等收取不同程度保证金；另一方面，期货公司对于自身风险管理能力较强、信誉良好的客户，在充分了解客户，并由客户签署调整保证金申请表和承诺书的情况下，可执行特殊保证金标准，但不低于《风控办法》规定的保证金收取标准。</w:t>
      </w:r>
    </w:p>
    <w:p>
      <w:pPr>
        <w:spacing w:line="560" w:lineRule="exact"/>
        <w:ind w:firstLine="600" w:firstLineChars="200"/>
        <w:rPr>
          <w:rFonts w:eastAsia="方正仿宋简体"/>
          <w:sz w:val="30"/>
          <w:szCs w:val="30"/>
        </w:rPr>
      </w:pPr>
      <w:r>
        <w:rPr>
          <w:rFonts w:eastAsia="方正仿宋简体"/>
          <w:sz w:val="30"/>
          <w:szCs w:val="30"/>
        </w:rPr>
        <w:t>临近行权日（包括行权日），为了防范客户在交收日出现交收违约风险，期货公司可以提高客户当月合约开仓保证金和维持保证金的收取比例。</w:t>
      </w:r>
    </w:p>
    <w:p>
      <w:pPr>
        <w:numPr>
          <w:ilvl w:val="0"/>
          <w:numId w:val="56"/>
        </w:numPr>
        <w:spacing w:line="560" w:lineRule="exact"/>
        <w:ind w:left="0" w:firstLine="601" w:firstLineChars="200"/>
        <w:outlineLvl w:val="1"/>
        <w:rPr>
          <w:rFonts w:eastAsia="方正仿宋简体"/>
          <w:b/>
          <w:bCs/>
          <w:kern w:val="0"/>
          <w:sz w:val="30"/>
          <w:szCs w:val="30"/>
          <w:lang w:val="zh-CN" w:eastAsia="zh-CN"/>
        </w:rPr>
      </w:pPr>
      <w:bookmarkStart w:id="142" w:name="_Toc25842003"/>
      <w:bookmarkStart w:id="143" w:name="_Toc437542884"/>
      <w:r>
        <w:rPr>
          <w:rFonts w:eastAsia="方正仿宋简体"/>
          <w:b/>
          <w:bCs/>
          <w:kern w:val="0"/>
          <w:sz w:val="30"/>
          <w:szCs w:val="30"/>
          <w:lang w:val="zh-CN" w:eastAsia="zh-CN"/>
        </w:rPr>
        <w:t>备兑开仓客户保证金管理</w:t>
      </w:r>
      <w:bookmarkEnd w:id="142"/>
      <w:bookmarkEnd w:id="143"/>
    </w:p>
    <w:p>
      <w:pPr>
        <w:spacing w:line="560" w:lineRule="exact"/>
        <w:ind w:firstLine="600" w:firstLineChars="200"/>
        <w:rPr>
          <w:rFonts w:eastAsia="方正仿宋简体"/>
          <w:sz w:val="30"/>
          <w:szCs w:val="30"/>
        </w:rPr>
      </w:pPr>
      <w:r>
        <w:rPr>
          <w:rFonts w:eastAsia="方正仿宋简体"/>
          <w:sz w:val="30"/>
          <w:szCs w:val="30"/>
        </w:rPr>
        <w:t>中国结算在日终结算时对备兑证券不足的备兑仓转为普通仓。如果投资者未及时补足备兑证券，也未持有足够的转为普通仓所需要的保证金，同时也未自行平仓，期货公司会存在为客户保证金垫资的风险。期货公司应做好备兑不足的监控和提醒工作。</w:t>
      </w:r>
    </w:p>
    <w:p>
      <w:pPr>
        <w:keepNext/>
        <w:keepLines/>
        <w:numPr>
          <w:ilvl w:val="0"/>
          <w:numId w:val="69"/>
        </w:numPr>
        <w:spacing w:line="560" w:lineRule="exact"/>
        <w:ind w:left="0" w:firstLine="601" w:firstLineChars="200"/>
        <w:outlineLvl w:val="2"/>
        <w:rPr>
          <w:rFonts w:eastAsia="方正仿宋简体"/>
          <w:b/>
          <w:bCs/>
          <w:kern w:val="0"/>
          <w:sz w:val="30"/>
          <w:szCs w:val="30"/>
          <w:lang w:val="zh-CN" w:eastAsia="zh-CN"/>
        </w:rPr>
      </w:pPr>
      <w:r>
        <w:rPr>
          <w:rFonts w:eastAsia="方正仿宋简体"/>
          <w:b/>
          <w:sz w:val="30"/>
          <w:szCs w:val="30"/>
        </w:rPr>
        <w:t>对因除权除息引起客户备兑证券不足的监控</w:t>
      </w:r>
    </w:p>
    <w:p>
      <w:pPr>
        <w:numPr>
          <w:ilvl w:val="0"/>
          <w:numId w:val="70"/>
        </w:numPr>
        <w:spacing w:line="560" w:lineRule="exact"/>
        <w:ind w:left="0" w:firstLine="601" w:firstLineChars="200"/>
        <w:outlineLvl w:val="3"/>
        <w:rPr>
          <w:rFonts w:eastAsia="方正仿宋简体"/>
          <w:b/>
          <w:bCs/>
          <w:kern w:val="0"/>
          <w:sz w:val="30"/>
          <w:szCs w:val="30"/>
          <w:lang w:val="zh-CN" w:eastAsia="zh-CN"/>
        </w:rPr>
      </w:pPr>
      <w:r>
        <w:rPr>
          <w:rFonts w:eastAsia="方正仿宋简体"/>
          <w:b/>
          <w:kern w:val="0"/>
          <w:sz w:val="30"/>
          <w:szCs w:val="30"/>
          <w:lang w:val="zh-CN" w:eastAsia="zh-CN"/>
        </w:rPr>
        <w:t>事前通知</w:t>
      </w:r>
    </w:p>
    <w:p>
      <w:pPr>
        <w:spacing w:line="560" w:lineRule="exact"/>
        <w:ind w:firstLine="600" w:firstLineChars="200"/>
        <w:rPr>
          <w:rFonts w:eastAsia="方正仿宋简体"/>
          <w:sz w:val="30"/>
          <w:szCs w:val="30"/>
        </w:rPr>
      </w:pPr>
      <w:r>
        <w:rPr>
          <w:rFonts w:eastAsia="方正仿宋简体"/>
          <w:sz w:val="30"/>
          <w:szCs w:val="30"/>
        </w:rPr>
        <w:t>除权除息日前一日，期货公司应提醒客户合约标的将进行除权除息，将按调整后合约单位重新锁定备兑证券。日终结算后，针对持有备兑仓的投资者，期货公司应及时通知客户备兑不足的证券缺口并提醒客户及时补足证券。对于没有涉及分红的权益变更，期货公司可以提早对客户进行通知提醒，包括合约单位和行权价格变更信息等。</w:t>
      </w:r>
    </w:p>
    <w:p>
      <w:pPr>
        <w:numPr>
          <w:ilvl w:val="0"/>
          <w:numId w:val="70"/>
        </w:numPr>
        <w:spacing w:line="560" w:lineRule="exact"/>
        <w:ind w:left="0" w:firstLine="601" w:firstLineChars="200"/>
        <w:outlineLvl w:val="3"/>
        <w:rPr>
          <w:rFonts w:eastAsia="方正仿宋简体"/>
          <w:b/>
          <w:bCs/>
          <w:kern w:val="0"/>
          <w:sz w:val="30"/>
          <w:szCs w:val="30"/>
          <w:lang w:val="zh-CN" w:eastAsia="zh-CN"/>
        </w:rPr>
      </w:pPr>
      <w:r>
        <w:rPr>
          <w:rFonts w:eastAsia="方正仿宋简体"/>
          <w:b/>
          <w:kern w:val="0"/>
          <w:sz w:val="30"/>
          <w:szCs w:val="30"/>
          <w:lang w:val="zh-CN" w:eastAsia="zh-CN"/>
        </w:rPr>
        <w:t>盘中监控</w:t>
      </w:r>
    </w:p>
    <w:p>
      <w:pPr>
        <w:spacing w:line="560" w:lineRule="exact"/>
        <w:ind w:firstLine="600" w:firstLineChars="200"/>
        <w:rPr>
          <w:rFonts w:eastAsia="方正仿宋简体"/>
          <w:sz w:val="30"/>
          <w:szCs w:val="30"/>
        </w:rPr>
      </w:pPr>
      <w:r>
        <w:rPr>
          <w:rFonts w:eastAsia="方正仿宋简体"/>
          <w:sz w:val="30"/>
          <w:szCs w:val="30"/>
        </w:rPr>
        <w:t>除权除息日，期货公司应在规定时间（比如上午一次、下午一次等）对备兑开仓客户的备兑证券数量进行监控，监控指标为盘中客户备兑证券不足数量。期货公司可以与客户在期权经纪合同中约定，当客户盘中备兑证券不足时，期货公司可以冻结该客户证券账户中未锁定的合约标的证券；如客户证券账户中无合约标的证券或合约标的证券不足，期货公司应及时通知客户补足合约标的或自行平仓。</w:t>
      </w:r>
    </w:p>
    <w:p>
      <w:pPr>
        <w:spacing w:line="560" w:lineRule="exact"/>
        <w:ind w:firstLine="600" w:firstLineChars="200"/>
        <w:rPr>
          <w:rFonts w:eastAsia="方正仿宋简体"/>
          <w:sz w:val="30"/>
          <w:szCs w:val="30"/>
        </w:rPr>
      </w:pPr>
      <w:r>
        <w:rPr>
          <w:rFonts w:eastAsia="方正仿宋简体"/>
          <w:sz w:val="30"/>
          <w:szCs w:val="30"/>
        </w:rPr>
        <w:t>当盘中客户标的证券数量小于备兑开仓所需合约标的数量时，对于该证券对应的期权合约不得进行备兑新开仓。</w:t>
      </w:r>
    </w:p>
    <w:p>
      <w:pPr>
        <w:numPr>
          <w:ilvl w:val="0"/>
          <w:numId w:val="70"/>
        </w:numPr>
        <w:spacing w:line="560" w:lineRule="exact"/>
        <w:ind w:left="0" w:firstLine="601" w:firstLineChars="200"/>
        <w:outlineLvl w:val="3"/>
        <w:rPr>
          <w:rFonts w:eastAsia="方正仿宋简体"/>
          <w:b/>
          <w:bCs/>
          <w:kern w:val="0"/>
          <w:sz w:val="30"/>
          <w:szCs w:val="30"/>
          <w:lang w:val="zh-CN" w:eastAsia="zh-CN"/>
        </w:rPr>
      </w:pPr>
      <w:r>
        <w:rPr>
          <w:rFonts w:eastAsia="方正仿宋简体"/>
          <w:b/>
          <w:kern w:val="0"/>
          <w:sz w:val="30"/>
          <w:szCs w:val="30"/>
          <w:lang w:val="zh-CN" w:eastAsia="zh-CN"/>
        </w:rPr>
        <w:t>盘后监控</w:t>
      </w:r>
    </w:p>
    <w:p>
      <w:pPr>
        <w:spacing w:line="560" w:lineRule="exact"/>
        <w:ind w:firstLine="600" w:firstLineChars="200"/>
        <w:rPr>
          <w:rFonts w:eastAsia="方正仿宋简体"/>
          <w:sz w:val="30"/>
          <w:szCs w:val="30"/>
        </w:rPr>
      </w:pPr>
      <w:r>
        <w:rPr>
          <w:rFonts w:eastAsia="方正仿宋简体"/>
          <w:sz w:val="30"/>
          <w:szCs w:val="30"/>
        </w:rPr>
        <w:t>除权除息日，期货公司应对备兑开仓客户的标的证券进行逐日盯市。收盘后，对于仍存在备兑证券缺口的客户，对备兑证券不足部分对应的备兑合约转为普通仓，按照普通义务仓合约的监控流程处理。</w:t>
      </w:r>
    </w:p>
    <w:p>
      <w:pPr>
        <w:keepNext/>
        <w:keepLines/>
        <w:numPr>
          <w:ilvl w:val="0"/>
          <w:numId w:val="69"/>
        </w:numPr>
        <w:spacing w:line="560" w:lineRule="exact"/>
        <w:ind w:left="0" w:firstLine="601" w:firstLineChars="200"/>
        <w:outlineLvl w:val="2"/>
        <w:rPr>
          <w:rFonts w:eastAsia="方正仿宋简体"/>
          <w:b/>
          <w:bCs/>
          <w:kern w:val="0"/>
          <w:sz w:val="30"/>
          <w:szCs w:val="30"/>
          <w:lang w:val="zh-CN" w:eastAsia="zh-CN"/>
        </w:rPr>
      </w:pPr>
      <w:r>
        <w:rPr>
          <w:rFonts w:eastAsia="方正仿宋简体"/>
          <w:b/>
          <w:sz w:val="30"/>
          <w:szCs w:val="30"/>
        </w:rPr>
        <w:t>其他情况引起客户备兑证券不足的监控</w:t>
      </w:r>
    </w:p>
    <w:p>
      <w:pPr>
        <w:spacing w:line="560" w:lineRule="exact"/>
        <w:ind w:firstLine="600" w:firstLineChars="200"/>
        <w:rPr>
          <w:rFonts w:eastAsia="方正仿宋简体"/>
          <w:sz w:val="30"/>
          <w:szCs w:val="30"/>
        </w:rPr>
      </w:pPr>
      <w:r>
        <w:rPr>
          <w:rFonts w:eastAsia="方正仿宋简体"/>
          <w:sz w:val="30"/>
          <w:szCs w:val="30"/>
        </w:rPr>
        <w:t>行权日日终，期货公司应按中国结算下发行权指派数据，监控客户是否应付券不足，及时向客户提醒并说明备兑证券将被用于交收而导致备兑证券不足。</w:t>
      </w:r>
    </w:p>
    <w:p>
      <w:pPr>
        <w:spacing w:line="560" w:lineRule="exact"/>
        <w:ind w:firstLine="600" w:firstLineChars="200"/>
        <w:rPr>
          <w:rFonts w:eastAsia="方正仿宋简体"/>
          <w:sz w:val="30"/>
          <w:szCs w:val="30"/>
        </w:rPr>
      </w:pPr>
      <w:r>
        <w:rPr>
          <w:rFonts w:eastAsia="方正仿宋简体"/>
          <w:sz w:val="30"/>
          <w:szCs w:val="30"/>
        </w:rPr>
        <w:t>交收日日终，客户应付券不足时，中国结算将使用备兑证券用于交收，从而导致该客户备兑证券不足，并对备兑证券不足部分对应的备兑合约转为普通仓，期货公司按照普通义务仓合约的监控流程处理。</w:t>
      </w:r>
    </w:p>
    <w:p>
      <w:pPr>
        <w:keepNext/>
        <w:keepLines/>
        <w:numPr>
          <w:ilvl w:val="0"/>
          <w:numId w:val="69"/>
        </w:numPr>
        <w:spacing w:line="560" w:lineRule="exact"/>
        <w:ind w:left="0" w:firstLine="601" w:firstLineChars="200"/>
        <w:outlineLvl w:val="2"/>
        <w:rPr>
          <w:rFonts w:eastAsia="方正仿宋简体"/>
          <w:b/>
          <w:bCs/>
          <w:kern w:val="0"/>
          <w:sz w:val="30"/>
          <w:szCs w:val="30"/>
          <w:lang w:val="zh-CN" w:eastAsia="zh-CN"/>
        </w:rPr>
      </w:pPr>
      <w:r>
        <w:rPr>
          <w:rFonts w:eastAsia="方正仿宋简体"/>
          <w:b/>
          <w:sz w:val="30"/>
          <w:szCs w:val="30"/>
        </w:rPr>
        <w:t>盘中代为锁定</w:t>
      </w:r>
    </w:p>
    <w:p>
      <w:pPr>
        <w:spacing w:line="560" w:lineRule="exact"/>
        <w:ind w:firstLine="600" w:firstLineChars="200"/>
        <w:rPr>
          <w:rFonts w:eastAsia="方正仿宋简体"/>
          <w:sz w:val="30"/>
          <w:szCs w:val="30"/>
        </w:rPr>
      </w:pPr>
      <w:r>
        <w:rPr>
          <w:rFonts w:eastAsia="方正仿宋简体"/>
          <w:sz w:val="30"/>
          <w:szCs w:val="30"/>
        </w:rPr>
        <w:t>期货公司可以与客户在期权经纪合同中约定，客户备兑证券不足时，期货公司可盘中冻结或锁定其证券账户里的相应数量的合约标的，避免客户发生备兑证券不足而转为普通仓造成的风险（具体执行条件与时间以期货公司与客户签订的风险揭示书、经纪合同为准）。</w:t>
      </w:r>
    </w:p>
    <w:p>
      <w:pPr>
        <w:numPr>
          <w:ilvl w:val="0"/>
          <w:numId w:val="56"/>
        </w:numPr>
        <w:spacing w:line="560" w:lineRule="exact"/>
        <w:ind w:left="0" w:firstLine="601" w:firstLineChars="200"/>
        <w:outlineLvl w:val="1"/>
        <w:rPr>
          <w:rFonts w:eastAsia="方正仿宋简体"/>
          <w:b/>
          <w:bCs/>
          <w:kern w:val="0"/>
          <w:sz w:val="30"/>
          <w:szCs w:val="30"/>
          <w:lang w:val="zh-CN" w:eastAsia="zh-CN"/>
        </w:rPr>
      </w:pPr>
      <w:bookmarkStart w:id="144" w:name="_Toc25842004"/>
      <w:r>
        <w:rPr>
          <w:rFonts w:eastAsia="方正仿宋简体"/>
          <w:b/>
          <w:bCs/>
          <w:kern w:val="0"/>
          <w:sz w:val="30"/>
          <w:szCs w:val="30"/>
          <w:lang w:val="zh-CN" w:eastAsia="zh-CN"/>
        </w:rPr>
        <w:t>组合策略保证金管理</w:t>
      </w:r>
      <w:bookmarkEnd w:id="144"/>
    </w:p>
    <w:p>
      <w:pPr>
        <w:spacing w:line="560" w:lineRule="exact"/>
        <w:ind w:firstLine="600" w:firstLineChars="200"/>
        <w:rPr>
          <w:rFonts w:eastAsia="方正仿宋简体"/>
          <w:sz w:val="30"/>
          <w:szCs w:val="30"/>
        </w:rPr>
      </w:pPr>
      <w:r>
        <w:rPr>
          <w:rFonts w:eastAsia="方正仿宋简体"/>
          <w:sz w:val="30"/>
          <w:szCs w:val="30"/>
        </w:rPr>
        <w:t>期货公司可以根据客户的资信状况、历史风险记录等要素决定是否为客户提供组合策略保证金。对于构建的组合策略，期货公司收取的保证金不得低于交易所收取的保证金。</w:t>
      </w:r>
    </w:p>
    <w:p>
      <w:pPr>
        <w:spacing w:line="560" w:lineRule="exact"/>
        <w:ind w:firstLine="600" w:firstLineChars="200"/>
        <w:rPr>
          <w:rFonts w:eastAsia="方正仿宋简体"/>
          <w:sz w:val="30"/>
          <w:szCs w:val="30"/>
        </w:rPr>
      </w:pPr>
      <w:r>
        <w:rPr>
          <w:rFonts w:eastAsia="方正仿宋简体"/>
          <w:sz w:val="30"/>
          <w:szCs w:val="30"/>
        </w:rPr>
        <w:t>期货公司应通过期权经纪合同或其他方式，与客户约定组合策略保证金的相关事项，</w:t>
      </w:r>
      <w:r>
        <w:rPr>
          <w:rFonts w:hint="eastAsia" w:eastAsia="方正仿宋简体"/>
          <w:sz w:val="30"/>
          <w:szCs w:val="30"/>
          <w:lang w:eastAsia="zh-CN"/>
        </w:rPr>
        <w:t>包括但不限于</w:t>
      </w:r>
      <w:r>
        <w:rPr>
          <w:rFonts w:eastAsia="方正仿宋简体"/>
          <w:sz w:val="30"/>
          <w:szCs w:val="30"/>
        </w:rPr>
        <w:t>自动解除时增加保证金、保证金不足时组合持仓可能无法解除、组合持仓可能被强行平仓、组合持仓自动解除后被指派行权风险等。</w:t>
      </w:r>
    </w:p>
    <w:p>
      <w:pPr>
        <w:keepNext/>
        <w:keepLines/>
        <w:numPr>
          <w:ilvl w:val="0"/>
          <w:numId w:val="71"/>
        </w:numPr>
        <w:spacing w:line="560" w:lineRule="exact"/>
        <w:ind w:left="0" w:firstLine="601" w:firstLineChars="200"/>
        <w:outlineLvl w:val="2"/>
        <w:rPr>
          <w:rFonts w:eastAsia="方正仿宋简体"/>
          <w:b/>
          <w:sz w:val="30"/>
          <w:szCs w:val="30"/>
        </w:rPr>
      </w:pPr>
      <w:r>
        <w:rPr>
          <w:rFonts w:eastAsia="方正仿宋简体"/>
          <w:b/>
          <w:sz w:val="30"/>
          <w:szCs w:val="30"/>
        </w:rPr>
        <w:t>前端控制</w:t>
      </w:r>
    </w:p>
    <w:p>
      <w:pPr>
        <w:spacing w:line="560" w:lineRule="exact"/>
        <w:ind w:firstLine="600" w:firstLineChars="200"/>
        <w:rPr>
          <w:rFonts w:eastAsia="方正仿宋简体"/>
          <w:sz w:val="30"/>
          <w:szCs w:val="30"/>
        </w:rPr>
      </w:pPr>
      <w:r>
        <w:rPr>
          <w:rFonts w:eastAsia="方正仿宋简体"/>
          <w:sz w:val="30"/>
          <w:szCs w:val="30"/>
        </w:rPr>
        <w:t>期货公司应对客户构建、解除组合策略、普通转备兑仓及备兑转普通仓等委托指令进行前端控制。</w:t>
      </w:r>
    </w:p>
    <w:p>
      <w:pPr>
        <w:spacing w:line="560" w:lineRule="exact"/>
        <w:ind w:firstLine="600" w:firstLineChars="200"/>
        <w:rPr>
          <w:rFonts w:eastAsia="方正仿宋简体"/>
          <w:sz w:val="30"/>
          <w:szCs w:val="30"/>
        </w:rPr>
      </w:pPr>
      <w:r>
        <w:rPr>
          <w:rFonts w:eastAsia="方正仿宋简体"/>
          <w:sz w:val="30"/>
          <w:szCs w:val="30"/>
        </w:rPr>
        <w:t>客户出现构建、解除的组合策略类型、成分合约不符合规定、保证金可用余额不足、用于备兑锁定的合约标的不足等情形的，期货公司不得接受其提交的相应委托指令。</w:t>
      </w:r>
    </w:p>
    <w:p>
      <w:pPr>
        <w:spacing w:line="560" w:lineRule="exact"/>
        <w:ind w:firstLine="600" w:firstLineChars="200"/>
        <w:rPr>
          <w:rFonts w:eastAsia="方正仿宋简体"/>
          <w:sz w:val="30"/>
          <w:szCs w:val="30"/>
        </w:rPr>
      </w:pPr>
      <w:r>
        <w:rPr>
          <w:rFonts w:eastAsia="方正仿宋简体"/>
          <w:sz w:val="30"/>
          <w:szCs w:val="30"/>
        </w:rPr>
        <w:t>对于提交备兑转普通仓委托指令的客户，期货公司需确保其满足三级交易权限且用于保证金卖出开仓的客户保证金账户资金足额。</w:t>
      </w:r>
    </w:p>
    <w:p>
      <w:pPr>
        <w:keepNext/>
        <w:keepLines/>
        <w:numPr>
          <w:ilvl w:val="0"/>
          <w:numId w:val="71"/>
        </w:numPr>
        <w:spacing w:line="560" w:lineRule="exact"/>
        <w:ind w:left="0" w:firstLine="601" w:firstLineChars="200"/>
        <w:outlineLvl w:val="2"/>
        <w:rPr>
          <w:rFonts w:eastAsia="方正仿宋简体"/>
          <w:b/>
          <w:sz w:val="30"/>
          <w:szCs w:val="30"/>
        </w:rPr>
      </w:pPr>
      <w:r>
        <w:rPr>
          <w:rFonts w:eastAsia="方正仿宋简体"/>
          <w:b/>
          <w:sz w:val="30"/>
          <w:szCs w:val="30"/>
        </w:rPr>
        <w:t>自动解除</w:t>
      </w:r>
    </w:p>
    <w:p>
      <w:pPr>
        <w:spacing w:line="560" w:lineRule="exact"/>
        <w:ind w:firstLine="600" w:firstLineChars="200"/>
        <w:rPr>
          <w:rFonts w:eastAsia="方正仿宋简体"/>
          <w:sz w:val="30"/>
          <w:szCs w:val="30"/>
        </w:rPr>
      </w:pPr>
      <w:r>
        <w:rPr>
          <w:rFonts w:eastAsia="方正仿宋简体"/>
          <w:sz w:val="30"/>
          <w:szCs w:val="30"/>
        </w:rPr>
        <w:t>期货公司应当做好组合策略自动解除时的风险控制工作，在组合策略自动解除日前2-3日检查客户保证金可用余额，预估资金风险，提前做好资金准备，确保保证金账户资金足额。</w:t>
      </w:r>
    </w:p>
    <w:p>
      <w:pPr>
        <w:spacing w:line="560" w:lineRule="exact"/>
        <w:ind w:firstLine="600" w:firstLineChars="200"/>
        <w:rPr>
          <w:rFonts w:eastAsia="方正仿宋简体"/>
          <w:sz w:val="30"/>
          <w:szCs w:val="30"/>
        </w:rPr>
      </w:pPr>
      <w:r>
        <w:rPr>
          <w:rFonts w:eastAsia="方正仿宋简体"/>
          <w:sz w:val="30"/>
          <w:szCs w:val="30"/>
        </w:rPr>
        <w:t>对于E-2日日终，交易所自动解除的价差组合策略，期货公司应至少在自动解除日前3天通过短信、邮件、交易客户端（不少于两种方式）向客户提示组合策略自动解除时保证金增加的风险，要求客户及时追加保证金。</w:t>
      </w:r>
    </w:p>
    <w:p>
      <w:pPr>
        <w:spacing w:line="560" w:lineRule="exact"/>
        <w:ind w:firstLine="600" w:firstLineChars="200"/>
        <w:rPr>
          <w:rFonts w:eastAsia="方正仿宋简体"/>
          <w:sz w:val="30"/>
          <w:szCs w:val="30"/>
        </w:rPr>
      </w:pPr>
      <w:r>
        <w:rPr>
          <w:rFonts w:eastAsia="方正仿宋简体"/>
          <w:sz w:val="30"/>
          <w:szCs w:val="30"/>
        </w:rPr>
        <w:t>对于E日日终交易所自动解除的跨式和宽跨式组合策略，期货公司应至少在E-2日起通过短信、邮件、交易客户端（不少于两种方式）向客户提示E日收盘后组合策略被行权指派的风险，提示客户提前准备资金或证券进行行权交割，或者提前解除组合并平仓。</w:t>
      </w:r>
    </w:p>
    <w:p>
      <w:pPr>
        <w:spacing w:line="560" w:lineRule="exact"/>
        <w:ind w:firstLine="600" w:firstLineChars="200"/>
        <w:rPr>
          <w:rFonts w:eastAsia="方正仿宋简体"/>
          <w:sz w:val="30"/>
          <w:szCs w:val="30"/>
        </w:rPr>
      </w:pPr>
      <w:r>
        <w:rPr>
          <w:rFonts w:eastAsia="方正仿宋简体"/>
          <w:sz w:val="30"/>
          <w:szCs w:val="30"/>
        </w:rPr>
        <w:t>对于预估自动解除日组合策略持仓账户资金不足的或行权日被指派交收的，期货公司可以在E-2日之前要求客户解除组合策略，或者提前按照组合策略各成分合约保证金合计收取保证金。</w:t>
      </w:r>
    </w:p>
    <w:p>
      <w:pPr>
        <w:keepNext/>
        <w:keepLines/>
        <w:numPr>
          <w:ilvl w:val="0"/>
          <w:numId w:val="71"/>
        </w:numPr>
        <w:spacing w:line="560" w:lineRule="exact"/>
        <w:ind w:left="0" w:firstLine="601" w:firstLineChars="200"/>
        <w:outlineLvl w:val="2"/>
        <w:rPr>
          <w:rFonts w:eastAsia="方正仿宋简体"/>
          <w:b/>
          <w:sz w:val="30"/>
          <w:szCs w:val="30"/>
        </w:rPr>
      </w:pPr>
      <w:r>
        <w:rPr>
          <w:rFonts w:eastAsia="方正仿宋简体"/>
          <w:b/>
          <w:sz w:val="30"/>
          <w:szCs w:val="30"/>
        </w:rPr>
        <w:t>垫资解除组合</w:t>
      </w:r>
    </w:p>
    <w:p>
      <w:pPr>
        <w:spacing w:line="560" w:lineRule="exact"/>
        <w:ind w:firstLine="600" w:firstLineChars="200"/>
        <w:rPr>
          <w:rFonts w:eastAsia="方正仿宋简体"/>
          <w:sz w:val="30"/>
          <w:szCs w:val="30"/>
        </w:rPr>
      </w:pPr>
      <w:r>
        <w:rPr>
          <w:rFonts w:eastAsia="方正仿宋简体"/>
          <w:sz w:val="30"/>
          <w:szCs w:val="30"/>
        </w:rPr>
        <w:t>如市场行情变化，客户需要资金立即解除组合并平仓的，期货公司可以根据客户的资信状况、历史风险记录等要素决定是否为客户垫资解除组合。垫资解除组合后，期货公司应严格做好客户的风险管理工作。</w:t>
      </w:r>
    </w:p>
    <w:p>
      <w:pPr>
        <w:keepNext/>
        <w:keepLines/>
        <w:numPr>
          <w:ilvl w:val="0"/>
          <w:numId w:val="71"/>
        </w:numPr>
        <w:spacing w:line="560" w:lineRule="exact"/>
        <w:ind w:left="0" w:firstLine="601" w:firstLineChars="200"/>
        <w:outlineLvl w:val="2"/>
        <w:rPr>
          <w:rFonts w:eastAsia="方正仿宋简体"/>
          <w:b/>
          <w:sz w:val="30"/>
          <w:szCs w:val="30"/>
        </w:rPr>
      </w:pPr>
      <w:r>
        <w:rPr>
          <w:rFonts w:eastAsia="方正仿宋简体"/>
          <w:b/>
          <w:sz w:val="30"/>
          <w:szCs w:val="30"/>
        </w:rPr>
        <w:t>组合策略强行平仓</w:t>
      </w:r>
    </w:p>
    <w:p>
      <w:pPr>
        <w:spacing w:line="560" w:lineRule="exact"/>
        <w:ind w:firstLine="600" w:firstLineChars="200"/>
        <w:rPr>
          <w:rFonts w:eastAsia="方正仿宋简体"/>
          <w:sz w:val="30"/>
          <w:szCs w:val="30"/>
        </w:rPr>
      </w:pPr>
      <w:r>
        <w:rPr>
          <w:rFonts w:eastAsia="方正仿宋简体"/>
          <w:sz w:val="30"/>
          <w:szCs w:val="30"/>
        </w:rPr>
        <w:t>期货公司对其客户账户的组合策略实施强行平仓的，需先提交解除组合策略申报，校验通过后再对组合策略中的持仓进行强行平仓，期货公司应确保解除时结算参与人保证金账户资金足额。</w:t>
      </w:r>
    </w:p>
    <w:p>
      <w:pPr>
        <w:spacing w:line="560" w:lineRule="exact"/>
        <w:ind w:firstLine="600" w:firstLineChars="200"/>
        <w:rPr>
          <w:rFonts w:eastAsia="方正仿宋简体"/>
          <w:sz w:val="30"/>
          <w:szCs w:val="30"/>
        </w:rPr>
      </w:pPr>
    </w:p>
    <w:p>
      <w:pPr>
        <w:keepNext w:val="0"/>
        <w:keepLines w:val="0"/>
        <w:pageBreakBefore w:val="0"/>
        <w:widowControl w:val="0"/>
        <w:numPr>
          <w:ilvl w:val="0"/>
          <w:numId w:val="16"/>
        </w:numPr>
        <w:kinsoku/>
        <w:wordWrap/>
        <w:overflowPunct/>
        <w:topLinePunct w:val="0"/>
        <w:autoSpaceDE/>
        <w:autoSpaceDN/>
        <w:bidi w:val="0"/>
        <w:adjustRightInd/>
        <w:snapToGrid/>
        <w:spacing w:line="560" w:lineRule="exact"/>
        <w:ind w:left="0" w:firstLine="0" w:firstLineChars="0"/>
        <w:jc w:val="center"/>
        <w:textAlignment w:val="auto"/>
        <w:outlineLvl w:val="0"/>
        <w:rPr>
          <w:rFonts w:ascii="黑体" w:hAnsi="黑体" w:eastAsia="黑体"/>
          <w:bCs/>
          <w:sz w:val="30"/>
          <w:szCs w:val="30"/>
        </w:rPr>
      </w:pPr>
      <w:r>
        <w:rPr>
          <w:rFonts w:eastAsia="方正仿宋简体"/>
          <w:b/>
          <w:bCs/>
          <w:sz w:val="30"/>
          <w:szCs w:val="30"/>
        </w:rPr>
        <w:br w:type="page"/>
      </w:r>
      <w:bookmarkStart w:id="145" w:name="_Toc437542885"/>
      <w:bookmarkStart w:id="146" w:name="_Toc25842005"/>
      <w:r>
        <w:rPr>
          <w:rFonts w:ascii="黑体" w:hAnsi="黑体" w:eastAsia="黑体"/>
          <w:bCs/>
          <w:sz w:val="30"/>
          <w:szCs w:val="30"/>
        </w:rPr>
        <w:t>资金风险管理</w:t>
      </w:r>
      <w:bookmarkEnd w:id="145"/>
      <w:bookmarkEnd w:id="146"/>
    </w:p>
    <w:p>
      <w:pPr>
        <w:spacing w:line="560" w:lineRule="exact"/>
        <w:ind w:firstLine="600" w:firstLineChars="200"/>
        <w:rPr>
          <w:rFonts w:eastAsia="方正仿宋简体"/>
          <w:sz w:val="30"/>
          <w:szCs w:val="30"/>
        </w:rPr>
      </w:pPr>
      <w:r>
        <w:rPr>
          <w:rFonts w:eastAsia="方正仿宋简体"/>
          <w:sz w:val="30"/>
          <w:szCs w:val="30"/>
        </w:rPr>
        <w:t>为防止期货公司期权业务客户资金管理出现流动性风险，期货公司应对客户衍生品结算资金汇总账户和深市客户股票期权保证金账户（期货公司在中国结算深圳分公司处开立的保证金账户）的资金划拨进行盯市管理，并应在深市客户股票期权保证金账户中存入足额的结算准备金。</w:t>
      </w:r>
    </w:p>
    <w:p>
      <w:pPr>
        <w:spacing w:line="560" w:lineRule="exact"/>
        <w:ind w:firstLine="600" w:firstLineChars="200"/>
        <w:rPr>
          <w:rFonts w:eastAsia="方正仿宋简体"/>
          <w:sz w:val="30"/>
          <w:szCs w:val="30"/>
        </w:rPr>
      </w:pPr>
      <w:r>
        <w:rPr>
          <w:rFonts w:eastAsia="方正仿宋简体"/>
          <w:sz w:val="30"/>
          <w:szCs w:val="30"/>
        </w:rPr>
        <w:t>试点初期，中国结算暂不提供实时出金服务（保留技术实现渠道，具体业务启用时间以通知为准）。</w:t>
      </w:r>
    </w:p>
    <w:p>
      <w:pPr>
        <w:numPr>
          <w:ilvl w:val="0"/>
          <w:numId w:val="72"/>
        </w:numPr>
        <w:spacing w:line="560" w:lineRule="exact"/>
        <w:ind w:left="0" w:firstLine="601" w:firstLineChars="200"/>
        <w:outlineLvl w:val="1"/>
        <w:rPr>
          <w:rFonts w:eastAsia="方正仿宋简体"/>
          <w:b/>
          <w:bCs/>
          <w:kern w:val="0"/>
          <w:sz w:val="30"/>
          <w:szCs w:val="30"/>
          <w:lang w:val="zh-CN" w:eastAsia="zh-CN"/>
        </w:rPr>
      </w:pPr>
      <w:bookmarkStart w:id="147" w:name="_Toc437542886"/>
      <w:bookmarkStart w:id="148" w:name="_Toc25842006"/>
      <w:r>
        <w:rPr>
          <w:rFonts w:eastAsia="方正仿宋简体"/>
          <w:b/>
          <w:bCs/>
          <w:kern w:val="0"/>
          <w:sz w:val="30"/>
          <w:szCs w:val="30"/>
          <w:lang w:val="zh-CN" w:eastAsia="zh-CN"/>
        </w:rPr>
        <w:t>资金盯市管理</w:t>
      </w:r>
      <w:bookmarkEnd w:id="147"/>
      <w:bookmarkEnd w:id="148"/>
    </w:p>
    <w:p>
      <w:pPr>
        <w:keepNext/>
        <w:keepLines/>
        <w:numPr>
          <w:ilvl w:val="0"/>
          <w:numId w:val="73"/>
        </w:numPr>
        <w:spacing w:line="560" w:lineRule="exact"/>
        <w:ind w:left="0" w:firstLine="601" w:firstLineChars="200"/>
        <w:outlineLvl w:val="2"/>
        <w:rPr>
          <w:rFonts w:eastAsia="方正仿宋简体"/>
          <w:b/>
          <w:sz w:val="30"/>
          <w:szCs w:val="30"/>
        </w:rPr>
      </w:pPr>
      <w:r>
        <w:rPr>
          <w:rFonts w:eastAsia="方正仿宋简体"/>
          <w:b/>
          <w:sz w:val="30"/>
          <w:szCs w:val="30"/>
        </w:rPr>
        <w:t>资金盯市管理要求</w:t>
      </w:r>
    </w:p>
    <w:p>
      <w:pPr>
        <w:spacing w:line="560" w:lineRule="exact"/>
        <w:ind w:firstLine="600" w:firstLineChars="200"/>
        <w:rPr>
          <w:rFonts w:eastAsia="方正仿宋简体"/>
          <w:sz w:val="30"/>
          <w:szCs w:val="30"/>
        </w:rPr>
      </w:pPr>
      <w:r>
        <w:rPr>
          <w:rFonts w:eastAsia="方正仿宋简体"/>
          <w:sz w:val="30"/>
          <w:szCs w:val="30"/>
        </w:rPr>
        <w:t>资金盯市管理要求以保证客户的正常交易及公司的正常交收为首要目标，兼顾客户银衍转账的出金需求，期货公司应合理判断客户衍生品结算资金汇总账户与客户股票期权保证金账户之间的资金配置比例。</w:t>
      </w:r>
    </w:p>
    <w:p>
      <w:pPr>
        <w:spacing w:line="560" w:lineRule="exact"/>
        <w:ind w:firstLine="600" w:firstLineChars="200"/>
        <w:rPr>
          <w:rFonts w:eastAsia="方正仿宋简体"/>
          <w:sz w:val="30"/>
          <w:szCs w:val="30"/>
        </w:rPr>
      </w:pPr>
      <w:r>
        <w:rPr>
          <w:rFonts w:eastAsia="方正仿宋简体"/>
          <w:sz w:val="30"/>
          <w:szCs w:val="30"/>
        </w:rPr>
        <w:t>期货公司应及时掌握公司银行存款余额变化情况，做好银衍转账客户出入金的实时监控。</w:t>
      </w:r>
    </w:p>
    <w:p>
      <w:pPr>
        <w:spacing w:line="560" w:lineRule="exact"/>
        <w:ind w:firstLine="600" w:firstLineChars="200"/>
        <w:rPr>
          <w:rFonts w:eastAsia="方正仿宋简体"/>
          <w:sz w:val="30"/>
          <w:szCs w:val="30"/>
        </w:rPr>
      </w:pPr>
      <w:r>
        <w:rPr>
          <w:rFonts w:eastAsia="方正仿宋简体"/>
          <w:sz w:val="30"/>
          <w:szCs w:val="30"/>
        </w:rPr>
        <w:t>期货公司应根据客户持有期权合约义务仓情况和客户入金情况等，及时调度资金头寸，满足客户盘中正常开仓、期货公司盘后正常交收的要求。</w:t>
      </w:r>
    </w:p>
    <w:p>
      <w:pPr>
        <w:keepNext/>
        <w:keepLines/>
        <w:numPr>
          <w:ilvl w:val="0"/>
          <w:numId w:val="73"/>
        </w:numPr>
        <w:spacing w:line="560" w:lineRule="exact"/>
        <w:ind w:left="0" w:firstLine="601" w:firstLineChars="200"/>
        <w:outlineLvl w:val="2"/>
        <w:rPr>
          <w:rFonts w:eastAsia="方正仿宋简体"/>
          <w:b/>
          <w:sz w:val="30"/>
          <w:szCs w:val="30"/>
        </w:rPr>
      </w:pPr>
      <w:r>
        <w:rPr>
          <w:rFonts w:eastAsia="方正仿宋简体"/>
          <w:b/>
          <w:sz w:val="30"/>
          <w:szCs w:val="30"/>
        </w:rPr>
        <w:t>盘中保证金占用比例实时监控</w:t>
      </w:r>
    </w:p>
    <w:p>
      <w:pPr>
        <w:numPr>
          <w:ilvl w:val="0"/>
          <w:numId w:val="74"/>
        </w:numPr>
        <w:spacing w:line="560" w:lineRule="exact"/>
        <w:ind w:left="0" w:firstLine="601" w:firstLineChars="200"/>
        <w:outlineLvl w:val="3"/>
        <w:rPr>
          <w:rFonts w:eastAsia="方正仿宋简体"/>
          <w:b/>
          <w:bCs/>
          <w:kern w:val="0"/>
          <w:sz w:val="30"/>
          <w:szCs w:val="30"/>
          <w:lang w:val="zh-CN" w:eastAsia="zh-CN"/>
        </w:rPr>
      </w:pPr>
      <w:r>
        <w:rPr>
          <w:rFonts w:eastAsia="方正仿宋简体"/>
          <w:b/>
          <w:kern w:val="0"/>
          <w:sz w:val="30"/>
          <w:szCs w:val="30"/>
          <w:lang w:val="zh-CN" w:eastAsia="zh-CN"/>
        </w:rPr>
        <w:t>监控指标</w:t>
      </w:r>
    </w:p>
    <w:p>
      <w:pPr>
        <w:spacing w:line="560" w:lineRule="exact"/>
        <w:ind w:firstLine="600" w:firstLineChars="200"/>
        <w:rPr>
          <w:rFonts w:eastAsia="方正仿宋简体"/>
          <w:sz w:val="30"/>
          <w:szCs w:val="30"/>
        </w:rPr>
      </w:pPr>
      <w:r>
        <w:rPr>
          <w:rFonts w:eastAsia="方正仿宋简体"/>
          <w:sz w:val="30"/>
          <w:szCs w:val="30"/>
        </w:rPr>
        <w:t>期货公司应在盘中对保证金占用比例进行实时监控。</w:t>
      </w:r>
    </w:p>
    <w:p>
      <w:pPr>
        <w:spacing w:line="560" w:lineRule="exact"/>
        <w:ind w:firstLine="600" w:firstLineChars="200"/>
        <w:rPr>
          <w:rFonts w:eastAsia="方正仿宋简体"/>
          <w:sz w:val="30"/>
          <w:szCs w:val="30"/>
        </w:rPr>
      </w:pPr>
      <w:r>
        <w:rPr>
          <w:rFonts w:eastAsia="方正仿宋简体"/>
          <w:sz w:val="30"/>
          <w:szCs w:val="30"/>
        </w:rPr>
        <w:t>保证金占用比例=经纪业务已占用保证金/客户股票期权保证金账户总额</w:t>
      </w:r>
    </w:p>
    <w:p>
      <w:pPr>
        <w:spacing w:line="560" w:lineRule="exact"/>
        <w:ind w:firstLine="600" w:firstLineChars="200"/>
        <w:rPr>
          <w:rFonts w:eastAsia="方正仿宋简体"/>
          <w:sz w:val="30"/>
          <w:szCs w:val="30"/>
        </w:rPr>
      </w:pPr>
      <w:r>
        <w:rPr>
          <w:rFonts w:eastAsia="方正仿宋简体"/>
          <w:sz w:val="30"/>
          <w:szCs w:val="30"/>
        </w:rPr>
        <w:t>经纪业务已占用保证金：指根据《风控办法》规定的保证金公式和所司规定的收取水平，按照单个客户账户双向头寸未对冲的数据，计算所有客户占用的保证金总和，包括已成交的和已申报未成交的义务仓期权合约占用的保证金之和。</w:t>
      </w:r>
    </w:p>
    <w:p>
      <w:pPr>
        <w:spacing w:line="560" w:lineRule="exact"/>
        <w:ind w:firstLine="600" w:firstLineChars="200"/>
        <w:rPr>
          <w:rFonts w:eastAsia="方正仿宋简体"/>
          <w:sz w:val="30"/>
          <w:szCs w:val="30"/>
        </w:rPr>
      </w:pPr>
      <w:r>
        <w:rPr>
          <w:rFonts w:eastAsia="方正仿宋简体"/>
          <w:sz w:val="30"/>
          <w:szCs w:val="30"/>
        </w:rPr>
        <w:t>客户股票期权保证金账户总额：是期货公司存放在中国结算深圳分公司的，实时地用于其所有客户衍生品保证金管理的账户总金额。</w:t>
      </w:r>
    </w:p>
    <w:p>
      <w:pPr>
        <w:spacing w:line="560" w:lineRule="exact"/>
        <w:ind w:firstLine="600" w:firstLineChars="200"/>
        <w:rPr>
          <w:rFonts w:eastAsia="方正仿宋简体"/>
          <w:sz w:val="30"/>
          <w:szCs w:val="30"/>
        </w:rPr>
      </w:pPr>
      <w:r>
        <w:rPr>
          <w:rFonts w:eastAsia="方正仿宋简体"/>
          <w:sz w:val="30"/>
          <w:szCs w:val="30"/>
        </w:rPr>
        <w:t>客户衍生品结算资金汇总账户总额：是期货公司在具有衍生品结算资格的银行开立的，用于存放客户衍生品交易资金。</w:t>
      </w:r>
    </w:p>
    <w:p>
      <w:pPr>
        <w:spacing w:line="560" w:lineRule="exact"/>
        <w:ind w:firstLine="600" w:firstLineChars="200"/>
        <w:rPr>
          <w:rFonts w:eastAsia="方正仿宋简体"/>
          <w:sz w:val="30"/>
          <w:szCs w:val="30"/>
        </w:rPr>
      </w:pPr>
      <w:r>
        <w:rPr>
          <w:rFonts w:eastAsia="方正仿宋简体"/>
          <w:sz w:val="30"/>
          <w:szCs w:val="30"/>
        </w:rPr>
        <w:t>期货公司资金管理的主要目的是根据经纪业务已占用保证金的动态变化，将客户衍生品结算资金汇总账户的部分金额划拨至中国结算深圳分公司指定的客户股票期权保证金账户，一方面保证期货公司的所有客户的实际开仓规模的最大值与其存放的保证金总额一致；另一方面满足客户盘中出金需求，减少客户资金的盘中占用。</w:t>
      </w:r>
    </w:p>
    <w:p>
      <w:pPr>
        <w:numPr>
          <w:ilvl w:val="0"/>
          <w:numId w:val="74"/>
        </w:numPr>
        <w:spacing w:line="560" w:lineRule="exact"/>
        <w:ind w:left="0" w:firstLine="601" w:firstLineChars="200"/>
        <w:outlineLvl w:val="3"/>
        <w:rPr>
          <w:rFonts w:eastAsia="方正仿宋简体"/>
          <w:b/>
          <w:bCs/>
          <w:kern w:val="0"/>
          <w:sz w:val="30"/>
          <w:szCs w:val="30"/>
          <w:lang w:val="zh-CN" w:eastAsia="zh-CN"/>
        </w:rPr>
      </w:pPr>
      <w:r>
        <w:rPr>
          <w:rFonts w:eastAsia="方正仿宋简体"/>
          <w:b/>
          <w:kern w:val="0"/>
          <w:sz w:val="30"/>
          <w:szCs w:val="30"/>
          <w:lang w:val="zh-CN" w:eastAsia="zh-CN"/>
        </w:rPr>
        <w:t>资金警戒线和划拨线</w:t>
      </w:r>
    </w:p>
    <w:p>
      <w:pPr>
        <w:spacing w:line="560" w:lineRule="exact"/>
        <w:ind w:firstLine="600" w:firstLineChars="200"/>
        <w:rPr>
          <w:rFonts w:eastAsia="方正仿宋简体"/>
          <w:sz w:val="30"/>
          <w:szCs w:val="30"/>
        </w:rPr>
      </w:pPr>
      <w:r>
        <w:rPr>
          <w:rFonts w:eastAsia="方正仿宋简体"/>
          <w:sz w:val="30"/>
          <w:szCs w:val="30"/>
        </w:rPr>
        <w:t>期货公司可依据保证金占用比例分别设置资金警戒线、资金划拨线。</w:t>
      </w:r>
    </w:p>
    <w:p>
      <w:pPr>
        <w:numPr>
          <w:ilvl w:val="0"/>
          <w:numId w:val="75"/>
        </w:numPr>
        <w:spacing w:line="560" w:lineRule="exact"/>
        <w:ind w:firstLine="600" w:firstLineChars="200"/>
        <w:rPr>
          <w:rFonts w:eastAsia="方正仿宋简体"/>
          <w:sz w:val="30"/>
          <w:szCs w:val="30"/>
        </w:rPr>
      </w:pPr>
      <w:r>
        <w:rPr>
          <w:rFonts w:eastAsia="方正仿宋简体"/>
          <w:sz w:val="30"/>
          <w:szCs w:val="30"/>
        </w:rPr>
        <w:t>资金划拨线</w:t>
      </w:r>
    </w:p>
    <w:p>
      <w:pPr>
        <w:spacing w:line="560" w:lineRule="exact"/>
        <w:ind w:firstLine="600" w:firstLineChars="200"/>
        <w:rPr>
          <w:rFonts w:eastAsia="方正仿宋简体"/>
          <w:sz w:val="30"/>
          <w:szCs w:val="30"/>
        </w:rPr>
      </w:pPr>
      <w:r>
        <w:rPr>
          <w:rFonts w:eastAsia="方正仿宋简体"/>
          <w:sz w:val="30"/>
          <w:szCs w:val="30"/>
        </w:rPr>
        <w:t>当保证金占用比例等于一定比例（期货公司自定）时，比如当保证金占用比例=80%时，达到资金划拨线。</w:t>
      </w:r>
    </w:p>
    <w:p>
      <w:pPr>
        <w:spacing w:line="560" w:lineRule="exact"/>
        <w:ind w:firstLine="600" w:firstLineChars="200"/>
        <w:rPr>
          <w:rFonts w:eastAsia="方正仿宋简体"/>
          <w:sz w:val="30"/>
          <w:szCs w:val="30"/>
        </w:rPr>
      </w:pPr>
      <w:r>
        <w:rPr>
          <w:rFonts w:eastAsia="方正仿宋简体"/>
          <w:sz w:val="30"/>
          <w:szCs w:val="30"/>
        </w:rPr>
        <w:t>当盘中期货公司经纪业务保证金占用比例高于资金划拨线时，期货公司相关业务人员应及时向中国结算深圳分公司存管结算部门提出入金需求，将资金从客户衍生品结算资金汇总账户划转至客户股票期权保证金账户，注明</w:t>
      </w:r>
      <w:r>
        <w:rPr>
          <w:rFonts w:hint="eastAsia" w:ascii="方正仿宋简体" w:eastAsia="方正仿宋简体"/>
          <w:sz w:val="30"/>
          <w:szCs w:val="30"/>
        </w:rPr>
        <w:t>“</w:t>
      </w:r>
      <w:r>
        <w:rPr>
          <w:rFonts w:eastAsia="方正仿宋简体"/>
          <w:sz w:val="30"/>
          <w:szCs w:val="30"/>
        </w:rPr>
        <w:t>客户资金</w:t>
      </w:r>
      <w:r>
        <w:rPr>
          <w:rFonts w:hint="eastAsia" w:ascii="方正仿宋简体" w:eastAsia="方正仿宋简体"/>
          <w:sz w:val="30"/>
          <w:szCs w:val="30"/>
        </w:rPr>
        <w:t>”</w:t>
      </w:r>
      <w:r>
        <w:rPr>
          <w:rFonts w:eastAsia="方正仿宋简体"/>
          <w:sz w:val="30"/>
          <w:szCs w:val="30"/>
        </w:rPr>
        <w:t>和</w:t>
      </w:r>
      <w:r>
        <w:rPr>
          <w:rFonts w:hint="eastAsia" w:ascii="方正仿宋简体" w:eastAsia="方正仿宋简体"/>
          <w:sz w:val="30"/>
          <w:szCs w:val="30"/>
        </w:rPr>
        <w:t>“</w:t>
      </w:r>
      <w:r>
        <w:rPr>
          <w:rFonts w:eastAsia="方正仿宋简体"/>
          <w:sz w:val="30"/>
          <w:szCs w:val="30"/>
        </w:rPr>
        <w:t>股票期权保证金账户号</w:t>
      </w:r>
      <w:r>
        <w:rPr>
          <w:rFonts w:hint="eastAsia" w:ascii="方正仿宋简体" w:eastAsia="方正仿宋简体"/>
          <w:sz w:val="30"/>
          <w:szCs w:val="30"/>
        </w:rPr>
        <w:t>”</w:t>
      </w:r>
      <w:r>
        <w:rPr>
          <w:rFonts w:eastAsia="方正仿宋简体"/>
          <w:sz w:val="30"/>
          <w:szCs w:val="30"/>
        </w:rPr>
        <w:t>，跟踪资金到账情况。</w:t>
      </w:r>
    </w:p>
    <w:p>
      <w:pPr>
        <w:numPr>
          <w:ilvl w:val="0"/>
          <w:numId w:val="75"/>
        </w:numPr>
        <w:spacing w:line="560" w:lineRule="exact"/>
        <w:ind w:firstLine="600" w:firstLineChars="200"/>
        <w:rPr>
          <w:rFonts w:eastAsia="方正仿宋简体"/>
          <w:sz w:val="30"/>
          <w:szCs w:val="30"/>
        </w:rPr>
      </w:pPr>
      <w:r>
        <w:rPr>
          <w:rFonts w:eastAsia="方正仿宋简体"/>
          <w:sz w:val="30"/>
          <w:szCs w:val="30"/>
        </w:rPr>
        <w:t>资金警戒线</w:t>
      </w:r>
    </w:p>
    <w:p>
      <w:pPr>
        <w:spacing w:line="560" w:lineRule="exact"/>
        <w:ind w:firstLine="600" w:firstLineChars="200"/>
        <w:rPr>
          <w:rFonts w:eastAsia="方正仿宋简体"/>
          <w:sz w:val="30"/>
          <w:szCs w:val="30"/>
        </w:rPr>
      </w:pPr>
      <w:r>
        <w:rPr>
          <w:rFonts w:eastAsia="方正仿宋简体"/>
          <w:sz w:val="30"/>
          <w:szCs w:val="30"/>
        </w:rPr>
        <w:t>当保证金占用比例低于资金划拨线时，比如当保证金占用比例=60%时，达到资金警戒线。</w:t>
      </w:r>
    </w:p>
    <w:p>
      <w:pPr>
        <w:spacing w:line="560" w:lineRule="exact"/>
        <w:ind w:firstLine="600" w:firstLineChars="200"/>
        <w:rPr>
          <w:rFonts w:eastAsia="方正仿宋简体"/>
          <w:sz w:val="30"/>
          <w:szCs w:val="30"/>
        </w:rPr>
      </w:pPr>
      <w:r>
        <w:rPr>
          <w:rFonts w:eastAsia="方正仿宋简体"/>
          <w:sz w:val="30"/>
          <w:szCs w:val="30"/>
        </w:rPr>
        <w:t>当盘中期货公司经纪业务保证金占用比例高于资金警戒线时，期货公司相关业务人员应及时向资金调拨人员预约划款，资金调拨人员随时做好调拨资金的准备。</w:t>
      </w:r>
    </w:p>
    <w:p>
      <w:pPr>
        <w:spacing w:line="560" w:lineRule="exact"/>
        <w:ind w:firstLine="600" w:firstLineChars="200"/>
        <w:rPr>
          <w:rFonts w:eastAsia="方正仿宋简体"/>
          <w:sz w:val="30"/>
          <w:szCs w:val="30"/>
        </w:rPr>
      </w:pPr>
      <w:r>
        <w:rPr>
          <w:rFonts w:eastAsia="方正仿宋简体"/>
          <w:sz w:val="30"/>
          <w:szCs w:val="30"/>
        </w:rPr>
        <w:t>期货公司应根据公司期权业务规模、历史盘后交收金额与峰值、当天期权交易规模、客户活跃度、经纪业务占用保证金增速、客户入金情况等，设定每日资金警戒线、资金划拨线，并视情况每日进行动态调整。</w:t>
      </w:r>
    </w:p>
    <w:p>
      <w:pPr>
        <w:keepNext/>
        <w:keepLines/>
        <w:numPr>
          <w:ilvl w:val="0"/>
          <w:numId w:val="73"/>
        </w:numPr>
        <w:spacing w:line="560" w:lineRule="exact"/>
        <w:ind w:left="0" w:firstLine="601" w:firstLineChars="200"/>
        <w:outlineLvl w:val="2"/>
        <w:rPr>
          <w:rFonts w:eastAsia="方正仿宋简体"/>
          <w:b/>
          <w:bCs/>
          <w:kern w:val="0"/>
          <w:sz w:val="30"/>
          <w:szCs w:val="30"/>
          <w:lang w:val="zh-CN" w:eastAsia="zh-CN"/>
        </w:rPr>
      </w:pPr>
      <w:r>
        <w:rPr>
          <w:rFonts w:eastAsia="方正仿宋简体"/>
          <w:b/>
          <w:sz w:val="30"/>
          <w:szCs w:val="30"/>
        </w:rPr>
        <w:t>盘后资金维持比例逐日盯市</w:t>
      </w:r>
    </w:p>
    <w:p>
      <w:pPr>
        <w:spacing w:line="560" w:lineRule="exact"/>
        <w:ind w:firstLine="600" w:firstLineChars="200"/>
        <w:rPr>
          <w:rFonts w:eastAsia="方正仿宋简体"/>
          <w:sz w:val="30"/>
          <w:szCs w:val="30"/>
        </w:rPr>
      </w:pPr>
      <w:r>
        <w:rPr>
          <w:rFonts w:eastAsia="方正仿宋简体"/>
          <w:sz w:val="30"/>
          <w:szCs w:val="30"/>
        </w:rPr>
        <w:t>收盘后，期货公司应对盘后资金维持比例进行盯市管理。</w:t>
      </w:r>
    </w:p>
    <w:p>
      <w:pPr>
        <w:spacing w:line="560" w:lineRule="exact"/>
        <w:ind w:firstLine="600" w:firstLineChars="200"/>
        <w:rPr>
          <w:rFonts w:eastAsia="方正仿宋简体"/>
          <w:sz w:val="30"/>
          <w:szCs w:val="30"/>
        </w:rPr>
      </w:pPr>
      <w:r>
        <w:rPr>
          <w:rFonts w:eastAsia="方正仿宋简体"/>
          <w:sz w:val="30"/>
          <w:szCs w:val="30"/>
        </w:rPr>
        <w:t>盘后资金维持比例=（经纪业务维持保证金+行权净应付资金）/客户股票期权保证金账户余额</w:t>
      </w:r>
    </w:p>
    <w:p>
      <w:pPr>
        <w:spacing w:line="560" w:lineRule="exact"/>
        <w:ind w:firstLine="600" w:firstLineChars="200"/>
        <w:rPr>
          <w:rFonts w:eastAsia="方正仿宋简体"/>
          <w:sz w:val="30"/>
          <w:szCs w:val="30"/>
        </w:rPr>
      </w:pPr>
      <w:r>
        <w:rPr>
          <w:rFonts w:eastAsia="方正仿宋简体"/>
          <w:sz w:val="30"/>
          <w:szCs w:val="30"/>
        </w:rPr>
        <w:t>经纪业务维持保证金：根据《风控办法》规定的保证金公式和所司规定的收取水平，按照单个客户持仓自动对冲后计算的，所有账户的维持保证金总额。</w:t>
      </w:r>
    </w:p>
    <w:p>
      <w:pPr>
        <w:spacing w:line="560" w:lineRule="exact"/>
        <w:ind w:firstLine="600" w:firstLineChars="200"/>
        <w:rPr>
          <w:rFonts w:eastAsia="方正仿宋简体"/>
          <w:sz w:val="30"/>
          <w:szCs w:val="30"/>
        </w:rPr>
      </w:pPr>
      <w:r>
        <w:rPr>
          <w:rFonts w:eastAsia="方正仿宋简体"/>
          <w:sz w:val="30"/>
          <w:szCs w:val="30"/>
        </w:rPr>
        <w:t>行权净应付资金：交收日，客户行权或被指派应付资金减去应收资金，包括客户证券交收违约按现金结算资金，如为净应收，则行权净应付资金为0。</w:t>
      </w:r>
    </w:p>
    <w:p>
      <w:pPr>
        <w:spacing w:line="560" w:lineRule="exact"/>
        <w:ind w:firstLine="600" w:firstLineChars="200"/>
        <w:rPr>
          <w:rFonts w:eastAsia="方正仿宋简体"/>
          <w:sz w:val="30"/>
          <w:szCs w:val="30"/>
        </w:rPr>
      </w:pPr>
      <w:r>
        <w:rPr>
          <w:rFonts w:eastAsia="方正仿宋简体"/>
          <w:sz w:val="30"/>
          <w:szCs w:val="30"/>
        </w:rPr>
        <w:t>收盘后，为保证正常交收，期货公司应保证盘后资金维持比例不高于一定比例（比如90%）。同时基于客户在收盘后出金的可能性较大，期货公司需保留足够的资金满足客户出金需求。</w:t>
      </w:r>
    </w:p>
    <w:p>
      <w:pPr>
        <w:keepNext/>
        <w:keepLines/>
        <w:numPr>
          <w:ilvl w:val="0"/>
          <w:numId w:val="73"/>
        </w:numPr>
        <w:spacing w:line="560" w:lineRule="exact"/>
        <w:ind w:left="0" w:firstLine="601" w:firstLineChars="200"/>
        <w:outlineLvl w:val="2"/>
        <w:rPr>
          <w:rFonts w:eastAsia="方正仿宋简体"/>
          <w:b/>
          <w:bCs/>
          <w:kern w:val="0"/>
          <w:sz w:val="30"/>
          <w:szCs w:val="30"/>
          <w:lang w:val="zh-CN" w:eastAsia="zh-CN"/>
        </w:rPr>
      </w:pPr>
      <w:r>
        <w:rPr>
          <w:rFonts w:eastAsia="方正仿宋简体"/>
          <w:b/>
          <w:sz w:val="30"/>
          <w:szCs w:val="30"/>
        </w:rPr>
        <w:t>可用资金余额头寸监控</w:t>
      </w:r>
    </w:p>
    <w:p>
      <w:pPr>
        <w:spacing w:line="560" w:lineRule="exact"/>
        <w:ind w:firstLine="600" w:firstLineChars="200"/>
        <w:rPr>
          <w:rFonts w:eastAsia="方正仿宋简体"/>
          <w:sz w:val="30"/>
          <w:szCs w:val="30"/>
        </w:rPr>
      </w:pPr>
      <w:r>
        <w:rPr>
          <w:rFonts w:eastAsia="方正仿宋简体"/>
          <w:sz w:val="30"/>
          <w:szCs w:val="30"/>
        </w:rPr>
        <w:t>期货公司应分别在开盘前、盘中和盘后，通过本所交易系统查询公司在中国结算开立的客户股票期权保证金账户的可用余额，进行头寸监控：</w:t>
      </w:r>
    </w:p>
    <w:p>
      <w:pPr>
        <w:numPr>
          <w:ilvl w:val="0"/>
          <w:numId w:val="76"/>
        </w:numPr>
        <w:spacing w:line="560" w:lineRule="exact"/>
        <w:ind w:left="0" w:firstLine="600" w:firstLineChars="200"/>
        <w:rPr>
          <w:rFonts w:eastAsia="方正仿宋简体"/>
          <w:sz w:val="30"/>
          <w:szCs w:val="30"/>
        </w:rPr>
      </w:pPr>
      <w:r>
        <w:rPr>
          <w:rFonts w:eastAsia="方正仿宋简体"/>
          <w:sz w:val="30"/>
          <w:szCs w:val="30"/>
        </w:rPr>
        <w:t>盘中要保证客户股票期权保证金账户可用余额能满足客户的开仓需求。</w:t>
      </w:r>
    </w:p>
    <w:p>
      <w:pPr>
        <w:numPr>
          <w:ilvl w:val="0"/>
          <w:numId w:val="76"/>
        </w:numPr>
        <w:spacing w:line="560" w:lineRule="exact"/>
        <w:ind w:left="0" w:firstLine="600" w:firstLineChars="200"/>
        <w:rPr>
          <w:rFonts w:eastAsia="方正仿宋简体"/>
          <w:sz w:val="30"/>
          <w:szCs w:val="30"/>
        </w:rPr>
      </w:pPr>
      <w:r>
        <w:rPr>
          <w:rFonts w:eastAsia="方正仿宋简体"/>
          <w:sz w:val="30"/>
          <w:szCs w:val="30"/>
        </w:rPr>
        <w:t>开盘前和收盘后，要保证客户股票期权保证金账户可用余额高于最低结算准备余额（目前为200万）。开盘前，若结算准备金余额大于零而低于结算准备金最低余额，本所前端控制将禁止客户新开仓（买入或卖出开仓禁止，允许备兑开仓）。</w:t>
      </w:r>
    </w:p>
    <w:p>
      <w:pPr>
        <w:keepNext/>
        <w:keepLines/>
        <w:numPr>
          <w:ilvl w:val="0"/>
          <w:numId w:val="73"/>
        </w:numPr>
        <w:spacing w:line="560" w:lineRule="exact"/>
        <w:ind w:left="0" w:firstLine="601" w:firstLineChars="200"/>
        <w:outlineLvl w:val="2"/>
        <w:rPr>
          <w:rFonts w:eastAsia="方正仿宋简体"/>
          <w:b/>
          <w:bCs/>
          <w:kern w:val="0"/>
          <w:sz w:val="30"/>
          <w:szCs w:val="30"/>
          <w:lang w:val="zh-CN" w:eastAsia="zh-CN"/>
        </w:rPr>
      </w:pPr>
      <w:r>
        <w:rPr>
          <w:rFonts w:eastAsia="方正仿宋简体"/>
          <w:b/>
          <w:sz w:val="30"/>
          <w:szCs w:val="30"/>
        </w:rPr>
        <w:t>客户出金</w:t>
      </w:r>
    </w:p>
    <w:p>
      <w:pPr>
        <w:spacing w:line="560" w:lineRule="exact"/>
        <w:ind w:firstLine="600" w:firstLineChars="200"/>
        <w:rPr>
          <w:rFonts w:eastAsia="方正仿宋简体"/>
          <w:sz w:val="30"/>
          <w:szCs w:val="30"/>
        </w:rPr>
      </w:pPr>
      <w:r>
        <w:rPr>
          <w:rFonts w:eastAsia="方正仿宋简体"/>
          <w:sz w:val="30"/>
          <w:szCs w:val="30"/>
        </w:rPr>
        <w:t>期货公司根据与客户在经纪合同中的约定，设置提取线计算客户可提现资金，允许客户进行提现。对大额资金提取，可以要求先预约。</w:t>
      </w:r>
    </w:p>
    <w:p>
      <w:pPr>
        <w:keepNext/>
        <w:keepLines/>
        <w:numPr>
          <w:ilvl w:val="0"/>
          <w:numId w:val="73"/>
        </w:numPr>
        <w:spacing w:line="560" w:lineRule="exact"/>
        <w:ind w:left="0" w:firstLine="601" w:firstLineChars="200"/>
        <w:outlineLvl w:val="2"/>
        <w:rPr>
          <w:rFonts w:eastAsia="方正仿宋简体"/>
          <w:b/>
          <w:bCs/>
          <w:kern w:val="0"/>
          <w:sz w:val="30"/>
          <w:szCs w:val="30"/>
          <w:lang w:val="zh-CN" w:eastAsia="zh-CN"/>
        </w:rPr>
      </w:pPr>
      <w:r>
        <w:rPr>
          <w:rFonts w:eastAsia="方正仿宋简体"/>
          <w:b/>
          <w:bCs/>
          <w:kern w:val="0"/>
          <w:sz w:val="30"/>
          <w:szCs w:val="30"/>
          <w:lang w:val="zh-CN" w:eastAsia="zh-CN"/>
        </w:rPr>
        <w:t>卖出平仓注意事项</w:t>
      </w:r>
    </w:p>
    <w:p>
      <w:pPr>
        <w:spacing w:line="560" w:lineRule="exact"/>
        <w:ind w:firstLine="600" w:firstLineChars="200"/>
        <w:rPr>
          <w:rFonts w:eastAsia="方正仿宋简体"/>
          <w:b/>
          <w:sz w:val="30"/>
          <w:szCs w:val="30"/>
        </w:rPr>
      </w:pPr>
      <w:r>
        <w:rPr>
          <w:rFonts w:eastAsia="方正仿宋简体"/>
          <w:sz w:val="30"/>
          <w:szCs w:val="30"/>
        </w:rPr>
        <w:t>对投资者卖出平仓应注意交易成本的计算。若出现卖出平仓所得无法覆盖交易成本的情况，应在客户端进行提醒。若客户执意平仓，方可接受委托。如预算成交后客户资产出现透支状态，期货公司可拒绝该笔委托。</w:t>
      </w:r>
    </w:p>
    <w:p>
      <w:pPr>
        <w:numPr>
          <w:ilvl w:val="0"/>
          <w:numId w:val="72"/>
        </w:numPr>
        <w:spacing w:line="560" w:lineRule="exact"/>
        <w:ind w:left="0" w:firstLine="601" w:firstLineChars="200"/>
        <w:outlineLvl w:val="1"/>
        <w:rPr>
          <w:rFonts w:eastAsia="方正仿宋简体"/>
          <w:b/>
          <w:bCs/>
          <w:kern w:val="0"/>
          <w:sz w:val="30"/>
          <w:szCs w:val="30"/>
          <w:lang w:val="zh-CN" w:eastAsia="zh-CN"/>
        </w:rPr>
      </w:pPr>
      <w:bookmarkStart w:id="149" w:name="_Toc437542887"/>
      <w:bookmarkStart w:id="150" w:name="_Toc25842007"/>
      <w:r>
        <w:rPr>
          <w:rFonts w:eastAsia="方正仿宋简体"/>
          <w:b/>
          <w:bCs/>
          <w:kern w:val="0"/>
          <w:sz w:val="30"/>
          <w:szCs w:val="30"/>
          <w:lang w:val="zh-CN" w:eastAsia="zh-CN"/>
        </w:rPr>
        <w:t>资金划拨应急处理</w:t>
      </w:r>
      <w:bookmarkEnd w:id="149"/>
      <w:bookmarkEnd w:id="150"/>
    </w:p>
    <w:p>
      <w:pPr>
        <w:spacing w:line="560" w:lineRule="exact"/>
        <w:ind w:firstLine="600" w:firstLineChars="200"/>
        <w:rPr>
          <w:rFonts w:eastAsia="方正仿宋简体"/>
          <w:sz w:val="30"/>
          <w:szCs w:val="30"/>
        </w:rPr>
      </w:pPr>
      <w:r>
        <w:rPr>
          <w:rFonts w:eastAsia="方正仿宋简体"/>
          <w:sz w:val="30"/>
          <w:szCs w:val="30"/>
        </w:rPr>
        <w:t>期货公司应建立客户资金存取、划拨、应对信息系统故障等异常和突发情况的应急预案，具体要求包括但不限于：</w:t>
      </w:r>
    </w:p>
    <w:p>
      <w:pPr>
        <w:numPr>
          <w:ilvl w:val="0"/>
          <w:numId w:val="77"/>
        </w:numPr>
        <w:spacing w:line="560" w:lineRule="exact"/>
        <w:ind w:left="0" w:firstLine="600" w:firstLineChars="200"/>
        <w:rPr>
          <w:rFonts w:eastAsia="方正仿宋简体"/>
          <w:sz w:val="30"/>
          <w:szCs w:val="30"/>
        </w:rPr>
      </w:pPr>
      <w:r>
        <w:rPr>
          <w:rFonts w:eastAsia="方正仿宋简体"/>
          <w:sz w:val="30"/>
          <w:szCs w:val="30"/>
        </w:rPr>
        <w:t>期货公司应与各结算银行商谈并签订客户资金应急划款协议或备忘录，建立客户资金存取和交收的应急备用划款方式，明确因技术故障等影响客户资金存取及交收时，相关各方之间的备用操作流程和沟通协调机制，保证客户资金存取和交收的正常有序进行。</w:t>
      </w:r>
    </w:p>
    <w:p>
      <w:pPr>
        <w:numPr>
          <w:ilvl w:val="0"/>
          <w:numId w:val="77"/>
        </w:numPr>
        <w:spacing w:line="560" w:lineRule="exact"/>
        <w:ind w:left="0" w:firstLine="600" w:firstLineChars="200"/>
        <w:rPr>
          <w:rFonts w:eastAsia="方正仿宋简体"/>
          <w:sz w:val="30"/>
          <w:szCs w:val="30"/>
        </w:rPr>
      </w:pPr>
      <w:r>
        <w:rPr>
          <w:rFonts w:eastAsia="方正仿宋简体"/>
          <w:sz w:val="30"/>
          <w:szCs w:val="30"/>
        </w:rPr>
        <w:t>期货公司应建立多家银行账户划拨备用机制，一旦一家银行账户结算出现问题或延迟，立即启用其他银行账户划拨资金。</w:t>
      </w:r>
    </w:p>
    <w:p>
      <w:pPr>
        <w:numPr>
          <w:ilvl w:val="0"/>
          <w:numId w:val="77"/>
        </w:numPr>
        <w:spacing w:line="560" w:lineRule="exact"/>
        <w:ind w:left="0" w:firstLine="600" w:firstLineChars="200"/>
        <w:rPr>
          <w:rFonts w:eastAsia="方正仿宋简体"/>
          <w:sz w:val="30"/>
          <w:szCs w:val="30"/>
        </w:rPr>
      </w:pPr>
      <w:r>
        <w:rPr>
          <w:rFonts w:eastAsia="方正仿宋简体"/>
          <w:sz w:val="30"/>
          <w:szCs w:val="30"/>
        </w:rPr>
        <w:t>期货公司应通过和银行建立多种替代方式的资金划拨路径，一旦结算出现异常，可以立即通过其他替代划拨方式完成资金划拨。同时应和银行建立良好的结算关系，由银行指定专人负责跟踪每笔划拨资金。</w:t>
      </w:r>
    </w:p>
    <w:p>
      <w:pPr>
        <w:numPr>
          <w:ilvl w:val="0"/>
          <w:numId w:val="77"/>
        </w:numPr>
        <w:spacing w:line="560" w:lineRule="exact"/>
        <w:ind w:left="0" w:firstLine="600" w:firstLineChars="200"/>
        <w:rPr>
          <w:rFonts w:eastAsia="方正仿宋简体"/>
          <w:sz w:val="30"/>
          <w:szCs w:val="30"/>
        </w:rPr>
      </w:pPr>
      <w:r>
        <w:rPr>
          <w:rFonts w:eastAsia="方正仿宋简体"/>
          <w:sz w:val="30"/>
          <w:szCs w:val="30"/>
        </w:rPr>
        <w:t>期货公司应当与结算银行建立日终数据交换和差异处理机制，保证客户下一交易日的正常交易和资金存取。</w:t>
      </w:r>
    </w:p>
    <w:p>
      <w:pPr>
        <w:keepNext w:val="0"/>
        <w:keepLines w:val="0"/>
        <w:pageBreakBefore w:val="0"/>
        <w:widowControl w:val="0"/>
        <w:numPr>
          <w:ilvl w:val="0"/>
          <w:numId w:val="16"/>
        </w:numPr>
        <w:kinsoku/>
        <w:wordWrap/>
        <w:overflowPunct/>
        <w:topLinePunct w:val="0"/>
        <w:autoSpaceDE/>
        <w:autoSpaceDN/>
        <w:bidi w:val="0"/>
        <w:adjustRightInd/>
        <w:snapToGrid/>
        <w:spacing w:line="560" w:lineRule="exact"/>
        <w:ind w:left="0" w:firstLine="0" w:firstLineChars="0"/>
        <w:jc w:val="center"/>
        <w:textAlignment w:val="auto"/>
        <w:outlineLvl w:val="0"/>
        <w:rPr>
          <w:rFonts w:ascii="黑体" w:hAnsi="黑体" w:eastAsia="黑体"/>
          <w:bCs/>
          <w:sz w:val="30"/>
          <w:szCs w:val="30"/>
        </w:rPr>
      </w:pPr>
      <w:r>
        <w:rPr>
          <w:rFonts w:eastAsia="方正仿宋简体"/>
          <w:b/>
          <w:bCs/>
          <w:sz w:val="30"/>
          <w:szCs w:val="30"/>
        </w:rPr>
        <w:br w:type="page"/>
      </w:r>
      <w:bookmarkStart w:id="151" w:name="_Toc437542888"/>
      <w:bookmarkStart w:id="152" w:name="_Toc25842008"/>
      <w:r>
        <w:rPr>
          <w:rFonts w:ascii="黑体" w:hAnsi="黑体" w:eastAsia="黑体"/>
          <w:bCs/>
          <w:sz w:val="30"/>
          <w:szCs w:val="30"/>
        </w:rPr>
        <w:t>强行平仓管理</w:t>
      </w:r>
      <w:bookmarkEnd w:id="151"/>
      <w:bookmarkEnd w:id="152"/>
    </w:p>
    <w:p>
      <w:pPr>
        <w:numPr>
          <w:ilvl w:val="0"/>
          <w:numId w:val="78"/>
        </w:numPr>
        <w:spacing w:line="560" w:lineRule="exact"/>
        <w:ind w:left="0" w:firstLine="601" w:firstLineChars="200"/>
        <w:outlineLvl w:val="1"/>
        <w:rPr>
          <w:rFonts w:eastAsia="方正仿宋简体"/>
          <w:b/>
          <w:bCs/>
          <w:kern w:val="0"/>
          <w:sz w:val="30"/>
          <w:szCs w:val="30"/>
          <w:lang w:val="zh-CN" w:eastAsia="zh-CN"/>
        </w:rPr>
      </w:pPr>
      <w:bookmarkStart w:id="153" w:name="_Toc25842009"/>
      <w:bookmarkStart w:id="154" w:name="_Toc437542889"/>
      <w:r>
        <w:rPr>
          <w:rFonts w:eastAsia="方正仿宋简体"/>
          <w:b/>
          <w:bCs/>
          <w:kern w:val="0"/>
          <w:sz w:val="30"/>
          <w:szCs w:val="30"/>
          <w:lang w:val="zh-CN" w:eastAsia="zh-CN"/>
        </w:rPr>
        <w:t>保证金不足强行平仓</w:t>
      </w:r>
      <w:bookmarkEnd w:id="153"/>
      <w:bookmarkEnd w:id="154"/>
    </w:p>
    <w:p>
      <w:pPr>
        <w:widowControl/>
        <w:spacing w:line="560" w:lineRule="exact"/>
        <w:ind w:firstLine="600" w:firstLineChars="200"/>
        <w:rPr>
          <w:rFonts w:eastAsia="方正仿宋简体"/>
          <w:sz w:val="30"/>
          <w:szCs w:val="30"/>
        </w:rPr>
      </w:pPr>
      <w:r>
        <w:rPr>
          <w:rFonts w:eastAsia="方正仿宋简体"/>
          <w:sz w:val="30"/>
          <w:szCs w:val="30"/>
        </w:rPr>
        <w:t>期货公司应建立预警、监控和处置措施，防止客户出现保证金不足的风险。由于投资者使用单一股票期权保证金账户可同时交易多个期权品种，期货公司在保证金监控和实施保证金不足强行平仓等风控措施时应结合自身情况对投资者保证金账户进行统一管理。</w:t>
      </w:r>
    </w:p>
    <w:p>
      <w:pPr>
        <w:keepNext/>
        <w:keepLines/>
        <w:numPr>
          <w:ilvl w:val="0"/>
          <w:numId w:val="79"/>
        </w:numPr>
        <w:spacing w:line="560" w:lineRule="exact"/>
        <w:ind w:left="0" w:firstLine="601" w:firstLineChars="200"/>
        <w:outlineLvl w:val="2"/>
        <w:rPr>
          <w:rFonts w:eastAsia="方正仿宋简体"/>
          <w:b/>
          <w:bCs/>
          <w:kern w:val="0"/>
          <w:sz w:val="30"/>
          <w:szCs w:val="30"/>
          <w:lang w:val="zh-CN" w:eastAsia="zh-CN"/>
        </w:rPr>
      </w:pPr>
      <w:r>
        <w:rPr>
          <w:rFonts w:eastAsia="方正仿宋简体"/>
          <w:b/>
          <w:sz w:val="30"/>
          <w:szCs w:val="30"/>
        </w:rPr>
        <w:t>触发条件</w:t>
      </w:r>
    </w:p>
    <w:p>
      <w:pPr>
        <w:numPr>
          <w:ilvl w:val="0"/>
          <w:numId w:val="80"/>
        </w:numPr>
        <w:spacing w:line="560" w:lineRule="exact"/>
        <w:ind w:left="0" w:firstLine="601" w:firstLineChars="200"/>
        <w:outlineLvl w:val="3"/>
        <w:rPr>
          <w:rFonts w:eastAsia="方正仿宋简体"/>
          <w:b/>
          <w:bCs/>
          <w:sz w:val="30"/>
          <w:szCs w:val="30"/>
        </w:rPr>
      </w:pPr>
      <w:r>
        <w:rPr>
          <w:rFonts w:eastAsia="方正仿宋简体"/>
          <w:b/>
          <w:sz w:val="30"/>
          <w:szCs w:val="30"/>
        </w:rPr>
        <w:t>盘中监控</w:t>
      </w:r>
    </w:p>
    <w:p>
      <w:pPr>
        <w:widowControl/>
        <w:spacing w:line="560" w:lineRule="exact"/>
        <w:ind w:firstLine="600" w:firstLineChars="200"/>
        <w:rPr>
          <w:rFonts w:eastAsia="方正仿宋简体"/>
          <w:sz w:val="30"/>
          <w:szCs w:val="30"/>
        </w:rPr>
      </w:pPr>
      <w:r>
        <w:rPr>
          <w:rFonts w:eastAsia="方正仿宋简体"/>
          <w:sz w:val="30"/>
          <w:szCs w:val="30"/>
        </w:rPr>
        <w:t>客户实时风险值1达到或者高于公司盘中平仓线，且未能在规定时间内补足或者自行平仓，期货公司可以在约定时间对客户进行强行平仓。</w:t>
      </w:r>
    </w:p>
    <w:p>
      <w:pPr>
        <w:widowControl/>
        <w:spacing w:line="560" w:lineRule="exact"/>
        <w:ind w:firstLine="600" w:firstLineChars="200"/>
        <w:rPr>
          <w:rFonts w:eastAsia="方正仿宋简体"/>
          <w:sz w:val="30"/>
          <w:szCs w:val="30"/>
        </w:rPr>
      </w:pPr>
      <w:r>
        <w:rPr>
          <w:rFonts w:eastAsia="方正仿宋简体"/>
          <w:sz w:val="30"/>
          <w:szCs w:val="30"/>
        </w:rPr>
        <w:t>客户实时风险值2达到或者高于即时处置线，期货公司根据与客户约定可即时对客户进行强行平仓。</w:t>
      </w:r>
    </w:p>
    <w:p>
      <w:pPr>
        <w:widowControl/>
        <w:spacing w:line="560" w:lineRule="exact"/>
        <w:ind w:firstLine="600" w:firstLineChars="200"/>
        <w:rPr>
          <w:rFonts w:eastAsia="方正仿宋简体"/>
          <w:sz w:val="30"/>
          <w:szCs w:val="30"/>
        </w:rPr>
      </w:pPr>
      <w:r>
        <w:rPr>
          <w:rFonts w:eastAsia="方正仿宋简体"/>
          <w:sz w:val="30"/>
          <w:szCs w:val="30"/>
        </w:rPr>
        <w:t>期货公司对客户的买入平仓指令可不检查资金是否足额，若采取资金前端控制，应建立</w:t>
      </w:r>
      <w:r>
        <w:rPr>
          <w:rFonts w:hint="eastAsia" w:ascii="方正仿宋简体" w:eastAsia="方正仿宋简体"/>
          <w:sz w:val="30"/>
          <w:szCs w:val="30"/>
        </w:rPr>
        <w:t>“</w:t>
      </w:r>
      <w:r>
        <w:rPr>
          <w:rFonts w:eastAsia="方正仿宋简体"/>
          <w:sz w:val="30"/>
          <w:szCs w:val="30"/>
        </w:rPr>
        <w:t>不足时由客户自行平仓或期货公司进行强行平仓</w:t>
      </w:r>
      <w:r>
        <w:rPr>
          <w:rFonts w:hint="eastAsia" w:ascii="方正仿宋简体" w:eastAsia="方正仿宋简体"/>
          <w:sz w:val="30"/>
          <w:szCs w:val="30"/>
        </w:rPr>
        <w:t>”</w:t>
      </w:r>
      <w:r>
        <w:rPr>
          <w:rFonts w:eastAsia="方正仿宋简体"/>
          <w:sz w:val="30"/>
          <w:szCs w:val="30"/>
        </w:rPr>
        <w:t>相关操作流程。</w:t>
      </w:r>
    </w:p>
    <w:p>
      <w:pPr>
        <w:numPr>
          <w:ilvl w:val="0"/>
          <w:numId w:val="80"/>
        </w:numPr>
        <w:spacing w:line="560" w:lineRule="exact"/>
        <w:ind w:left="0" w:firstLine="601" w:firstLineChars="200"/>
        <w:outlineLvl w:val="3"/>
        <w:rPr>
          <w:rFonts w:eastAsia="方正仿宋简体"/>
          <w:b/>
          <w:sz w:val="30"/>
          <w:szCs w:val="30"/>
        </w:rPr>
      </w:pPr>
      <w:r>
        <w:rPr>
          <w:rFonts w:eastAsia="方正仿宋简体"/>
          <w:b/>
          <w:sz w:val="30"/>
          <w:szCs w:val="30"/>
        </w:rPr>
        <w:t>盘后监控</w:t>
      </w:r>
    </w:p>
    <w:p>
      <w:pPr>
        <w:widowControl/>
        <w:spacing w:line="560" w:lineRule="exact"/>
        <w:ind w:firstLine="600" w:firstLineChars="200"/>
        <w:rPr>
          <w:rFonts w:eastAsia="方正仿宋简体"/>
          <w:sz w:val="30"/>
          <w:szCs w:val="30"/>
        </w:rPr>
      </w:pPr>
      <w:r>
        <w:rPr>
          <w:rFonts w:eastAsia="方正仿宋简体"/>
          <w:sz w:val="30"/>
          <w:szCs w:val="30"/>
        </w:rPr>
        <w:t>客户维持保证金比例1达到或者高于公司盘后平仓线，且未能在规定时间内补足或者自行平仓，期货公司应在下一交易日（T+1日）约定时间对客户进行强行平仓。</w:t>
      </w:r>
    </w:p>
    <w:p>
      <w:pPr>
        <w:spacing w:line="560" w:lineRule="exact"/>
        <w:ind w:firstLine="600" w:firstLineChars="200"/>
        <w:rPr>
          <w:rFonts w:eastAsia="方正仿宋简体"/>
          <w:sz w:val="30"/>
          <w:szCs w:val="30"/>
        </w:rPr>
      </w:pPr>
      <w:r>
        <w:rPr>
          <w:rFonts w:eastAsia="方正仿宋简体"/>
          <w:sz w:val="30"/>
          <w:szCs w:val="30"/>
        </w:rPr>
        <w:t>客户维持保证金比例2达到或者高于交易所平仓线，且未能在规定时间内补足或者自行平仓，期货公司应在下一交易日（T+1日）上午开盘后尽快对客户进行强行平仓。</w:t>
      </w:r>
    </w:p>
    <w:p>
      <w:pPr>
        <w:keepNext/>
        <w:keepLines/>
        <w:numPr>
          <w:ilvl w:val="0"/>
          <w:numId w:val="79"/>
        </w:numPr>
        <w:spacing w:line="560" w:lineRule="exact"/>
        <w:ind w:left="0" w:firstLine="601" w:firstLineChars="200"/>
        <w:outlineLvl w:val="2"/>
        <w:rPr>
          <w:rFonts w:eastAsia="方正仿宋简体"/>
          <w:b/>
          <w:bCs/>
          <w:kern w:val="0"/>
          <w:sz w:val="30"/>
          <w:szCs w:val="30"/>
          <w:lang w:val="zh-CN" w:eastAsia="zh-CN"/>
        </w:rPr>
      </w:pPr>
      <w:r>
        <w:rPr>
          <w:rFonts w:eastAsia="方正仿宋简体"/>
          <w:b/>
          <w:sz w:val="30"/>
          <w:szCs w:val="30"/>
        </w:rPr>
        <w:t>平仓原则</w:t>
      </w:r>
    </w:p>
    <w:p>
      <w:pPr>
        <w:widowControl/>
        <w:spacing w:line="560" w:lineRule="exact"/>
        <w:ind w:firstLine="600" w:firstLineChars="200"/>
        <w:rPr>
          <w:rFonts w:eastAsia="方正仿宋简体"/>
          <w:sz w:val="30"/>
          <w:szCs w:val="30"/>
        </w:rPr>
      </w:pPr>
      <w:r>
        <w:rPr>
          <w:rFonts w:eastAsia="方正仿宋简体"/>
          <w:sz w:val="30"/>
          <w:szCs w:val="30"/>
        </w:rPr>
        <w:t>期货公司对客户进行强行平仓可采用以下原则：</w:t>
      </w:r>
    </w:p>
    <w:p>
      <w:pPr>
        <w:numPr>
          <w:ilvl w:val="0"/>
          <w:numId w:val="81"/>
        </w:numPr>
        <w:spacing w:line="560" w:lineRule="exact"/>
        <w:ind w:left="0" w:firstLine="600" w:firstLineChars="200"/>
        <w:rPr>
          <w:rFonts w:eastAsia="方正仿宋简体"/>
          <w:sz w:val="30"/>
          <w:szCs w:val="30"/>
        </w:rPr>
      </w:pPr>
      <w:r>
        <w:rPr>
          <w:rFonts w:eastAsia="方正仿宋简体"/>
          <w:sz w:val="30"/>
          <w:szCs w:val="30"/>
        </w:rPr>
        <w:t>按客户保证金不足数额确定客户平仓顺序；</w:t>
      </w:r>
    </w:p>
    <w:p>
      <w:pPr>
        <w:numPr>
          <w:ilvl w:val="0"/>
          <w:numId w:val="81"/>
        </w:numPr>
        <w:spacing w:line="560" w:lineRule="exact"/>
        <w:ind w:left="0" w:firstLine="600" w:firstLineChars="200"/>
        <w:rPr>
          <w:rFonts w:eastAsia="方正仿宋简体"/>
          <w:sz w:val="30"/>
          <w:szCs w:val="30"/>
        </w:rPr>
      </w:pPr>
      <w:r>
        <w:rPr>
          <w:rFonts w:eastAsia="方正仿宋简体"/>
          <w:sz w:val="30"/>
          <w:szCs w:val="30"/>
        </w:rPr>
        <w:t>对待平仓合约，按前一交易日日终对冲后持仓量由大到小顺序选取待平仓合约，或占用保证金由大到小顺序选取待平仓合约，或可释放保证金由大到小顺序选取待平仓合约等。</w:t>
      </w:r>
    </w:p>
    <w:p>
      <w:pPr>
        <w:widowControl/>
        <w:spacing w:line="560" w:lineRule="exact"/>
        <w:ind w:firstLine="600" w:firstLineChars="200"/>
        <w:rPr>
          <w:rFonts w:eastAsia="方正仿宋简体"/>
          <w:sz w:val="30"/>
          <w:szCs w:val="30"/>
        </w:rPr>
      </w:pPr>
      <w:r>
        <w:rPr>
          <w:rFonts w:eastAsia="方正仿宋简体"/>
          <w:sz w:val="30"/>
          <w:szCs w:val="30"/>
        </w:rPr>
        <w:t>期货公司可依照上述原则对客户的部分或全部合约强行平仓，直至客户实时风险值1低于盘中追保线或客户维持保证金比例1低于盘后追保线。</w:t>
      </w:r>
    </w:p>
    <w:p>
      <w:pPr>
        <w:widowControl/>
        <w:spacing w:line="560" w:lineRule="exact"/>
        <w:ind w:firstLine="600" w:firstLineChars="200"/>
        <w:rPr>
          <w:rFonts w:eastAsia="方正仿宋简体"/>
          <w:sz w:val="30"/>
          <w:szCs w:val="30"/>
        </w:rPr>
      </w:pPr>
      <w:r>
        <w:rPr>
          <w:rFonts w:eastAsia="方正仿宋简体"/>
          <w:sz w:val="30"/>
          <w:szCs w:val="30"/>
        </w:rPr>
        <w:t>期货公司应当在与客户签订的期权经纪合同中，明确约定对客户执行强行平仓的具体条件与时间，包括可约定</w:t>
      </w:r>
      <w:r>
        <w:rPr>
          <w:rFonts w:hint="eastAsia" w:ascii="方正仿宋简体" w:eastAsia="方正仿宋简体"/>
          <w:sz w:val="30"/>
          <w:szCs w:val="30"/>
        </w:rPr>
        <w:t>“</w:t>
      </w:r>
      <w:r>
        <w:rPr>
          <w:rFonts w:eastAsia="方正仿宋简体"/>
          <w:sz w:val="30"/>
          <w:szCs w:val="30"/>
        </w:rPr>
        <w:t>对未持有义务仓而资金余额小于零的客户，可对权利仓进行平仓等</w:t>
      </w:r>
      <w:r>
        <w:rPr>
          <w:rFonts w:hint="eastAsia" w:ascii="方正仿宋简体" w:eastAsia="方正仿宋简体"/>
          <w:sz w:val="30"/>
          <w:szCs w:val="30"/>
        </w:rPr>
        <w:t>”</w:t>
      </w:r>
      <w:r>
        <w:rPr>
          <w:rFonts w:eastAsia="方正仿宋简体"/>
          <w:sz w:val="30"/>
          <w:szCs w:val="30"/>
        </w:rPr>
        <w:t>。</w:t>
      </w:r>
    </w:p>
    <w:p>
      <w:pPr>
        <w:keepNext/>
        <w:keepLines/>
        <w:numPr>
          <w:ilvl w:val="0"/>
          <w:numId w:val="79"/>
        </w:numPr>
        <w:spacing w:line="560" w:lineRule="exact"/>
        <w:ind w:left="0" w:firstLine="601" w:firstLineChars="200"/>
        <w:outlineLvl w:val="2"/>
        <w:rPr>
          <w:rFonts w:eastAsia="方正仿宋简体"/>
          <w:b/>
          <w:bCs/>
          <w:kern w:val="0"/>
          <w:sz w:val="30"/>
          <w:szCs w:val="30"/>
          <w:lang w:val="zh-CN" w:eastAsia="zh-CN"/>
        </w:rPr>
      </w:pPr>
      <w:r>
        <w:rPr>
          <w:rFonts w:eastAsia="方正仿宋简体"/>
          <w:b/>
          <w:sz w:val="30"/>
          <w:szCs w:val="30"/>
        </w:rPr>
        <w:t>平仓流程</w:t>
      </w:r>
    </w:p>
    <w:p>
      <w:pPr>
        <w:numPr>
          <w:ilvl w:val="0"/>
          <w:numId w:val="82"/>
        </w:numPr>
        <w:spacing w:line="560" w:lineRule="exact"/>
        <w:ind w:left="0" w:firstLine="601" w:firstLineChars="200"/>
        <w:outlineLvl w:val="3"/>
        <w:rPr>
          <w:rFonts w:eastAsia="方正仿宋简体"/>
          <w:b/>
          <w:bCs/>
          <w:sz w:val="30"/>
          <w:szCs w:val="30"/>
        </w:rPr>
      </w:pPr>
      <w:r>
        <w:rPr>
          <w:rFonts w:eastAsia="方正仿宋简体"/>
          <w:b/>
          <w:sz w:val="30"/>
          <w:szCs w:val="30"/>
        </w:rPr>
        <w:t>未收到中国结算强平通知书情况下的强平</w:t>
      </w:r>
    </w:p>
    <w:p>
      <w:pPr>
        <w:numPr>
          <w:ilvl w:val="0"/>
          <w:numId w:val="83"/>
        </w:numPr>
        <w:spacing w:line="560" w:lineRule="exact"/>
        <w:ind w:left="0" w:firstLine="600" w:firstLineChars="200"/>
        <w:rPr>
          <w:rFonts w:eastAsia="方正仿宋简体"/>
          <w:sz w:val="30"/>
          <w:szCs w:val="30"/>
        </w:rPr>
      </w:pPr>
      <w:r>
        <w:rPr>
          <w:rFonts w:eastAsia="方正仿宋简体"/>
          <w:sz w:val="30"/>
          <w:szCs w:val="30"/>
        </w:rPr>
        <w:t>盘中</w:t>
      </w:r>
    </w:p>
    <w:p>
      <w:pPr>
        <w:widowControl/>
        <w:spacing w:line="560" w:lineRule="exact"/>
        <w:ind w:firstLine="600" w:firstLineChars="200"/>
        <w:rPr>
          <w:rFonts w:eastAsia="方正仿宋简体"/>
          <w:sz w:val="30"/>
          <w:szCs w:val="30"/>
        </w:rPr>
      </w:pPr>
      <w:r>
        <w:rPr>
          <w:rFonts w:eastAsia="方正仿宋简体"/>
          <w:sz w:val="30"/>
          <w:szCs w:val="30"/>
        </w:rPr>
        <w:t>盘中监控，客户实时风险值1高于公司盘中平仓线。期货公司应以邮件、短信、交易端提醒等形式向客户发送</w:t>
      </w:r>
      <w:r>
        <w:rPr>
          <w:rFonts w:hint="eastAsia" w:ascii="方正仿宋简体" w:eastAsia="方正仿宋简体"/>
          <w:sz w:val="30"/>
          <w:szCs w:val="30"/>
        </w:rPr>
        <w:t>“</w:t>
      </w:r>
      <w:r>
        <w:rPr>
          <w:rFonts w:eastAsia="方正仿宋简体"/>
          <w:sz w:val="30"/>
          <w:szCs w:val="30"/>
        </w:rPr>
        <w:t>强行平仓警示通知</w:t>
      </w:r>
      <w:r>
        <w:rPr>
          <w:rFonts w:hint="eastAsia" w:ascii="方正仿宋简体" w:eastAsia="方正仿宋简体"/>
          <w:sz w:val="30"/>
          <w:szCs w:val="30"/>
        </w:rPr>
        <w:t>”</w:t>
      </w:r>
      <w:r>
        <w:rPr>
          <w:rFonts w:eastAsia="方正仿宋简体"/>
          <w:sz w:val="30"/>
          <w:szCs w:val="30"/>
        </w:rPr>
        <w:t>，并要求客户在约定时间（可以是当日某时或下一交易日的某个时间点）前追加保证金或自行平仓，否则期货公司将于该时间实施强行平仓。</w:t>
      </w:r>
    </w:p>
    <w:p>
      <w:pPr>
        <w:spacing w:line="560" w:lineRule="exact"/>
        <w:ind w:firstLine="600" w:firstLineChars="200"/>
        <w:rPr>
          <w:rFonts w:eastAsia="方正仿宋简体"/>
          <w:sz w:val="30"/>
          <w:szCs w:val="30"/>
        </w:rPr>
      </w:pPr>
      <w:r>
        <w:rPr>
          <w:rFonts w:eastAsia="方正仿宋简体"/>
          <w:sz w:val="30"/>
          <w:szCs w:val="30"/>
        </w:rPr>
        <w:t>若客户账户风险值持续上升，且客户实时风险值2高于即时处置线，期货公司根据期权经纪合同中的约定，可即时对客户进行强行平仓。</w:t>
      </w:r>
    </w:p>
    <w:p>
      <w:pPr>
        <w:numPr>
          <w:ilvl w:val="0"/>
          <w:numId w:val="83"/>
        </w:numPr>
        <w:spacing w:line="560" w:lineRule="exact"/>
        <w:ind w:left="0" w:firstLine="600" w:firstLineChars="200"/>
        <w:rPr>
          <w:rFonts w:eastAsia="方正仿宋简体"/>
          <w:sz w:val="30"/>
          <w:szCs w:val="30"/>
        </w:rPr>
      </w:pPr>
      <w:r>
        <w:rPr>
          <w:rFonts w:eastAsia="方正仿宋简体"/>
          <w:sz w:val="30"/>
          <w:szCs w:val="30"/>
        </w:rPr>
        <w:t>盘后</w:t>
      </w:r>
    </w:p>
    <w:p>
      <w:pPr>
        <w:widowControl/>
        <w:spacing w:line="560" w:lineRule="exact"/>
        <w:ind w:firstLine="600" w:firstLineChars="200"/>
        <w:rPr>
          <w:rFonts w:eastAsia="方正仿宋简体"/>
          <w:sz w:val="30"/>
          <w:szCs w:val="30"/>
        </w:rPr>
      </w:pPr>
      <w:r>
        <w:rPr>
          <w:rFonts w:eastAsia="方正仿宋简体"/>
          <w:sz w:val="30"/>
          <w:szCs w:val="30"/>
        </w:rPr>
        <w:t>日终结算后，若客户维持保证金比例1高于公司盘后平仓线。期货公司应再次以邮件、短信、交易端提醒等形式向客户发送</w:t>
      </w:r>
      <w:r>
        <w:rPr>
          <w:rFonts w:hint="eastAsia" w:ascii="方正仿宋简体" w:eastAsia="方正仿宋简体"/>
          <w:sz w:val="30"/>
          <w:szCs w:val="30"/>
        </w:rPr>
        <w:t>“</w:t>
      </w:r>
      <w:r>
        <w:rPr>
          <w:rFonts w:eastAsia="方正仿宋简体"/>
          <w:sz w:val="30"/>
          <w:szCs w:val="30"/>
        </w:rPr>
        <w:t>强行平仓警示通知</w:t>
      </w:r>
      <w:r>
        <w:rPr>
          <w:rFonts w:hint="eastAsia" w:ascii="方正仿宋简体" w:eastAsia="方正仿宋简体"/>
          <w:sz w:val="30"/>
          <w:szCs w:val="30"/>
        </w:rPr>
        <w:t>”</w:t>
      </w:r>
      <w:r>
        <w:rPr>
          <w:rFonts w:eastAsia="方正仿宋简体"/>
          <w:sz w:val="30"/>
          <w:szCs w:val="30"/>
        </w:rPr>
        <w:t>，并要求客户在下一交易日约定时间前追加保证金或自行平仓，否则期货公司可按照与客户的规定执行强行平仓。</w:t>
      </w:r>
    </w:p>
    <w:p>
      <w:pPr>
        <w:widowControl/>
        <w:spacing w:line="560" w:lineRule="exact"/>
        <w:ind w:firstLine="600" w:firstLineChars="200"/>
        <w:rPr>
          <w:rFonts w:eastAsia="方正仿宋简体"/>
          <w:sz w:val="30"/>
          <w:szCs w:val="30"/>
        </w:rPr>
      </w:pPr>
      <w:r>
        <w:rPr>
          <w:rFonts w:eastAsia="方正仿宋简体"/>
          <w:sz w:val="30"/>
          <w:szCs w:val="30"/>
        </w:rPr>
        <w:t>日终结算后，若客户维持保证金比例2高于交易所平仓线，期货公司应以电话、邮件、短信、交易端提醒等形式向客户发送</w:t>
      </w:r>
      <w:r>
        <w:rPr>
          <w:rFonts w:hint="eastAsia" w:ascii="方正仿宋简体" w:eastAsia="方正仿宋简体"/>
          <w:sz w:val="30"/>
          <w:szCs w:val="30"/>
        </w:rPr>
        <w:t>“</w:t>
      </w:r>
      <w:r>
        <w:rPr>
          <w:rFonts w:eastAsia="方正仿宋简体"/>
          <w:sz w:val="30"/>
          <w:szCs w:val="30"/>
        </w:rPr>
        <w:t>强行平仓通知</w:t>
      </w:r>
      <w:r>
        <w:rPr>
          <w:rFonts w:hint="eastAsia" w:ascii="方正仿宋简体" w:eastAsia="方正仿宋简体"/>
          <w:sz w:val="30"/>
          <w:szCs w:val="30"/>
        </w:rPr>
        <w:t>”</w:t>
      </w:r>
      <w:r>
        <w:rPr>
          <w:rFonts w:eastAsia="方正仿宋简体"/>
          <w:sz w:val="30"/>
          <w:szCs w:val="30"/>
        </w:rPr>
        <w:t>，若客户未能在规定时间内补足保证金或者自行平仓，期货公司应在下一交易日上午开盘后尽快对客户进行强行平仓。</w:t>
      </w:r>
    </w:p>
    <w:p>
      <w:pPr>
        <w:numPr>
          <w:ilvl w:val="0"/>
          <w:numId w:val="82"/>
        </w:numPr>
        <w:spacing w:line="560" w:lineRule="exact"/>
        <w:ind w:left="0" w:firstLine="601" w:firstLineChars="200"/>
        <w:outlineLvl w:val="3"/>
        <w:rPr>
          <w:rFonts w:eastAsia="方正仿宋简体"/>
          <w:b/>
          <w:bCs/>
          <w:sz w:val="30"/>
          <w:szCs w:val="30"/>
        </w:rPr>
      </w:pPr>
      <w:r>
        <w:rPr>
          <w:rFonts w:eastAsia="方正仿宋简体"/>
          <w:b/>
          <w:sz w:val="30"/>
          <w:szCs w:val="30"/>
        </w:rPr>
        <w:t>收到中国结算强平通知情况下的强平</w:t>
      </w:r>
    </w:p>
    <w:p>
      <w:pPr>
        <w:widowControl/>
        <w:spacing w:line="560" w:lineRule="exact"/>
        <w:ind w:firstLine="600" w:firstLineChars="200"/>
        <w:rPr>
          <w:rFonts w:eastAsia="方正仿宋简体"/>
          <w:sz w:val="30"/>
          <w:szCs w:val="30"/>
        </w:rPr>
      </w:pPr>
      <w:r>
        <w:rPr>
          <w:rFonts w:eastAsia="方正仿宋简体"/>
          <w:sz w:val="30"/>
          <w:szCs w:val="30"/>
        </w:rPr>
        <w:t>当期货公司结算准备金小于零时，中国结算随当日结算数据向有关期货公司发送强行平仓通知。相关期货公司应在收到通知后按中国结算要求在规定时间（下一交易日9:00之前）补足保证金。</w:t>
      </w:r>
    </w:p>
    <w:p>
      <w:pPr>
        <w:widowControl/>
        <w:spacing w:line="560" w:lineRule="exact"/>
        <w:ind w:firstLine="600" w:firstLineChars="200"/>
        <w:rPr>
          <w:rFonts w:eastAsia="方正仿宋简体"/>
          <w:sz w:val="30"/>
          <w:szCs w:val="30"/>
        </w:rPr>
      </w:pPr>
      <w:r>
        <w:rPr>
          <w:rFonts w:eastAsia="方正仿宋简体"/>
          <w:sz w:val="30"/>
          <w:szCs w:val="30"/>
        </w:rPr>
        <w:t>如无法补足保证金，应对维持保证金比例1高于公司盘后平仓线或维持保证金比例2高于交易所平仓线的客户按相应日常平仓流程处理，并确保在收到通知书后的次一交易日上午11:30前，按要求对保证金未予补足部分进行强行平仓。</w:t>
      </w:r>
    </w:p>
    <w:p>
      <w:pPr>
        <w:widowControl/>
        <w:spacing w:line="560" w:lineRule="exact"/>
        <w:ind w:firstLine="600" w:firstLineChars="200"/>
        <w:rPr>
          <w:rFonts w:eastAsia="方正仿宋简体"/>
          <w:sz w:val="30"/>
          <w:szCs w:val="30"/>
        </w:rPr>
      </w:pPr>
      <w:r>
        <w:rPr>
          <w:rFonts w:eastAsia="方正仿宋简体"/>
          <w:sz w:val="30"/>
          <w:szCs w:val="30"/>
        </w:rPr>
        <w:t>如收到通知的次一交易日上午，全部合约停牌（即市场停市）且下午有恢复交易，期货公司应当及时入金或在恢复交易后进行强行平仓。若日终保证金足额，下一交易日，中国结算将不进行保证金不足强行平仓（该情况下，期货公司可以上午入金以尽快消除保证金不足的情形）；若日终保证金不足额，该日日终中国结算将向有关期货公司发送强行平仓通知，期货公司收到通知后应在规定时间内补足资金或强行平仓。全天市场停市下，强行平仓流程顺延至恢复交易日首日。</w:t>
      </w:r>
    </w:p>
    <w:p>
      <w:pPr>
        <w:numPr>
          <w:ilvl w:val="0"/>
          <w:numId w:val="78"/>
        </w:numPr>
        <w:spacing w:line="560" w:lineRule="exact"/>
        <w:ind w:left="0" w:firstLine="601" w:firstLineChars="200"/>
        <w:outlineLvl w:val="1"/>
        <w:rPr>
          <w:rFonts w:eastAsia="方正仿宋简体"/>
          <w:b/>
          <w:bCs/>
          <w:kern w:val="0"/>
          <w:sz w:val="30"/>
          <w:szCs w:val="30"/>
          <w:lang w:val="zh-CN" w:eastAsia="zh-CN"/>
        </w:rPr>
      </w:pPr>
      <w:bookmarkStart w:id="155" w:name="_Toc437542890"/>
      <w:bookmarkStart w:id="156" w:name="_Toc25842010"/>
      <w:r>
        <w:rPr>
          <w:rFonts w:eastAsia="方正仿宋简体"/>
          <w:b/>
          <w:bCs/>
          <w:kern w:val="0"/>
          <w:sz w:val="30"/>
          <w:szCs w:val="30"/>
          <w:lang w:val="zh-CN" w:eastAsia="zh-CN"/>
        </w:rPr>
        <w:t>备兑不足转普通仓的强行平仓</w:t>
      </w:r>
      <w:bookmarkEnd w:id="155"/>
      <w:bookmarkEnd w:id="156"/>
    </w:p>
    <w:p>
      <w:pPr>
        <w:widowControl/>
        <w:spacing w:line="560" w:lineRule="exact"/>
        <w:ind w:firstLine="600" w:firstLineChars="200"/>
        <w:rPr>
          <w:rFonts w:eastAsia="方正仿宋简体"/>
          <w:sz w:val="30"/>
          <w:szCs w:val="30"/>
        </w:rPr>
      </w:pPr>
      <w:r>
        <w:rPr>
          <w:rFonts w:eastAsia="方正仿宋简体"/>
          <w:sz w:val="30"/>
          <w:szCs w:val="30"/>
        </w:rPr>
        <w:t>期货公司应对备兑开仓客户的标的证券情况进行日常监控，及时关注有可能导致客户备兑证券数量不足的影响因素。导致客户备兑证券数量不足的原因包括但不限于：</w:t>
      </w:r>
    </w:p>
    <w:p>
      <w:pPr>
        <w:numPr>
          <w:ilvl w:val="0"/>
          <w:numId w:val="84"/>
        </w:numPr>
        <w:spacing w:line="560" w:lineRule="exact"/>
        <w:ind w:left="0" w:firstLine="600" w:firstLineChars="200"/>
        <w:rPr>
          <w:rFonts w:eastAsia="方正仿宋简体"/>
          <w:sz w:val="30"/>
          <w:szCs w:val="30"/>
        </w:rPr>
      </w:pPr>
      <w:r>
        <w:rPr>
          <w:rFonts w:eastAsia="方正仿宋简体"/>
          <w:sz w:val="30"/>
          <w:szCs w:val="30"/>
        </w:rPr>
        <w:t>标的发生除权除息变动导致备兑证券数量不足；</w:t>
      </w:r>
    </w:p>
    <w:p>
      <w:pPr>
        <w:numPr>
          <w:ilvl w:val="0"/>
          <w:numId w:val="84"/>
        </w:numPr>
        <w:spacing w:line="560" w:lineRule="exact"/>
        <w:ind w:left="0" w:firstLine="600" w:firstLineChars="200"/>
        <w:rPr>
          <w:rFonts w:eastAsia="方正仿宋简体"/>
          <w:sz w:val="30"/>
          <w:szCs w:val="30"/>
        </w:rPr>
      </w:pPr>
      <w:r>
        <w:rPr>
          <w:rFonts w:eastAsia="方正仿宋简体"/>
          <w:sz w:val="30"/>
          <w:szCs w:val="30"/>
        </w:rPr>
        <w:t>行权交收应付证券不足，不足部分使用备兑证券，从而导致备兑证券数量不足；</w:t>
      </w:r>
    </w:p>
    <w:p>
      <w:pPr>
        <w:numPr>
          <w:ilvl w:val="0"/>
          <w:numId w:val="84"/>
        </w:numPr>
        <w:spacing w:line="560" w:lineRule="exact"/>
        <w:ind w:left="0" w:firstLine="600" w:firstLineChars="200"/>
        <w:rPr>
          <w:rFonts w:eastAsia="方正仿宋简体"/>
          <w:sz w:val="30"/>
          <w:szCs w:val="30"/>
        </w:rPr>
      </w:pPr>
      <w:r>
        <w:rPr>
          <w:rFonts w:eastAsia="方正仿宋简体"/>
          <w:sz w:val="30"/>
          <w:szCs w:val="30"/>
        </w:rPr>
        <w:t>其他导致备兑证券数量不足的情形。</w:t>
      </w:r>
    </w:p>
    <w:p>
      <w:pPr>
        <w:widowControl/>
        <w:spacing w:line="560" w:lineRule="exact"/>
        <w:ind w:firstLine="600" w:firstLineChars="200"/>
        <w:rPr>
          <w:rFonts w:eastAsia="方正仿宋简体"/>
          <w:sz w:val="30"/>
          <w:szCs w:val="30"/>
        </w:rPr>
      </w:pPr>
      <w:r>
        <w:rPr>
          <w:rFonts w:eastAsia="方正仿宋简体"/>
          <w:sz w:val="30"/>
          <w:szCs w:val="30"/>
        </w:rPr>
        <w:t>期货公司应实时关注交易日发生送股、配股等权益类变动的期权合约标的证券，提前提醒客户注意。并在除权除息日前一日收盘后，计算客户可能出现的备兑证券不足数量，及时提醒和通知客户注意补券及具体补券数量。</w:t>
      </w:r>
    </w:p>
    <w:p>
      <w:pPr>
        <w:widowControl/>
        <w:spacing w:line="560" w:lineRule="exact"/>
        <w:ind w:firstLine="600" w:firstLineChars="200"/>
        <w:rPr>
          <w:rFonts w:eastAsia="方正仿宋简体"/>
          <w:sz w:val="30"/>
          <w:szCs w:val="30"/>
        </w:rPr>
      </w:pPr>
      <w:r>
        <w:rPr>
          <w:rFonts w:eastAsia="方正仿宋简体"/>
          <w:sz w:val="30"/>
          <w:szCs w:val="30"/>
        </w:rPr>
        <w:t>当客户出现备兑证券数量不足，且未能在规定时间内补足并锁定标的证券或未能对不足部分头寸自行平仓时，中国结算日终按投资者备兑持仓未锁定差额计算需转普通仓（现金担保仓）数量，如果保证金不足且未在规定的时间内补足资金，期货公司有权按照保证金不足的情况对该客户进行强行平仓。</w:t>
      </w:r>
    </w:p>
    <w:p>
      <w:pPr>
        <w:numPr>
          <w:ilvl w:val="0"/>
          <w:numId w:val="78"/>
        </w:numPr>
        <w:spacing w:line="560" w:lineRule="exact"/>
        <w:ind w:left="0" w:firstLine="601" w:firstLineChars="200"/>
        <w:outlineLvl w:val="1"/>
        <w:rPr>
          <w:rFonts w:eastAsia="方正仿宋简体"/>
          <w:b/>
          <w:bCs/>
          <w:kern w:val="0"/>
          <w:sz w:val="30"/>
          <w:szCs w:val="30"/>
          <w:lang w:val="zh-CN" w:eastAsia="zh-CN"/>
        </w:rPr>
      </w:pPr>
      <w:bookmarkStart w:id="157" w:name="_Toc25842011"/>
      <w:bookmarkStart w:id="158" w:name="_Toc437542891"/>
      <w:r>
        <w:rPr>
          <w:rFonts w:eastAsia="方正仿宋简体"/>
          <w:b/>
          <w:bCs/>
          <w:kern w:val="0"/>
          <w:sz w:val="30"/>
          <w:szCs w:val="30"/>
          <w:lang w:val="zh-CN" w:eastAsia="zh-CN"/>
        </w:rPr>
        <w:t>持仓超限平仓</w:t>
      </w:r>
      <w:bookmarkEnd w:id="157"/>
      <w:bookmarkEnd w:id="158"/>
    </w:p>
    <w:p>
      <w:pPr>
        <w:keepNext/>
        <w:keepLines/>
        <w:numPr>
          <w:ilvl w:val="0"/>
          <w:numId w:val="85"/>
        </w:numPr>
        <w:spacing w:line="560" w:lineRule="exact"/>
        <w:ind w:left="0" w:firstLine="601" w:firstLineChars="200"/>
        <w:outlineLvl w:val="2"/>
        <w:rPr>
          <w:rFonts w:eastAsia="方正仿宋简体"/>
          <w:b/>
          <w:sz w:val="30"/>
          <w:szCs w:val="30"/>
        </w:rPr>
      </w:pPr>
      <w:r>
        <w:rPr>
          <w:rFonts w:eastAsia="方正仿宋简体"/>
          <w:b/>
          <w:sz w:val="30"/>
          <w:szCs w:val="30"/>
        </w:rPr>
        <w:t>触发条件</w:t>
      </w:r>
    </w:p>
    <w:p>
      <w:pPr>
        <w:numPr>
          <w:ilvl w:val="0"/>
          <w:numId w:val="86"/>
        </w:numPr>
        <w:spacing w:line="560" w:lineRule="exact"/>
        <w:ind w:left="0" w:firstLine="601" w:firstLineChars="200"/>
        <w:outlineLvl w:val="3"/>
        <w:rPr>
          <w:rFonts w:eastAsia="方正仿宋简体"/>
          <w:b/>
          <w:kern w:val="0"/>
          <w:sz w:val="30"/>
          <w:szCs w:val="30"/>
          <w:lang w:val="zh-CN" w:eastAsia="zh-CN"/>
        </w:rPr>
      </w:pPr>
      <w:r>
        <w:rPr>
          <w:rFonts w:eastAsia="方正仿宋简体"/>
          <w:b/>
          <w:kern w:val="0"/>
          <w:sz w:val="30"/>
          <w:szCs w:val="30"/>
          <w:lang w:val="zh-CN" w:eastAsia="zh-CN"/>
        </w:rPr>
        <w:t>期货公司自行发起的客户持仓超限平仓</w:t>
      </w:r>
    </w:p>
    <w:p>
      <w:pPr>
        <w:spacing w:line="560" w:lineRule="exact"/>
        <w:ind w:firstLine="600" w:firstLineChars="200"/>
        <w:rPr>
          <w:rFonts w:eastAsia="方正仿宋简体"/>
          <w:sz w:val="30"/>
          <w:szCs w:val="30"/>
        </w:rPr>
      </w:pPr>
      <w:r>
        <w:rPr>
          <w:rFonts w:eastAsia="方正仿宋简体"/>
          <w:sz w:val="30"/>
          <w:szCs w:val="30"/>
        </w:rPr>
        <w:t>客户单个合约品种超过期货公司与客户约定的持仓限额，且未能在规定时间内自行平仓，期货公司可实施强行平仓。</w:t>
      </w:r>
    </w:p>
    <w:p>
      <w:pPr>
        <w:spacing w:line="560" w:lineRule="exact"/>
        <w:ind w:firstLine="600" w:firstLineChars="200"/>
        <w:rPr>
          <w:rFonts w:eastAsia="方正仿宋简体"/>
          <w:sz w:val="30"/>
          <w:szCs w:val="30"/>
        </w:rPr>
      </w:pPr>
      <w:r>
        <w:rPr>
          <w:rFonts w:eastAsia="方正仿宋简体"/>
          <w:sz w:val="30"/>
          <w:szCs w:val="30"/>
        </w:rPr>
        <w:t>由于本所</w:t>
      </w:r>
      <w:r>
        <w:rPr>
          <w:rFonts w:eastAsia="方正仿宋简体"/>
          <w:bCs/>
          <w:sz w:val="30"/>
          <w:szCs w:val="30"/>
        </w:rPr>
        <w:t>采取风险控制措施等原因降低市场主体持仓限额、期货公司根据经纪合同约定对客户的持仓限额作出调整或者因</w:t>
      </w:r>
      <w:r>
        <w:rPr>
          <w:rFonts w:eastAsia="方正仿宋简体"/>
          <w:sz w:val="30"/>
          <w:szCs w:val="30"/>
        </w:rPr>
        <w:t>客户申请的持仓限额到期导致客户持仓超限，客户可以自行平仓，期货公司可不要求客户自行平仓，也不应对客户的超额持仓进行强行平仓，但对客户开仓将按新的持仓限额进行限制。</w:t>
      </w:r>
    </w:p>
    <w:p>
      <w:pPr>
        <w:numPr>
          <w:ilvl w:val="0"/>
          <w:numId w:val="86"/>
        </w:numPr>
        <w:spacing w:line="560" w:lineRule="exact"/>
        <w:ind w:left="0" w:firstLine="601" w:firstLineChars="200"/>
        <w:outlineLvl w:val="3"/>
        <w:rPr>
          <w:rFonts w:eastAsia="方正仿宋简体"/>
          <w:b/>
          <w:bCs/>
          <w:kern w:val="0"/>
          <w:sz w:val="30"/>
          <w:szCs w:val="30"/>
          <w:lang w:val="zh-CN" w:eastAsia="zh-CN"/>
        </w:rPr>
      </w:pPr>
      <w:r>
        <w:rPr>
          <w:rFonts w:eastAsia="方正仿宋简体"/>
          <w:b/>
          <w:bCs/>
          <w:kern w:val="0"/>
          <w:sz w:val="30"/>
          <w:szCs w:val="30"/>
          <w:lang w:val="zh-CN" w:eastAsia="zh-CN"/>
        </w:rPr>
        <w:t>期货公司按</w:t>
      </w:r>
      <w:r>
        <w:rPr>
          <w:rFonts w:eastAsia="方正仿宋简体"/>
          <w:b/>
          <w:bCs/>
          <w:kern w:val="0"/>
          <w:sz w:val="30"/>
          <w:szCs w:val="30"/>
          <w:lang w:eastAsia="zh-CN"/>
        </w:rPr>
        <w:t>本所</w:t>
      </w:r>
      <w:r>
        <w:rPr>
          <w:rFonts w:eastAsia="方正仿宋简体"/>
          <w:b/>
          <w:bCs/>
          <w:kern w:val="0"/>
          <w:sz w:val="30"/>
          <w:szCs w:val="30"/>
          <w:lang w:val="zh-CN" w:eastAsia="zh-CN"/>
        </w:rPr>
        <w:t>强平通知书进行强平</w:t>
      </w:r>
    </w:p>
    <w:p>
      <w:pPr>
        <w:spacing w:line="560" w:lineRule="exact"/>
        <w:ind w:firstLine="600" w:firstLineChars="200"/>
        <w:rPr>
          <w:rFonts w:eastAsia="方正仿宋简体"/>
          <w:sz w:val="30"/>
          <w:szCs w:val="30"/>
        </w:rPr>
      </w:pPr>
      <w:r>
        <w:rPr>
          <w:rFonts w:eastAsia="方正仿宋简体"/>
          <w:sz w:val="30"/>
          <w:szCs w:val="30"/>
        </w:rPr>
        <w:t>深市投资者可以在多家期货公司进行交易，可能存在单客户在任一家期货公司都未持仓超限，但合并持仓超限的情形。此时本所会向指定的期货公司发送</w:t>
      </w:r>
      <w:r>
        <w:rPr>
          <w:rFonts w:hint="eastAsia" w:ascii="方正仿宋简体" w:eastAsia="方正仿宋简体"/>
          <w:sz w:val="30"/>
          <w:szCs w:val="30"/>
        </w:rPr>
        <w:t>“</w:t>
      </w:r>
      <w:r>
        <w:rPr>
          <w:rFonts w:eastAsia="方正仿宋简体"/>
          <w:sz w:val="30"/>
          <w:szCs w:val="30"/>
        </w:rPr>
        <w:t>强行平仓通知书</w:t>
      </w:r>
      <w:r>
        <w:rPr>
          <w:rFonts w:hint="eastAsia" w:ascii="方正仿宋简体" w:eastAsia="方正仿宋简体"/>
          <w:sz w:val="30"/>
          <w:szCs w:val="30"/>
        </w:rPr>
        <w:t>”</w:t>
      </w:r>
      <w:r>
        <w:rPr>
          <w:rFonts w:eastAsia="方正仿宋简体"/>
          <w:sz w:val="30"/>
          <w:szCs w:val="30"/>
        </w:rPr>
        <w:t>，要求期货公司通知投资者自行平仓，如投资者未按要求自行平仓，期货公司应按交易所要求对其实施强平。</w:t>
      </w:r>
    </w:p>
    <w:p>
      <w:pPr>
        <w:keepNext/>
        <w:keepLines/>
        <w:numPr>
          <w:ilvl w:val="0"/>
          <w:numId w:val="85"/>
        </w:numPr>
        <w:spacing w:line="560" w:lineRule="exact"/>
        <w:ind w:left="0" w:firstLine="601" w:firstLineChars="200"/>
        <w:outlineLvl w:val="2"/>
        <w:rPr>
          <w:rFonts w:eastAsia="方正仿宋简体"/>
          <w:b/>
          <w:sz w:val="30"/>
          <w:szCs w:val="30"/>
        </w:rPr>
      </w:pPr>
      <w:r>
        <w:rPr>
          <w:rFonts w:eastAsia="方正仿宋简体"/>
          <w:b/>
          <w:sz w:val="30"/>
          <w:szCs w:val="30"/>
        </w:rPr>
        <w:t>平仓原则</w:t>
      </w:r>
    </w:p>
    <w:p>
      <w:pPr>
        <w:numPr>
          <w:ilvl w:val="0"/>
          <w:numId w:val="87"/>
        </w:numPr>
        <w:spacing w:line="560" w:lineRule="exact"/>
        <w:ind w:left="0" w:firstLine="601" w:firstLineChars="200"/>
        <w:outlineLvl w:val="3"/>
        <w:rPr>
          <w:rFonts w:eastAsia="方正仿宋简体"/>
          <w:b/>
          <w:kern w:val="0"/>
          <w:sz w:val="30"/>
          <w:szCs w:val="30"/>
          <w:lang w:val="zh-CN" w:eastAsia="zh-CN"/>
        </w:rPr>
      </w:pPr>
      <w:r>
        <w:rPr>
          <w:rFonts w:eastAsia="方正仿宋简体"/>
          <w:b/>
          <w:kern w:val="0"/>
          <w:sz w:val="30"/>
          <w:szCs w:val="30"/>
          <w:lang w:val="zh-CN" w:eastAsia="zh-CN"/>
        </w:rPr>
        <w:t>期货公司自行发起的客户持仓超限平仓</w:t>
      </w:r>
    </w:p>
    <w:p>
      <w:pPr>
        <w:spacing w:line="560" w:lineRule="exact"/>
        <w:ind w:firstLine="600" w:firstLineChars="200"/>
        <w:rPr>
          <w:rFonts w:eastAsia="方正仿宋简体"/>
          <w:sz w:val="30"/>
          <w:szCs w:val="30"/>
        </w:rPr>
      </w:pPr>
      <w:r>
        <w:rPr>
          <w:rFonts w:eastAsia="方正仿宋简体"/>
          <w:sz w:val="30"/>
          <w:szCs w:val="30"/>
        </w:rPr>
        <w:t>客户对单个合约品种持仓超限的，待平仓合约选择范围为在该合约品种中，优先选取客户总持仓量大的合约作为待平仓合约。</w:t>
      </w:r>
    </w:p>
    <w:p>
      <w:pPr>
        <w:spacing w:line="560" w:lineRule="exact"/>
        <w:ind w:firstLine="600" w:firstLineChars="200"/>
        <w:rPr>
          <w:rFonts w:eastAsia="方正仿宋简体"/>
          <w:sz w:val="30"/>
          <w:szCs w:val="30"/>
        </w:rPr>
      </w:pPr>
      <w:r>
        <w:rPr>
          <w:rFonts w:eastAsia="方正仿宋简体"/>
          <w:sz w:val="30"/>
          <w:szCs w:val="30"/>
        </w:rPr>
        <w:t>若客户同时发生权利仓超仓和总持仓超仓，本所按</w:t>
      </w:r>
      <w:r>
        <w:rPr>
          <w:rFonts w:hint="eastAsia" w:ascii="方正仿宋简体" w:eastAsia="方正仿宋简体"/>
          <w:sz w:val="30"/>
          <w:szCs w:val="30"/>
        </w:rPr>
        <w:t>“</w:t>
      </w:r>
      <w:r>
        <w:rPr>
          <w:rFonts w:eastAsia="方正仿宋简体"/>
          <w:sz w:val="30"/>
          <w:szCs w:val="30"/>
        </w:rPr>
        <w:t>先权利仓，后总持仓</w:t>
      </w:r>
      <w:r>
        <w:rPr>
          <w:rFonts w:hint="eastAsia" w:ascii="方正仿宋简体" w:eastAsia="方正仿宋简体"/>
          <w:sz w:val="30"/>
          <w:szCs w:val="30"/>
        </w:rPr>
        <w:t>”</w:t>
      </w:r>
      <w:r>
        <w:rPr>
          <w:rFonts w:eastAsia="方正仿宋简体"/>
          <w:sz w:val="30"/>
          <w:szCs w:val="30"/>
        </w:rPr>
        <w:t>的原则进行处理，先计算权利仓待平仓数量，再计算扣减权利仓待平仓数量后的总持仓待平仓数量；否则按各自情形单独处理。</w:t>
      </w:r>
    </w:p>
    <w:p>
      <w:pPr>
        <w:numPr>
          <w:ilvl w:val="0"/>
          <w:numId w:val="88"/>
        </w:numPr>
        <w:spacing w:line="560" w:lineRule="exact"/>
        <w:ind w:left="0" w:firstLine="600" w:firstLineChars="200"/>
        <w:rPr>
          <w:rFonts w:eastAsia="方正仿宋简体"/>
          <w:sz w:val="30"/>
          <w:szCs w:val="30"/>
        </w:rPr>
      </w:pPr>
      <w:r>
        <w:rPr>
          <w:rFonts w:eastAsia="方正仿宋简体"/>
          <w:sz w:val="30"/>
          <w:szCs w:val="30"/>
        </w:rPr>
        <w:t>权利仓持仓超限</w:t>
      </w:r>
    </w:p>
    <w:p>
      <w:pPr>
        <w:spacing w:line="560" w:lineRule="exact"/>
        <w:ind w:firstLine="600" w:firstLineChars="200"/>
        <w:rPr>
          <w:rFonts w:eastAsia="方正仿宋简体"/>
          <w:sz w:val="30"/>
          <w:szCs w:val="30"/>
        </w:rPr>
      </w:pPr>
      <w:r>
        <w:rPr>
          <w:rFonts w:eastAsia="方正仿宋简体"/>
          <w:sz w:val="30"/>
          <w:szCs w:val="30"/>
        </w:rPr>
        <w:t>若客户账户下单个期权品种权利仓持仓超限，期货公司可根据客户持有期权品种权利仓的合约持仓数量，按由大到小顺序选择合约进行平仓（如合约持仓数量相同，先按合约未平仓数量由大到小顺序，再按合约编码由小到大顺序），直至投资者权利仓超仓情形消除。</w:t>
      </w:r>
    </w:p>
    <w:p>
      <w:pPr>
        <w:numPr>
          <w:ilvl w:val="0"/>
          <w:numId w:val="88"/>
        </w:numPr>
        <w:spacing w:line="560" w:lineRule="exact"/>
        <w:ind w:left="0" w:firstLine="600" w:firstLineChars="200"/>
        <w:rPr>
          <w:rFonts w:eastAsia="方正仿宋简体"/>
          <w:sz w:val="30"/>
          <w:szCs w:val="30"/>
        </w:rPr>
      </w:pPr>
      <w:r>
        <w:rPr>
          <w:rFonts w:eastAsia="方正仿宋简体"/>
          <w:sz w:val="30"/>
          <w:szCs w:val="30"/>
        </w:rPr>
        <w:t>总持仓超限</w:t>
      </w:r>
    </w:p>
    <w:p>
      <w:pPr>
        <w:spacing w:line="560" w:lineRule="exact"/>
        <w:ind w:firstLine="600" w:firstLineChars="200"/>
        <w:rPr>
          <w:rFonts w:eastAsia="方正仿宋简体"/>
          <w:sz w:val="30"/>
          <w:szCs w:val="30"/>
        </w:rPr>
      </w:pPr>
      <w:r>
        <w:rPr>
          <w:rFonts w:eastAsia="方正仿宋简体"/>
          <w:sz w:val="30"/>
          <w:szCs w:val="30"/>
        </w:rPr>
        <w:t>若客户账户下单个期权品种总持仓超限，期货公司可根据客户持有期权品种合约数量，按由大到小顺序选择合约进行平仓（如合约持仓数量相同，先按先义务仓、后权利仓的顺序，再按该合约未平仓数量由大到小顺序，最后按合约编码由小到大顺序），直至投资者总持仓超仓情形消除。</w:t>
      </w:r>
    </w:p>
    <w:p>
      <w:pPr>
        <w:spacing w:line="560" w:lineRule="exact"/>
        <w:ind w:firstLine="600" w:firstLineChars="200"/>
        <w:rPr>
          <w:rFonts w:eastAsia="方正仿宋简体"/>
          <w:sz w:val="30"/>
          <w:szCs w:val="30"/>
        </w:rPr>
      </w:pPr>
      <w:r>
        <w:rPr>
          <w:rFonts w:eastAsia="方正仿宋简体"/>
          <w:sz w:val="30"/>
          <w:szCs w:val="30"/>
        </w:rPr>
        <w:t>对同一合约义务仓进行强行平仓的，期货公司可先对非备兑持仓进行强行平仓。</w:t>
      </w:r>
    </w:p>
    <w:p>
      <w:pPr>
        <w:numPr>
          <w:ilvl w:val="0"/>
          <w:numId w:val="87"/>
        </w:numPr>
        <w:spacing w:line="560" w:lineRule="exact"/>
        <w:ind w:left="0" w:firstLine="601" w:firstLineChars="200"/>
        <w:outlineLvl w:val="3"/>
        <w:rPr>
          <w:rFonts w:eastAsia="方正仿宋简体"/>
          <w:b/>
          <w:bCs/>
          <w:kern w:val="0"/>
          <w:sz w:val="30"/>
          <w:szCs w:val="30"/>
          <w:lang w:val="zh-CN" w:eastAsia="zh-CN"/>
        </w:rPr>
      </w:pPr>
      <w:r>
        <w:rPr>
          <w:rFonts w:eastAsia="方正仿宋简体"/>
          <w:b/>
          <w:bCs/>
          <w:kern w:val="0"/>
          <w:sz w:val="30"/>
          <w:szCs w:val="30"/>
          <w:lang w:eastAsia="zh-CN"/>
        </w:rPr>
        <w:t>本所</w:t>
      </w:r>
      <w:r>
        <w:rPr>
          <w:rFonts w:eastAsia="方正仿宋简体"/>
          <w:b/>
          <w:kern w:val="0"/>
          <w:sz w:val="30"/>
          <w:szCs w:val="30"/>
          <w:lang w:val="zh-CN" w:eastAsia="zh-CN"/>
        </w:rPr>
        <w:t>发起的客户持仓超限平仓</w:t>
      </w:r>
    </w:p>
    <w:p>
      <w:pPr>
        <w:spacing w:line="560" w:lineRule="exact"/>
        <w:ind w:firstLine="600" w:firstLineChars="200"/>
        <w:rPr>
          <w:rFonts w:eastAsia="方正仿宋简体"/>
          <w:sz w:val="30"/>
          <w:szCs w:val="30"/>
        </w:rPr>
      </w:pPr>
      <w:r>
        <w:rPr>
          <w:rFonts w:eastAsia="方正仿宋简体"/>
          <w:sz w:val="30"/>
          <w:szCs w:val="30"/>
        </w:rPr>
        <w:t>投资者在多家期货公司处交易，合并计算仓位发生持仓超限情形，本所先计算权利仓待平仓总额，按照投资者在各期货公司权利仓持仓数量，由大到小顺序选择待平仓机构，分配各机构待平仓额度，并累积权利仓待平仓数量，直至其不低于权利仓待平仓总额。若权利仓待平仓额度分配完毕后，仍存在投资者总持仓超限情形，按权利仓待平仓机构顺序先选择已分配权利仓待平仓额度的期货公司，平仓次序按照总持仓由大到小顺序进行，不足部分在按相同顺序选择其他机构（如投资者于各期货公司总持仓相同，按单个合约持仓数量由大到小选择）做类似处理。</w:t>
      </w:r>
    </w:p>
    <w:p>
      <w:pPr>
        <w:keepNext/>
        <w:keepLines/>
        <w:numPr>
          <w:ilvl w:val="0"/>
          <w:numId w:val="85"/>
        </w:numPr>
        <w:spacing w:line="560" w:lineRule="exact"/>
        <w:ind w:left="0" w:firstLine="601" w:firstLineChars="200"/>
        <w:outlineLvl w:val="2"/>
        <w:rPr>
          <w:rFonts w:eastAsia="方正仿宋简体"/>
          <w:b/>
          <w:sz w:val="30"/>
          <w:szCs w:val="30"/>
        </w:rPr>
      </w:pPr>
      <w:r>
        <w:rPr>
          <w:rFonts w:eastAsia="方正仿宋简体"/>
          <w:b/>
          <w:sz w:val="30"/>
          <w:szCs w:val="30"/>
        </w:rPr>
        <w:t>平仓流程</w:t>
      </w:r>
    </w:p>
    <w:p>
      <w:pPr>
        <w:numPr>
          <w:ilvl w:val="0"/>
          <w:numId w:val="89"/>
        </w:numPr>
        <w:spacing w:line="560" w:lineRule="exact"/>
        <w:ind w:left="0" w:firstLine="601" w:firstLineChars="200"/>
        <w:outlineLvl w:val="3"/>
        <w:rPr>
          <w:rFonts w:eastAsia="方正仿宋简体"/>
          <w:b/>
          <w:bCs/>
          <w:kern w:val="0"/>
          <w:sz w:val="30"/>
          <w:szCs w:val="30"/>
          <w:lang w:val="zh-CN" w:eastAsia="zh-CN"/>
        </w:rPr>
      </w:pPr>
      <w:r>
        <w:rPr>
          <w:rFonts w:eastAsia="方正仿宋简体"/>
          <w:b/>
          <w:kern w:val="0"/>
          <w:sz w:val="30"/>
          <w:szCs w:val="30"/>
          <w:lang w:val="zh-CN" w:eastAsia="zh-CN"/>
        </w:rPr>
        <w:t>未收到</w:t>
      </w:r>
      <w:r>
        <w:rPr>
          <w:rFonts w:eastAsia="方正仿宋简体"/>
          <w:b/>
          <w:kern w:val="0"/>
          <w:sz w:val="30"/>
          <w:szCs w:val="30"/>
          <w:lang w:eastAsia="zh-CN"/>
        </w:rPr>
        <w:t>本所</w:t>
      </w:r>
      <w:r>
        <w:rPr>
          <w:rFonts w:hint="eastAsia" w:ascii="方正仿宋简体" w:eastAsia="方正仿宋简体"/>
          <w:b/>
          <w:kern w:val="0"/>
          <w:sz w:val="30"/>
          <w:szCs w:val="30"/>
          <w:lang w:val="zh-CN" w:eastAsia="zh-CN"/>
        </w:rPr>
        <w:t>“</w:t>
      </w:r>
      <w:r>
        <w:rPr>
          <w:rFonts w:eastAsia="方正仿宋简体"/>
          <w:b/>
          <w:kern w:val="0"/>
          <w:sz w:val="30"/>
          <w:szCs w:val="30"/>
          <w:lang w:val="zh-CN" w:eastAsia="zh-CN"/>
        </w:rPr>
        <w:t>强行平仓通知书</w:t>
      </w:r>
      <w:r>
        <w:rPr>
          <w:rFonts w:hint="eastAsia" w:ascii="方正仿宋简体" w:eastAsia="方正仿宋简体"/>
          <w:b/>
          <w:kern w:val="0"/>
          <w:sz w:val="30"/>
          <w:szCs w:val="30"/>
          <w:lang w:val="zh-CN" w:eastAsia="zh-CN"/>
        </w:rPr>
        <w:t>”</w:t>
      </w:r>
      <w:r>
        <w:rPr>
          <w:rFonts w:eastAsia="方正仿宋简体"/>
          <w:b/>
          <w:kern w:val="0"/>
          <w:sz w:val="30"/>
          <w:szCs w:val="30"/>
          <w:lang w:val="zh-CN" w:eastAsia="zh-CN"/>
        </w:rPr>
        <w:t>情况下的强平</w:t>
      </w:r>
    </w:p>
    <w:p>
      <w:pPr>
        <w:spacing w:line="560" w:lineRule="exact"/>
        <w:ind w:firstLine="600" w:firstLineChars="200"/>
        <w:rPr>
          <w:rFonts w:eastAsia="方正仿宋简体"/>
          <w:sz w:val="30"/>
          <w:szCs w:val="30"/>
        </w:rPr>
      </w:pPr>
      <w:r>
        <w:rPr>
          <w:rFonts w:eastAsia="方正仿宋简体"/>
          <w:sz w:val="30"/>
          <w:szCs w:val="30"/>
        </w:rPr>
        <w:t>对持仓超限需要进行强行平仓的，期货公司应以电话、邮件、短信、交易端提醒等形式向客户发送</w:t>
      </w:r>
      <w:r>
        <w:rPr>
          <w:rFonts w:hint="eastAsia" w:ascii="方正仿宋简体" w:eastAsia="方正仿宋简体"/>
          <w:sz w:val="30"/>
          <w:szCs w:val="30"/>
        </w:rPr>
        <w:t>“</w:t>
      </w:r>
      <w:r>
        <w:rPr>
          <w:rFonts w:eastAsia="方正仿宋简体"/>
          <w:sz w:val="30"/>
          <w:szCs w:val="30"/>
        </w:rPr>
        <w:t>强行平仓通知书</w:t>
      </w:r>
      <w:r>
        <w:rPr>
          <w:rFonts w:hint="eastAsia" w:ascii="方正仿宋简体" w:eastAsia="方正仿宋简体"/>
          <w:sz w:val="30"/>
          <w:szCs w:val="30"/>
        </w:rPr>
        <w:t>”</w:t>
      </w:r>
      <w:r>
        <w:rPr>
          <w:rFonts w:eastAsia="方正仿宋简体"/>
          <w:sz w:val="30"/>
          <w:szCs w:val="30"/>
        </w:rPr>
        <w:t>，并要求客户在规定时间前自行平仓，否则公司将于约定时间实施强行平仓。</w:t>
      </w:r>
    </w:p>
    <w:p>
      <w:pPr>
        <w:numPr>
          <w:ilvl w:val="0"/>
          <w:numId w:val="89"/>
        </w:numPr>
        <w:spacing w:line="560" w:lineRule="exact"/>
        <w:ind w:left="0" w:firstLine="601" w:firstLineChars="200"/>
        <w:outlineLvl w:val="3"/>
        <w:rPr>
          <w:rFonts w:eastAsia="方正仿宋简体"/>
          <w:b/>
          <w:bCs/>
          <w:kern w:val="0"/>
          <w:sz w:val="30"/>
          <w:szCs w:val="30"/>
          <w:lang w:val="zh-CN" w:eastAsia="zh-CN"/>
        </w:rPr>
      </w:pPr>
      <w:r>
        <w:rPr>
          <w:rFonts w:eastAsia="方正仿宋简体"/>
          <w:b/>
          <w:kern w:val="0"/>
          <w:sz w:val="30"/>
          <w:szCs w:val="30"/>
          <w:lang w:val="zh-CN" w:eastAsia="zh-CN"/>
        </w:rPr>
        <w:t>收到</w:t>
      </w:r>
      <w:r>
        <w:rPr>
          <w:rFonts w:eastAsia="方正仿宋简体"/>
          <w:b/>
          <w:kern w:val="0"/>
          <w:sz w:val="30"/>
          <w:szCs w:val="30"/>
          <w:lang w:eastAsia="zh-CN"/>
        </w:rPr>
        <w:t>本所</w:t>
      </w:r>
      <w:r>
        <w:rPr>
          <w:rFonts w:hint="eastAsia" w:ascii="方正仿宋简体" w:eastAsia="方正仿宋简体"/>
          <w:b/>
          <w:kern w:val="0"/>
          <w:sz w:val="30"/>
          <w:szCs w:val="30"/>
          <w:lang w:val="zh-CN" w:eastAsia="zh-CN"/>
        </w:rPr>
        <w:t>“</w:t>
      </w:r>
      <w:r>
        <w:rPr>
          <w:rFonts w:eastAsia="方正仿宋简体"/>
          <w:b/>
          <w:kern w:val="0"/>
          <w:sz w:val="30"/>
          <w:szCs w:val="30"/>
          <w:lang w:val="zh-CN" w:eastAsia="zh-CN"/>
        </w:rPr>
        <w:t>强行平仓通知书</w:t>
      </w:r>
      <w:r>
        <w:rPr>
          <w:rFonts w:hint="eastAsia" w:ascii="方正仿宋简体" w:eastAsia="方正仿宋简体"/>
          <w:b/>
          <w:kern w:val="0"/>
          <w:sz w:val="30"/>
          <w:szCs w:val="30"/>
          <w:lang w:val="zh-CN" w:eastAsia="zh-CN"/>
        </w:rPr>
        <w:t>”</w:t>
      </w:r>
      <w:r>
        <w:rPr>
          <w:rFonts w:eastAsia="方正仿宋简体"/>
          <w:b/>
          <w:kern w:val="0"/>
          <w:sz w:val="30"/>
          <w:szCs w:val="30"/>
          <w:lang w:val="zh-CN" w:eastAsia="zh-CN"/>
        </w:rPr>
        <w:t>情况下的强平</w:t>
      </w:r>
    </w:p>
    <w:p>
      <w:pPr>
        <w:spacing w:line="560" w:lineRule="exact"/>
        <w:ind w:firstLine="600" w:firstLineChars="200"/>
        <w:rPr>
          <w:rFonts w:eastAsia="方正仿宋简体"/>
          <w:sz w:val="30"/>
          <w:szCs w:val="30"/>
        </w:rPr>
      </w:pPr>
      <w:r>
        <w:rPr>
          <w:rFonts w:eastAsia="方正仿宋简体"/>
          <w:sz w:val="30"/>
          <w:szCs w:val="30"/>
        </w:rPr>
        <w:t>T日日终结算后，本所将投资者持仓超限情况通知期货公司，期货公司应以电话、邮件、短信、客户端等形式向客户发送</w:t>
      </w:r>
      <w:r>
        <w:rPr>
          <w:rFonts w:hint="eastAsia" w:ascii="方正仿宋简体" w:eastAsia="方正仿宋简体"/>
          <w:sz w:val="30"/>
          <w:szCs w:val="30"/>
        </w:rPr>
        <w:t>“</w:t>
      </w:r>
      <w:r>
        <w:rPr>
          <w:rFonts w:eastAsia="方正仿宋简体"/>
          <w:sz w:val="30"/>
          <w:szCs w:val="30"/>
        </w:rPr>
        <w:t>强行平仓通知书</w:t>
      </w:r>
      <w:r>
        <w:rPr>
          <w:rFonts w:hint="eastAsia" w:ascii="方正仿宋简体" w:eastAsia="方正仿宋简体"/>
          <w:sz w:val="30"/>
          <w:szCs w:val="30"/>
        </w:rPr>
        <w:t>”</w:t>
      </w:r>
      <w:r>
        <w:rPr>
          <w:rFonts w:eastAsia="方正仿宋简体"/>
          <w:sz w:val="30"/>
          <w:szCs w:val="30"/>
        </w:rPr>
        <w:t>，要求客户在规定时间前（比如T+1日10:30）自行平仓。否则期货公司应按照本所的要求对客户实施强行平仓。</w:t>
      </w:r>
    </w:p>
    <w:p>
      <w:pPr>
        <w:numPr>
          <w:ilvl w:val="0"/>
          <w:numId w:val="78"/>
        </w:numPr>
        <w:spacing w:line="560" w:lineRule="exact"/>
        <w:ind w:left="0" w:firstLine="601" w:firstLineChars="200"/>
        <w:outlineLvl w:val="1"/>
        <w:rPr>
          <w:rFonts w:eastAsia="方正仿宋简体"/>
          <w:b/>
          <w:bCs/>
          <w:kern w:val="0"/>
          <w:sz w:val="30"/>
          <w:szCs w:val="30"/>
          <w:lang w:val="zh-CN" w:eastAsia="zh-CN"/>
        </w:rPr>
      </w:pPr>
      <w:bookmarkStart w:id="159" w:name="_Toc25842012"/>
      <w:bookmarkStart w:id="160" w:name="_Toc437542892"/>
      <w:r>
        <w:rPr>
          <w:rFonts w:eastAsia="方正仿宋简体"/>
          <w:b/>
          <w:bCs/>
          <w:kern w:val="0"/>
          <w:sz w:val="30"/>
          <w:szCs w:val="30"/>
          <w:lang w:val="zh-CN" w:eastAsia="zh-CN"/>
        </w:rPr>
        <w:t>强行平仓申报订单指令</w:t>
      </w:r>
      <w:bookmarkEnd w:id="159"/>
      <w:bookmarkEnd w:id="160"/>
    </w:p>
    <w:p>
      <w:pPr>
        <w:spacing w:line="560" w:lineRule="exact"/>
        <w:ind w:firstLine="600" w:firstLineChars="200"/>
        <w:rPr>
          <w:rFonts w:eastAsia="方正仿宋简体"/>
          <w:sz w:val="30"/>
          <w:szCs w:val="30"/>
        </w:rPr>
      </w:pPr>
      <w:r>
        <w:rPr>
          <w:rFonts w:eastAsia="方正仿宋简体"/>
          <w:sz w:val="30"/>
          <w:szCs w:val="30"/>
        </w:rPr>
        <w:t>强行平仓申报订单指令应严格按照相关技术接口要求执行。经纪业务中由期货公司发起的强行平仓，订单指令中所有者类型（OwnerType）为</w:t>
      </w:r>
      <w:r>
        <w:rPr>
          <w:rFonts w:hint="eastAsia" w:ascii="方正仿宋简体" w:eastAsia="方正仿宋简体"/>
          <w:sz w:val="30"/>
          <w:szCs w:val="30"/>
        </w:rPr>
        <w:t>“</w:t>
      </w:r>
      <w:r>
        <w:rPr>
          <w:rFonts w:eastAsia="方正仿宋简体"/>
          <w:sz w:val="30"/>
          <w:szCs w:val="30"/>
        </w:rPr>
        <w:t>102=会员发起</w:t>
      </w:r>
      <w:r>
        <w:rPr>
          <w:rFonts w:hint="eastAsia" w:ascii="方正仿宋简体" w:eastAsia="方正仿宋简体"/>
          <w:sz w:val="30"/>
          <w:szCs w:val="30"/>
        </w:rPr>
        <w:t>”</w:t>
      </w:r>
      <w:r>
        <w:rPr>
          <w:rFonts w:eastAsia="方正仿宋简体"/>
          <w:sz w:val="30"/>
          <w:szCs w:val="30"/>
        </w:rPr>
        <w:t>。</w:t>
      </w:r>
    </w:p>
    <w:p>
      <w:pPr>
        <w:spacing w:line="560" w:lineRule="exact"/>
        <w:ind w:firstLine="600" w:firstLineChars="200"/>
        <w:rPr>
          <w:rFonts w:eastAsia="方正仿宋简体"/>
          <w:sz w:val="30"/>
          <w:szCs w:val="30"/>
        </w:rPr>
      </w:pPr>
      <w:r>
        <w:rPr>
          <w:rFonts w:eastAsia="方正仿宋简体"/>
          <w:sz w:val="30"/>
          <w:szCs w:val="30"/>
        </w:rPr>
        <w:t>本所或中国结算发起的强行平仓，成交回报中指令所有者类型按技术接口为</w:t>
      </w:r>
      <w:r>
        <w:rPr>
          <w:rFonts w:hint="eastAsia" w:ascii="方正仿宋简体" w:eastAsia="方正仿宋简体"/>
          <w:sz w:val="30"/>
          <w:szCs w:val="30"/>
        </w:rPr>
        <w:t>“</w:t>
      </w:r>
      <w:r>
        <w:rPr>
          <w:rFonts w:eastAsia="方正仿宋简体"/>
          <w:sz w:val="30"/>
          <w:szCs w:val="30"/>
        </w:rPr>
        <w:t>101=交易所发起</w:t>
      </w:r>
      <w:r>
        <w:rPr>
          <w:rFonts w:hint="eastAsia" w:ascii="方正仿宋简体" w:eastAsia="方正仿宋简体"/>
          <w:sz w:val="30"/>
          <w:szCs w:val="30"/>
        </w:rPr>
        <w:t>”</w:t>
      </w:r>
      <w:r>
        <w:rPr>
          <w:rFonts w:eastAsia="方正仿宋简体"/>
          <w:sz w:val="30"/>
          <w:szCs w:val="30"/>
        </w:rPr>
        <w:t>或</w:t>
      </w:r>
      <w:r>
        <w:rPr>
          <w:rFonts w:hint="eastAsia" w:ascii="方正仿宋简体" w:eastAsia="方正仿宋简体"/>
          <w:sz w:val="30"/>
          <w:szCs w:val="30"/>
        </w:rPr>
        <w:t>“</w:t>
      </w:r>
      <w:r>
        <w:rPr>
          <w:rFonts w:eastAsia="方正仿宋简体"/>
          <w:sz w:val="30"/>
          <w:szCs w:val="30"/>
        </w:rPr>
        <w:t>106=结算机构发起</w:t>
      </w:r>
      <w:r>
        <w:rPr>
          <w:rFonts w:hint="eastAsia" w:ascii="方正仿宋简体" w:eastAsia="方正仿宋简体"/>
          <w:sz w:val="30"/>
          <w:szCs w:val="30"/>
        </w:rPr>
        <w:t>”</w:t>
      </w:r>
      <w:r>
        <w:rPr>
          <w:rFonts w:eastAsia="方正仿宋简体"/>
          <w:sz w:val="30"/>
          <w:szCs w:val="30"/>
        </w:rPr>
        <w:t>。期货公司的技术系统应正确接收、处理和存储上述指令和回报数据。</w:t>
      </w:r>
    </w:p>
    <w:p>
      <w:pPr>
        <w:numPr>
          <w:ilvl w:val="0"/>
          <w:numId w:val="78"/>
        </w:numPr>
        <w:spacing w:line="560" w:lineRule="exact"/>
        <w:ind w:left="0" w:firstLine="601" w:firstLineChars="200"/>
        <w:outlineLvl w:val="1"/>
        <w:rPr>
          <w:rFonts w:eastAsia="方正仿宋简体"/>
          <w:b/>
          <w:bCs/>
          <w:kern w:val="0"/>
          <w:sz w:val="30"/>
          <w:szCs w:val="30"/>
          <w:lang w:val="zh-CN" w:eastAsia="zh-CN"/>
        </w:rPr>
      </w:pPr>
      <w:bookmarkStart w:id="161" w:name="_Toc25842013"/>
      <w:bookmarkStart w:id="162" w:name="_Toc437542893"/>
      <w:r>
        <w:rPr>
          <w:rFonts w:eastAsia="方正仿宋简体"/>
          <w:b/>
          <w:bCs/>
          <w:kern w:val="0"/>
          <w:sz w:val="30"/>
          <w:szCs w:val="30"/>
          <w:lang w:val="zh-CN" w:eastAsia="zh-CN"/>
        </w:rPr>
        <w:t>平仓操作顺序</w:t>
      </w:r>
      <w:bookmarkEnd w:id="161"/>
      <w:bookmarkEnd w:id="162"/>
    </w:p>
    <w:p>
      <w:pPr>
        <w:spacing w:line="560" w:lineRule="exact"/>
        <w:ind w:firstLine="600" w:firstLineChars="200"/>
        <w:rPr>
          <w:rFonts w:eastAsia="方正仿宋简体"/>
          <w:sz w:val="30"/>
          <w:szCs w:val="30"/>
        </w:rPr>
      </w:pPr>
      <w:r>
        <w:rPr>
          <w:rFonts w:eastAsia="方正仿宋简体"/>
          <w:sz w:val="30"/>
          <w:szCs w:val="30"/>
        </w:rPr>
        <w:t>当期货公司因客户持仓超限原因决定实施强行平仓，同时因客户保证金不足情形实施强行平仓的，先对持仓超限情形实施强行平仓，再对保证金不足情形实施强行平仓。</w:t>
      </w:r>
    </w:p>
    <w:p>
      <w:pPr>
        <w:numPr>
          <w:ilvl w:val="0"/>
          <w:numId w:val="78"/>
        </w:numPr>
        <w:spacing w:line="560" w:lineRule="exact"/>
        <w:ind w:left="0" w:firstLine="601" w:firstLineChars="200"/>
        <w:outlineLvl w:val="1"/>
        <w:rPr>
          <w:rFonts w:eastAsia="方正仿宋简体"/>
          <w:b/>
          <w:bCs/>
          <w:kern w:val="0"/>
          <w:sz w:val="30"/>
          <w:szCs w:val="30"/>
          <w:lang w:val="zh-CN" w:eastAsia="zh-CN"/>
        </w:rPr>
      </w:pPr>
      <w:bookmarkStart w:id="163" w:name="_Toc25842014"/>
      <w:bookmarkStart w:id="164" w:name="_Toc437542894"/>
      <w:r>
        <w:rPr>
          <w:rFonts w:eastAsia="方正仿宋简体"/>
          <w:b/>
          <w:bCs/>
          <w:kern w:val="0"/>
          <w:sz w:val="30"/>
          <w:szCs w:val="30"/>
          <w:lang w:val="zh-CN" w:eastAsia="zh-CN"/>
        </w:rPr>
        <w:t>平仓有关的应急处理</w:t>
      </w:r>
      <w:bookmarkEnd w:id="163"/>
      <w:bookmarkEnd w:id="164"/>
    </w:p>
    <w:p>
      <w:pPr>
        <w:keepNext/>
        <w:keepLines/>
        <w:numPr>
          <w:ilvl w:val="0"/>
          <w:numId w:val="90"/>
        </w:numPr>
        <w:spacing w:line="560" w:lineRule="exact"/>
        <w:ind w:left="0" w:firstLine="601" w:firstLineChars="200"/>
        <w:outlineLvl w:val="2"/>
        <w:rPr>
          <w:rFonts w:eastAsia="方正仿宋简体"/>
          <w:b/>
          <w:bCs/>
          <w:kern w:val="0"/>
          <w:sz w:val="30"/>
          <w:szCs w:val="30"/>
          <w:lang w:val="zh-CN" w:eastAsia="zh-CN"/>
        </w:rPr>
      </w:pPr>
      <w:r>
        <w:rPr>
          <w:rFonts w:eastAsia="方正仿宋简体"/>
          <w:b/>
          <w:sz w:val="30"/>
          <w:szCs w:val="30"/>
        </w:rPr>
        <w:t>备用机制</w:t>
      </w:r>
    </w:p>
    <w:p>
      <w:pPr>
        <w:spacing w:line="560" w:lineRule="exact"/>
        <w:ind w:firstLine="600" w:firstLineChars="200"/>
        <w:rPr>
          <w:rFonts w:eastAsia="方正仿宋简体"/>
          <w:sz w:val="30"/>
          <w:szCs w:val="30"/>
        </w:rPr>
      </w:pPr>
      <w:r>
        <w:rPr>
          <w:rFonts w:eastAsia="方正仿宋简体"/>
          <w:sz w:val="30"/>
          <w:szCs w:val="30"/>
        </w:rPr>
        <w:t>期货公司强行平仓操作应通过期权业务系统执行。当强行平仓系统出现故障时，期货公司应配置备用机制。</w:t>
      </w:r>
    </w:p>
    <w:p>
      <w:pPr>
        <w:keepNext/>
        <w:keepLines/>
        <w:numPr>
          <w:ilvl w:val="0"/>
          <w:numId w:val="90"/>
        </w:numPr>
        <w:spacing w:line="560" w:lineRule="exact"/>
        <w:ind w:left="0" w:firstLine="601" w:firstLineChars="200"/>
        <w:outlineLvl w:val="2"/>
        <w:rPr>
          <w:rFonts w:eastAsia="方正仿宋简体"/>
          <w:b/>
          <w:bCs/>
          <w:kern w:val="0"/>
          <w:sz w:val="30"/>
          <w:szCs w:val="30"/>
          <w:lang w:val="zh-CN" w:eastAsia="zh-CN"/>
        </w:rPr>
      </w:pPr>
      <w:r>
        <w:rPr>
          <w:rFonts w:eastAsia="方正仿宋简体"/>
          <w:b/>
          <w:sz w:val="30"/>
          <w:szCs w:val="30"/>
        </w:rPr>
        <w:t>错单处理流程</w:t>
      </w:r>
    </w:p>
    <w:p>
      <w:pPr>
        <w:spacing w:line="560" w:lineRule="exact"/>
        <w:ind w:firstLine="600" w:firstLineChars="200"/>
        <w:rPr>
          <w:rFonts w:eastAsia="方正仿宋简体"/>
          <w:sz w:val="30"/>
          <w:szCs w:val="30"/>
        </w:rPr>
      </w:pPr>
      <w:r>
        <w:rPr>
          <w:rFonts w:eastAsia="方正仿宋简体"/>
          <w:sz w:val="30"/>
          <w:szCs w:val="30"/>
        </w:rPr>
        <w:t>强行平仓错单是指在实施强行平仓过程中，期货公司因误操作等原因，导致的错平、多平的平仓成交单。期货公司应与客户在期权经纪合同中约定强行平仓错单的情形及补偿办法。</w:t>
      </w:r>
    </w:p>
    <w:p>
      <w:pPr>
        <w:keepNext w:val="0"/>
        <w:keepLines w:val="0"/>
        <w:pageBreakBefore w:val="0"/>
        <w:widowControl w:val="0"/>
        <w:numPr>
          <w:ilvl w:val="0"/>
          <w:numId w:val="16"/>
        </w:numPr>
        <w:kinsoku/>
        <w:wordWrap/>
        <w:overflowPunct/>
        <w:topLinePunct w:val="0"/>
        <w:autoSpaceDE/>
        <w:autoSpaceDN/>
        <w:bidi w:val="0"/>
        <w:adjustRightInd/>
        <w:snapToGrid/>
        <w:spacing w:line="560" w:lineRule="exact"/>
        <w:ind w:left="0" w:firstLine="0"/>
        <w:jc w:val="center"/>
        <w:textAlignment w:val="auto"/>
        <w:outlineLvl w:val="0"/>
        <w:rPr>
          <w:rFonts w:ascii="黑体" w:hAnsi="黑体" w:eastAsia="黑体"/>
          <w:bCs/>
          <w:sz w:val="30"/>
          <w:szCs w:val="30"/>
        </w:rPr>
      </w:pPr>
      <w:r>
        <w:rPr>
          <w:rFonts w:eastAsia="方正仿宋简体"/>
          <w:sz w:val="30"/>
          <w:szCs w:val="30"/>
        </w:rPr>
        <w:br w:type="page"/>
      </w:r>
      <w:bookmarkStart w:id="165" w:name="_Toc437542895"/>
      <w:bookmarkStart w:id="166" w:name="_Toc25842015"/>
      <w:r>
        <w:rPr>
          <w:rFonts w:ascii="黑体" w:hAnsi="黑体" w:eastAsia="黑体"/>
          <w:bCs/>
          <w:sz w:val="30"/>
          <w:szCs w:val="30"/>
        </w:rPr>
        <w:t>行权交收管理</w:t>
      </w:r>
      <w:bookmarkEnd w:id="165"/>
      <w:bookmarkEnd w:id="166"/>
    </w:p>
    <w:p>
      <w:pPr>
        <w:spacing w:line="560" w:lineRule="exact"/>
        <w:ind w:firstLine="600" w:firstLineChars="200"/>
        <w:rPr>
          <w:rFonts w:eastAsia="方正仿宋简体"/>
          <w:sz w:val="30"/>
          <w:szCs w:val="30"/>
        </w:rPr>
      </w:pPr>
      <w:r>
        <w:rPr>
          <w:rFonts w:eastAsia="方正仿宋简体"/>
          <w:sz w:val="30"/>
          <w:szCs w:val="30"/>
        </w:rPr>
        <w:t>期货公司在期权合约最后交易日前对临近到期合约、潜在违约风险值进行监控，并对相应客户进行预警；在期权合约行权日的次一交易日，对认购期权义务方、认沽期权义务方的交收风险值进行监控，并采取相应的处置措施。</w:t>
      </w:r>
    </w:p>
    <w:p>
      <w:pPr>
        <w:numPr>
          <w:ilvl w:val="0"/>
          <w:numId w:val="91"/>
        </w:numPr>
        <w:spacing w:line="560" w:lineRule="exact"/>
        <w:ind w:left="0" w:firstLine="601" w:firstLineChars="200"/>
        <w:outlineLvl w:val="1"/>
        <w:rPr>
          <w:rFonts w:eastAsia="方正仿宋简体"/>
          <w:sz w:val="30"/>
          <w:szCs w:val="30"/>
        </w:rPr>
      </w:pPr>
      <w:bookmarkStart w:id="167" w:name="_Toc408746751"/>
      <w:bookmarkStart w:id="168" w:name="_Toc15659"/>
      <w:bookmarkStart w:id="169" w:name="_Toc25842016"/>
      <w:bookmarkStart w:id="170" w:name="_Toc9178"/>
      <w:bookmarkStart w:id="171" w:name="_Toc24781"/>
      <w:bookmarkStart w:id="172" w:name="_Toc1948"/>
      <w:r>
        <w:rPr>
          <w:rFonts w:eastAsia="方正仿宋简体"/>
          <w:b/>
          <w:bCs/>
          <w:kern w:val="0"/>
          <w:sz w:val="30"/>
          <w:szCs w:val="30"/>
          <w:lang w:val="zh-CN" w:eastAsia="zh-CN"/>
        </w:rPr>
        <w:t>投资者持仓合约的行权提醒</w:t>
      </w:r>
      <w:bookmarkEnd w:id="167"/>
      <w:bookmarkEnd w:id="168"/>
      <w:bookmarkEnd w:id="169"/>
      <w:bookmarkEnd w:id="170"/>
      <w:bookmarkEnd w:id="171"/>
      <w:bookmarkEnd w:id="172"/>
    </w:p>
    <w:p>
      <w:pPr>
        <w:keepNext/>
        <w:keepLines/>
        <w:numPr>
          <w:ilvl w:val="0"/>
          <w:numId w:val="92"/>
        </w:numPr>
        <w:spacing w:line="560" w:lineRule="exact"/>
        <w:ind w:left="0" w:firstLine="601" w:firstLineChars="200"/>
        <w:outlineLvl w:val="2"/>
        <w:rPr>
          <w:rFonts w:eastAsia="方正仿宋简体"/>
          <w:b/>
          <w:sz w:val="30"/>
          <w:szCs w:val="30"/>
        </w:rPr>
      </w:pPr>
      <w:r>
        <w:rPr>
          <w:rFonts w:eastAsia="方正仿宋简体"/>
          <w:b/>
          <w:sz w:val="30"/>
          <w:szCs w:val="30"/>
        </w:rPr>
        <w:t>期权合约临近到期提醒</w:t>
      </w:r>
    </w:p>
    <w:p>
      <w:pPr>
        <w:spacing w:line="560" w:lineRule="exact"/>
        <w:ind w:firstLine="600" w:firstLineChars="200"/>
        <w:rPr>
          <w:rFonts w:eastAsia="方正仿宋简体"/>
          <w:sz w:val="30"/>
          <w:szCs w:val="30"/>
        </w:rPr>
      </w:pPr>
      <w:r>
        <w:rPr>
          <w:rFonts w:eastAsia="方正仿宋简体"/>
          <w:sz w:val="30"/>
          <w:szCs w:val="30"/>
        </w:rPr>
        <w:t>期货公司应在期权合约临近到期日前至少3个交易日至到期日，每日通过短信、邮件和交易客户端等形式（至少采用两种形式）进行提醒。</w:t>
      </w:r>
    </w:p>
    <w:p>
      <w:pPr>
        <w:keepNext/>
        <w:keepLines/>
        <w:numPr>
          <w:ilvl w:val="0"/>
          <w:numId w:val="92"/>
        </w:numPr>
        <w:spacing w:line="560" w:lineRule="exact"/>
        <w:ind w:left="0" w:firstLine="601" w:firstLineChars="200"/>
        <w:outlineLvl w:val="2"/>
        <w:rPr>
          <w:rFonts w:eastAsia="方正仿宋简体"/>
          <w:b/>
          <w:sz w:val="30"/>
          <w:szCs w:val="30"/>
        </w:rPr>
      </w:pPr>
      <w:r>
        <w:rPr>
          <w:rFonts w:eastAsia="方正仿宋简体"/>
          <w:b/>
          <w:sz w:val="30"/>
          <w:szCs w:val="30"/>
        </w:rPr>
        <w:t>投资者持有临近到期合约提醒</w:t>
      </w:r>
    </w:p>
    <w:p>
      <w:pPr>
        <w:spacing w:line="560" w:lineRule="exact"/>
        <w:ind w:firstLine="600" w:firstLineChars="200"/>
        <w:rPr>
          <w:rFonts w:eastAsia="方正仿宋简体"/>
          <w:sz w:val="30"/>
          <w:szCs w:val="30"/>
        </w:rPr>
      </w:pPr>
      <w:r>
        <w:rPr>
          <w:rFonts w:eastAsia="方正仿宋简体"/>
          <w:sz w:val="30"/>
          <w:szCs w:val="30"/>
        </w:rPr>
        <w:t>期货公司可在期权合约临近到期日前5个交易日至到期日，每日对下列投资者进行提醒：（1）持有虚值期权合约的权利方；（2）持有实值期权合约的义务方。</w:t>
      </w:r>
    </w:p>
    <w:p>
      <w:pPr>
        <w:numPr>
          <w:ilvl w:val="0"/>
          <w:numId w:val="91"/>
        </w:numPr>
        <w:spacing w:line="560" w:lineRule="exact"/>
        <w:ind w:left="0" w:firstLine="601" w:firstLineChars="200"/>
        <w:outlineLvl w:val="1"/>
        <w:rPr>
          <w:rFonts w:eastAsia="方正仿宋简体"/>
          <w:sz w:val="30"/>
          <w:szCs w:val="30"/>
        </w:rPr>
      </w:pPr>
      <w:bookmarkStart w:id="173" w:name="_Toc25842017"/>
      <w:r>
        <w:rPr>
          <w:rFonts w:eastAsia="方正仿宋简体"/>
          <w:b/>
          <w:bCs/>
          <w:kern w:val="0"/>
          <w:sz w:val="30"/>
          <w:szCs w:val="30"/>
          <w:lang w:val="zh-CN" w:eastAsia="zh-CN"/>
        </w:rPr>
        <w:t>投资者行权日风险管理</w:t>
      </w:r>
      <w:bookmarkEnd w:id="173"/>
    </w:p>
    <w:p>
      <w:pPr>
        <w:keepNext/>
        <w:keepLines/>
        <w:numPr>
          <w:ilvl w:val="0"/>
          <w:numId w:val="93"/>
        </w:numPr>
        <w:spacing w:line="560" w:lineRule="exact"/>
        <w:ind w:left="0" w:firstLine="601" w:firstLineChars="200"/>
        <w:outlineLvl w:val="2"/>
        <w:rPr>
          <w:rFonts w:eastAsia="方正仿宋简体"/>
          <w:b/>
          <w:sz w:val="30"/>
          <w:szCs w:val="30"/>
        </w:rPr>
      </w:pPr>
      <w:r>
        <w:rPr>
          <w:rFonts w:eastAsia="方正仿宋简体"/>
          <w:b/>
          <w:sz w:val="30"/>
          <w:szCs w:val="30"/>
        </w:rPr>
        <w:t>未平仓权利仓行权</w:t>
      </w:r>
    </w:p>
    <w:p>
      <w:pPr>
        <w:spacing w:line="560" w:lineRule="exact"/>
        <w:ind w:firstLine="600" w:firstLineChars="200"/>
        <w:rPr>
          <w:rFonts w:eastAsia="方正仿宋简体"/>
          <w:sz w:val="30"/>
          <w:szCs w:val="30"/>
        </w:rPr>
      </w:pPr>
      <w:r>
        <w:rPr>
          <w:rFonts w:eastAsia="方正仿宋简体"/>
          <w:sz w:val="30"/>
          <w:szCs w:val="30"/>
        </w:rPr>
        <w:t>行权日15:00-15:30，投资者可行权数量应为未平仓权利仓数量（包括已申报未成交数量）。</w:t>
      </w:r>
    </w:p>
    <w:p>
      <w:pPr>
        <w:spacing w:line="560" w:lineRule="exact"/>
        <w:ind w:firstLine="600" w:firstLineChars="200"/>
        <w:rPr>
          <w:rFonts w:eastAsia="方正仿宋简体"/>
          <w:sz w:val="30"/>
          <w:szCs w:val="30"/>
        </w:rPr>
      </w:pPr>
      <w:r>
        <w:rPr>
          <w:rFonts w:eastAsia="方正仿宋简体"/>
          <w:sz w:val="30"/>
          <w:szCs w:val="30"/>
        </w:rPr>
        <w:t>期货公司应完善相应的技术系统，确保行权日当天申报未成交的数量在15:00-15:30可行权。</w:t>
      </w:r>
    </w:p>
    <w:p>
      <w:pPr>
        <w:keepNext/>
        <w:keepLines/>
        <w:numPr>
          <w:ilvl w:val="0"/>
          <w:numId w:val="93"/>
        </w:numPr>
        <w:spacing w:line="560" w:lineRule="exact"/>
        <w:ind w:left="0" w:firstLine="601" w:firstLineChars="200"/>
        <w:outlineLvl w:val="2"/>
        <w:rPr>
          <w:rFonts w:eastAsia="方正仿宋简体"/>
          <w:b/>
          <w:sz w:val="30"/>
          <w:szCs w:val="30"/>
        </w:rPr>
      </w:pPr>
      <w:r>
        <w:rPr>
          <w:rFonts w:eastAsia="方正仿宋简体"/>
          <w:b/>
          <w:sz w:val="30"/>
          <w:szCs w:val="30"/>
        </w:rPr>
        <w:t>认购、认沽同时行权</w:t>
      </w:r>
    </w:p>
    <w:p>
      <w:pPr>
        <w:spacing w:line="560" w:lineRule="exact"/>
        <w:ind w:firstLine="600" w:firstLineChars="200"/>
        <w:rPr>
          <w:rFonts w:eastAsia="方正仿宋简体"/>
          <w:sz w:val="30"/>
          <w:szCs w:val="30"/>
        </w:rPr>
      </w:pPr>
      <w:r>
        <w:rPr>
          <w:rFonts w:eastAsia="方正仿宋简体"/>
          <w:sz w:val="30"/>
          <w:szCs w:val="30"/>
        </w:rPr>
        <w:t>行权日同时提出认购期权行权和认沽期权行权的投资者，若行权同时有效，行权指派后中国结算按照轧差计算该投资者需要交付的资金和标的证券。</w:t>
      </w:r>
    </w:p>
    <w:p>
      <w:pPr>
        <w:keepNext/>
        <w:keepLines/>
        <w:numPr>
          <w:ilvl w:val="0"/>
          <w:numId w:val="93"/>
        </w:numPr>
        <w:spacing w:line="560" w:lineRule="exact"/>
        <w:ind w:left="0" w:firstLine="601" w:firstLineChars="200"/>
        <w:outlineLvl w:val="2"/>
        <w:rPr>
          <w:rFonts w:eastAsia="方正仿宋简体"/>
          <w:b/>
          <w:sz w:val="30"/>
          <w:szCs w:val="30"/>
        </w:rPr>
      </w:pPr>
      <w:r>
        <w:rPr>
          <w:rFonts w:eastAsia="方正仿宋简体"/>
          <w:b/>
          <w:sz w:val="30"/>
          <w:szCs w:val="30"/>
        </w:rPr>
        <w:t>虚值期权行权风险提醒</w:t>
      </w:r>
    </w:p>
    <w:p>
      <w:pPr>
        <w:spacing w:line="560" w:lineRule="exact"/>
        <w:ind w:firstLine="600" w:firstLineChars="200"/>
        <w:rPr>
          <w:rFonts w:eastAsia="方正仿宋简体"/>
          <w:sz w:val="30"/>
          <w:szCs w:val="30"/>
        </w:rPr>
      </w:pPr>
      <w:r>
        <w:rPr>
          <w:rFonts w:eastAsia="方正仿宋简体"/>
          <w:sz w:val="30"/>
          <w:szCs w:val="30"/>
        </w:rPr>
        <w:t>在行权日，如果投资者对持有的虚值期权（以合约标的实时价格计算）提交行权指令，期货公司应在客户交易终端的下单界面提醒投资者，合约为虚值的行权风险。</w:t>
      </w:r>
    </w:p>
    <w:p>
      <w:pPr>
        <w:keepNext/>
        <w:keepLines/>
        <w:numPr>
          <w:ilvl w:val="0"/>
          <w:numId w:val="93"/>
        </w:numPr>
        <w:spacing w:line="560" w:lineRule="exact"/>
        <w:ind w:left="0" w:firstLine="601" w:firstLineChars="200"/>
        <w:outlineLvl w:val="2"/>
        <w:rPr>
          <w:rFonts w:eastAsia="方正仿宋简体"/>
          <w:b/>
          <w:sz w:val="30"/>
          <w:szCs w:val="30"/>
        </w:rPr>
      </w:pPr>
      <w:r>
        <w:rPr>
          <w:rFonts w:eastAsia="方正仿宋简体"/>
          <w:b/>
          <w:sz w:val="30"/>
          <w:szCs w:val="30"/>
        </w:rPr>
        <w:t>协议行权服务</w:t>
      </w:r>
    </w:p>
    <w:p>
      <w:pPr>
        <w:spacing w:line="560" w:lineRule="exact"/>
        <w:ind w:firstLine="600" w:firstLineChars="200"/>
        <w:rPr>
          <w:rFonts w:eastAsia="方正仿宋简体"/>
          <w:sz w:val="30"/>
          <w:szCs w:val="30"/>
        </w:rPr>
      </w:pPr>
      <w:r>
        <w:rPr>
          <w:rFonts w:eastAsia="方正仿宋简体"/>
          <w:sz w:val="30"/>
          <w:szCs w:val="30"/>
        </w:rPr>
        <w:t>期货公司应当向投资者提供</w:t>
      </w:r>
      <w:r>
        <w:rPr>
          <w:rFonts w:hint="eastAsia" w:ascii="方正仿宋简体" w:eastAsia="方正仿宋简体"/>
          <w:sz w:val="30"/>
          <w:szCs w:val="30"/>
        </w:rPr>
        <w:t>“</w:t>
      </w:r>
      <w:r>
        <w:rPr>
          <w:rFonts w:eastAsia="方正仿宋简体"/>
          <w:sz w:val="30"/>
          <w:szCs w:val="30"/>
        </w:rPr>
        <w:t>协议行权</w:t>
      </w:r>
      <w:r>
        <w:rPr>
          <w:rFonts w:hint="eastAsia" w:ascii="方正仿宋简体" w:eastAsia="方正仿宋简体"/>
          <w:sz w:val="30"/>
          <w:szCs w:val="30"/>
        </w:rPr>
        <w:t>”</w:t>
      </w:r>
      <w:r>
        <w:rPr>
          <w:rFonts w:eastAsia="方正仿宋简体"/>
          <w:sz w:val="30"/>
          <w:szCs w:val="30"/>
        </w:rPr>
        <w:t>服务。详见本指南中关于协议行权的内容。</w:t>
      </w:r>
    </w:p>
    <w:p>
      <w:pPr>
        <w:keepNext/>
        <w:keepLines/>
        <w:numPr>
          <w:ilvl w:val="0"/>
          <w:numId w:val="93"/>
        </w:numPr>
        <w:spacing w:line="560" w:lineRule="exact"/>
        <w:ind w:left="0" w:firstLine="601" w:firstLineChars="200"/>
        <w:outlineLvl w:val="2"/>
        <w:rPr>
          <w:rFonts w:eastAsia="方正仿宋简体"/>
          <w:b/>
          <w:sz w:val="30"/>
          <w:szCs w:val="30"/>
        </w:rPr>
      </w:pPr>
      <w:r>
        <w:rPr>
          <w:rFonts w:eastAsia="方正仿宋简体"/>
          <w:b/>
          <w:sz w:val="30"/>
          <w:szCs w:val="30"/>
        </w:rPr>
        <w:t>认购期权权利仓行权监控</w:t>
      </w:r>
    </w:p>
    <w:p>
      <w:pPr>
        <w:spacing w:line="560" w:lineRule="exact"/>
        <w:ind w:firstLine="600" w:firstLineChars="200"/>
        <w:rPr>
          <w:rFonts w:eastAsia="方正仿宋简体"/>
          <w:sz w:val="30"/>
          <w:szCs w:val="30"/>
        </w:rPr>
      </w:pPr>
      <w:r>
        <w:rPr>
          <w:rFonts w:eastAsia="方正仿宋简体"/>
          <w:sz w:val="30"/>
          <w:szCs w:val="30"/>
        </w:rPr>
        <w:t>在行权日，客户对持有的认购期权权利仓提交行权指令时，期货公司可根据自身风险管理与资金管理情况对客户的行权有效性进行前端控制，前端控制的参考方案如下：</w:t>
      </w:r>
    </w:p>
    <w:p>
      <w:pPr>
        <w:numPr>
          <w:ilvl w:val="0"/>
          <w:numId w:val="94"/>
        </w:numPr>
        <w:spacing w:line="560" w:lineRule="exact"/>
        <w:ind w:left="0" w:firstLine="601" w:firstLineChars="200"/>
        <w:outlineLvl w:val="3"/>
        <w:rPr>
          <w:rFonts w:eastAsia="方正仿宋简体"/>
          <w:b/>
          <w:kern w:val="0"/>
          <w:sz w:val="30"/>
          <w:szCs w:val="30"/>
          <w:lang w:val="zh-CN" w:eastAsia="zh-CN"/>
        </w:rPr>
      </w:pPr>
      <w:r>
        <w:rPr>
          <w:rFonts w:eastAsia="方正仿宋简体"/>
          <w:b/>
          <w:kern w:val="0"/>
          <w:sz w:val="30"/>
          <w:szCs w:val="30"/>
          <w:lang w:val="zh-CN" w:eastAsia="zh-CN"/>
        </w:rPr>
        <w:t>合约持仓数量监控</w:t>
      </w:r>
    </w:p>
    <w:p>
      <w:pPr>
        <w:spacing w:line="560" w:lineRule="exact"/>
        <w:ind w:firstLine="600" w:firstLineChars="200"/>
        <w:rPr>
          <w:rFonts w:eastAsia="方正仿宋简体"/>
          <w:sz w:val="30"/>
          <w:szCs w:val="30"/>
        </w:rPr>
      </w:pPr>
      <w:r>
        <w:rPr>
          <w:rFonts w:eastAsia="方正仿宋简体"/>
          <w:sz w:val="30"/>
          <w:szCs w:val="30"/>
        </w:rPr>
        <w:t>检验行权申报数量是否超过客户行权申报时的合约持仓数量。如果行权申报数量大于客户合约持仓数量，行权申报无效。</w:t>
      </w:r>
    </w:p>
    <w:p>
      <w:pPr>
        <w:numPr>
          <w:ilvl w:val="0"/>
          <w:numId w:val="94"/>
        </w:numPr>
        <w:spacing w:line="560" w:lineRule="exact"/>
        <w:ind w:left="0" w:firstLine="601" w:firstLineChars="200"/>
        <w:outlineLvl w:val="3"/>
        <w:rPr>
          <w:rFonts w:eastAsia="方正仿宋简体"/>
          <w:b/>
          <w:kern w:val="0"/>
          <w:sz w:val="30"/>
          <w:szCs w:val="30"/>
          <w:lang w:val="zh-CN" w:eastAsia="zh-CN"/>
        </w:rPr>
      </w:pPr>
      <w:r>
        <w:rPr>
          <w:rFonts w:eastAsia="方正仿宋简体"/>
          <w:b/>
          <w:kern w:val="0"/>
          <w:sz w:val="30"/>
          <w:szCs w:val="30"/>
          <w:lang w:val="zh-CN" w:eastAsia="zh-CN"/>
        </w:rPr>
        <w:t>行权可用资金监控</w:t>
      </w:r>
    </w:p>
    <w:p>
      <w:pPr>
        <w:spacing w:line="560" w:lineRule="exact"/>
        <w:ind w:firstLine="600" w:firstLineChars="200"/>
        <w:rPr>
          <w:rFonts w:eastAsia="方正仿宋简体"/>
          <w:sz w:val="30"/>
          <w:szCs w:val="30"/>
        </w:rPr>
      </w:pPr>
      <w:r>
        <w:rPr>
          <w:rFonts w:eastAsia="方正仿宋简体"/>
          <w:sz w:val="30"/>
          <w:szCs w:val="30"/>
        </w:rPr>
        <w:t>行权可用资金定义为客户保证金总额中可用于行权的最大资金额度。计算方法举例如下：</w:t>
      </w:r>
    </w:p>
    <w:p>
      <w:pPr>
        <w:spacing w:line="560" w:lineRule="exact"/>
        <w:ind w:firstLine="600" w:firstLineChars="200"/>
        <w:rPr>
          <w:rFonts w:eastAsia="方正仿宋简体"/>
          <w:sz w:val="30"/>
          <w:szCs w:val="30"/>
        </w:rPr>
      </w:pPr>
      <w:r>
        <w:rPr>
          <w:rFonts w:eastAsia="方正仿宋简体"/>
          <w:sz w:val="30"/>
          <w:szCs w:val="30"/>
        </w:rPr>
        <w:t>行权可用资金=客户保证金总额-（按照公司保证金水平计算的客户实时价格保证金/公司盘中追保线）-其他冻结资金</w:t>
      </w:r>
    </w:p>
    <w:p>
      <w:pPr>
        <w:spacing w:line="560" w:lineRule="exact"/>
        <w:ind w:firstLine="600" w:firstLineChars="200"/>
        <w:rPr>
          <w:rFonts w:eastAsia="方正仿宋简体"/>
          <w:sz w:val="30"/>
          <w:szCs w:val="30"/>
        </w:rPr>
      </w:pPr>
      <w:r>
        <w:rPr>
          <w:rFonts w:eastAsia="方正仿宋简体"/>
          <w:sz w:val="30"/>
          <w:szCs w:val="30"/>
        </w:rPr>
        <w:t>公式中公司盘中追保线可用公司盘中平仓线代替，具体计算方法由期货公司自行确定，计算方法及结果需要明确告知客户。</w:t>
      </w:r>
    </w:p>
    <w:p>
      <w:pPr>
        <w:numPr>
          <w:ilvl w:val="0"/>
          <w:numId w:val="94"/>
        </w:numPr>
        <w:spacing w:line="560" w:lineRule="exact"/>
        <w:ind w:left="0" w:firstLine="601" w:firstLineChars="200"/>
        <w:outlineLvl w:val="3"/>
        <w:rPr>
          <w:rFonts w:eastAsia="方正仿宋简体"/>
          <w:b/>
          <w:kern w:val="0"/>
          <w:sz w:val="30"/>
          <w:szCs w:val="30"/>
          <w:lang w:val="zh-CN" w:eastAsia="zh-CN"/>
        </w:rPr>
      </w:pPr>
      <w:r>
        <w:rPr>
          <w:rFonts w:eastAsia="方正仿宋简体"/>
          <w:b/>
          <w:kern w:val="0"/>
          <w:sz w:val="30"/>
          <w:szCs w:val="30"/>
          <w:lang w:val="zh-CN" w:eastAsia="zh-CN"/>
        </w:rPr>
        <w:t>行权合约和应付资金冻结</w:t>
      </w:r>
    </w:p>
    <w:p>
      <w:pPr>
        <w:spacing w:line="560" w:lineRule="exact"/>
        <w:ind w:firstLine="600" w:firstLineChars="200"/>
        <w:rPr>
          <w:rFonts w:eastAsia="方正仿宋简体"/>
          <w:sz w:val="30"/>
          <w:szCs w:val="30"/>
        </w:rPr>
      </w:pPr>
      <w:r>
        <w:rPr>
          <w:rFonts w:eastAsia="方正仿宋简体"/>
          <w:sz w:val="30"/>
          <w:szCs w:val="30"/>
        </w:rPr>
        <w:t>期货公司根据行权可用资金确定有效行权申报数量，并冻结有效行权申报合约和行权应付资金。行权应付资金冻结后，客户保证金总额减少，其他用途冻结资金增加。</w:t>
      </w:r>
    </w:p>
    <w:p>
      <w:pPr>
        <w:keepNext/>
        <w:keepLines/>
        <w:numPr>
          <w:ilvl w:val="0"/>
          <w:numId w:val="93"/>
        </w:numPr>
        <w:spacing w:line="560" w:lineRule="exact"/>
        <w:ind w:left="0" w:firstLine="601" w:firstLineChars="200"/>
        <w:outlineLvl w:val="2"/>
        <w:rPr>
          <w:rFonts w:eastAsia="方正仿宋简体"/>
          <w:b/>
          <w:sz w:val="30"/>
          <w:szCs w:val="30"/>
        </w:rPr>
      </w:pPr>
      <w:r>
        <w:rPr>
          <w:rFonts w:eastAsia="方正仿宋简体"/>
          <w:b/>
          <w:sz w:val="30"/>
          <w:szCs w:val="30"/>
        </w:rPr>
        <w:t>认沽期权权利仓行权监控</w:t>
      </w:r>
    </w:p>
    <w:p>
      <w:pPr>
        <w:spacing w:line="560" w:lineRule="exact"/>
        <w:ind w:firstLine="600" w:firstLineChars="200"/>
        <w:rPr>
          <w:rFonts w:eastAsia="方正仿宋简体"/>
          <w:sz w:val="30"/>
          <w:szCs w:val="30"/>
        </w:rPr>
      </w:pPr>
      <w:r>
        <w:rPr>
          <w:rFonts w:eastAsia="方正仿宋简体"/>
          <w:sz w:val="30"/>
          <w:szCs w:val="30"/>
        </w:rPr>
        <w:t>在行权日，客户对持有的认沽期权权利仓提交行权申报时，期货公司需根据自身风险管理与资金管理情况对客户的行权有效性进行前端控制。行权有效性前端控制的参考方案如下：</w:t>
      </w:r>
    </w:p>
    <w:p>
      <w:pPr>
        <w:numPr>
          <w:ilvl w:val="0"/>
          <w:numId w:val="95"/>
        </w:numPr>
        <w:spacing w:line="560" w:lineRule="exact"/>
        <w:ind w:left="0" w:firstLine="601" w:firstLineChars="200"/>
        <w:outlineLvl w:val="3"/>
        <w:rPr>
          <w:rFonts w:eastAsia="方正仿宋简体"/>
          <w:b/>
          <w:kern w:val="0"/>
          <w:sz w:val="30"/>
          <w:szCs w:val="30"/>
          <w:lang w:val="zh-CN" w:eastAsia="zh-CN"/>
        </w:rPr>
      </w:pPr>
      <w:r>
        <w:rPr>
          <w:rFonts w:eastAsia="方正仿宋简体"/>
          <w:b/>
          <w:kern w:val="0"/>
          <w:sz w:val="30"/>
          <w:szCs w:val="30"/>
          <w:lang w:val="zh-CN" w:eastAsia="zh-CN"/>
        </w:rPr>
        <w:t>合约持仓数量监控</w:t>
      </w:r>
    </w:p>
    <w:p>
      <w:pPr>
        <w:spacing w:line="560" w:lineRule="exact"/>
        <w:ind w:firstLine="600" w:firstLineChars="200"/>
        <w:rPr>
          <w:rFonts w:eastAsia="方正仿宋简体"/>
          <w:sz w:val="30"/>
          <w:szCs w:val="30"/>
        </w:rPr>
      </w:pPr>
      <w:r>
        <w:rPr>
          <w:rFonts w:eastAsia="方正仿宋简体"/>
          <w:sz w:val="30"/>
          <w:szCs w:val="30"/>
        </w:rPr>
        <w:t>检验行权申报数量是否超过客户行权申报时的合约持仓数量。如果行权申报数量大于客户合约持仓数量，行权申报无效。</w:t>
      </w:r>
    </w:p>
    <w:p>
      <w:pPr>
        <w:numPr>
          <w:ilvl w:val="0"/>
          <w:numId w:val="95"/>
        </w:numPr>
        <w:spacing w:line="560" w:lineRule="exact"/>
        <w:ind w:left="0" w:firstLine="601" w:firstLineChars="200"/>
        <w:outlineLvl w:val="3"/>
        <w:rPr>
          <w:rFonts w:eastAsia="方正仿宋简体"/>
          <w:b/>
          <w:kern w:val="0"/>
          <w:sz w:val="30"/>
          <w:szCs w:val="30"/>
          <w:lang w:val="zh-CN" w:eastAsia="zh-CN"/>
        </w:rPr>
      </w:pPr>
      <w:r>
        <w:rPr>
          <w:rFonts w:eastAsia="方正仿宋简体"/>
          <w:b/>
          <w:kern w:val="0"/>
          <w:sz w:val="30"/>
          <w:szCs w:val="30"/>
          <w:lang w:val="zh-CN" w:eastAsia="zh-CN"/>
        </w:rPr>
        <w:t>标的证券足额监控</w:t>
      </w:r>
    </w:p>
    <w:p>
      <w:pPr>
        <w:spacing w:line="560" w:lineRule="exact"/>
        <w:ind w:firstLine="600" w:firstLineChars="200"/>
        <w:rPr>
          <w:rFonts w:eastAsia="方正仿宋简体"/>
          <w:sz w:val="30"/>
          <w:szCs w:val="30"/>
        </w:rPr>
      </w:pPr>
      <w:r>
        <w:rPr>
          <w:rFonts w:eastAsia="方正仿宋简体"/>
          <w:sz w:val="30"/>
          <w:szCs w:val="30"/>
        </w:rPr>
        <w:t>检验客户在其行权衍生品合约账户对应的A股证券账户托管在本公司的标的证券的流通数量是否足额。如果足额，行权申报有效，锁定相应的证券。</w:t>
      </w:r>
    </w:p>
    <w:p>
      <w:pPr>
        <w:spacing w:line="560" w:lineRule="exact"/>
        <w:ind w:firstLine="600" w:firstLineChars="200"/>
        <w:rPr>
          <w:rFonts w:eastAsia="方正仿宋简体"/>
          <w:sz w:val="30"/>
          <w:szCs w:val="30"/>
        </w:rPr>
      </w:pPr>
      <w:r>
        <w:rPr>
          <w:rFonts w:eastAsia="方正仿宋简体"/>
          <w:sz w:val="30"/>
          <w:szCs w:val="30"/>
        </w:rPr>
        <w:t>如果不足额，检验客户该A股证券账户中标的证券流通数量加上同标的未到期的备兑证券数量是否足额。如果足额，行权申报有效，锁定普通账户中的证券，并提醒客户需要补足的证券数量。如果仍不足额，则行权申报无效，提醒客户补足证券后再做行权申报。</w:t>
      </w:r>
    </w:p>
    <w:p>
      <w:pPr>
        <w:keepNext/>
        <w:keepLines/>
        <w:numPr>
          <w:ilvl w:val="0"/>
          <w:numId w:val="93"/>
        </w:numPr>
        <w:spacing w:line="560" w:lineRule="exact"/>
        <w:ind w:left="0" w:firstLine="601" w:firstLineChars="200"/>
        <w:outlineLvl w:val="2"/>
        <w:rPr>
          <w:rFonts w:eastAsia="方正仿宋简体"/>
          <w:b/>
          <w:sz w:val="30"/>
          <w:szCs w:val="30"/>
        </w:rPr>
      </w:pPr>
      <w:r>
        <w:rPr>
          <w:rFonts w:eastAsia="方正仿宋简体"/>
          <w:b/>
          <w:sz w:val="30"/>
          <w:szCs w:val="30"/>
        </w:rPr>
        <w:t>行权指令合并申报监控</w:t>
      </w:r>
    </w:p>
    <w:p>
      <w:pPr>
        <w:spacing w:line="560" w:lineRule="exact"/>
        <w:ind w:firstLine="600" w:firstLineChars="200"/>
        <w:rPr>
          <w:rFonts w:eastAsia="方正仿宋简体"/>
          <w:sz w:val="30"/>
          <w:szCs w:val="30"/>
        </w:rPr>
      </w:pPr>
      <w:r>
        <w:rPr>
          <w:rFonts w:eastAsia="方正仿宋简体"/>
          <w:sz w:val="30"/>
          <w:szCs w:val="30"/>
        </w:rPr>
        <w:t>在行权日15:00至15:30，客户可向期货公司提出行权指令合并申报委托，每一单位数量的行权指令合并申报包括同一标的的当日到期认购和认沽期权权利仓各一张，认购和认沽期权的合约单位必须相同，认沽期权行权价需高于认购期权。</w:t>
      </w:r>
    </w:p>
    <w:p>
      <w:pPr>
        <w:spacing w:line="560" w:lineRule="exact"/>
        <w:ind w:firstLine="600" w:firstLineChars="200"/>
        <w:rPr>
          <w:rFonts w:eastAsia="方正仿宋简体"/>
          <w:sz w:val="30"/>
          <w:szCs w:val="30"/>
        </w:rPr>
      </w:pPr>
      <w:r>
        <w:rPr>
          <w:rFonts w:eastAsia="方正仿宋简体"/>
          <w:sz w:val="30"/>
          <w:szCs w:val="30"/>
        </w:rPr>
        <w:t>行权指令合并申报可以撤销，撤销申报时间为行权日15:00至15:30。</w:t>
      </w:r>
    </w:p>
    <w:p>
      <w:pPr>
        <w:spacing w:line="560" w:lineRule="exact"/>
        <w:ind w:firstLine="600" w:firstLineChars="200"/>
        <w:rPr>
          <w:rFonts w:eastAsia="方正仿宋简体"/>
          <w:sz w:val="30"/>
          <w:szCs w:val="30"/>
        </w:rPr>
      </w:pPr>
      <w:r>
        <w:rPr>
          <w:rFonts w:eastAsia="方正仿宋简体"/>
          <w:sz w:val="30"/>
          <w:szCs w:val="30"/>
        </w:rPr>
        <w:t>期货公司需根据自身风险管理与资金管理情况对客户的行权有效性进行前端控制。行权有效性前端控制的参考方案如下：</w:t>
      </w:r>
    </w:p>
    <w:p>
      <w:pPr>
        <w:spacing w:line="560" w:lineRule="exact"/>
        <w:ind w:firstLine="600" w:firstLineChars="200"/>
        <w:rPr>
          <w:rFonts w:eastAsia="方正仿宋简体"/>
          <w:sz w:val="30"/>
          <w:szCs w:val="30"/>
        </w:rPr>
      </w:pPr>
      <w:r>
        <w:rPr>
          <w:rFonts w:eastAsia="方正仿宋简体"/>
          <w:sz w:val="30"/>
          <w:szCs w:val="30"/>
        </w:rPr>
        <w:t>1.检验合并申报中的期权合约是否为同一标的证券。如果不是同一标的证券，行权申报无效。</w:t>
      </w:r>
    </w:p>
    <w:p>
      <w:pPr>
        <w:spacing w:line="560" w:lineRule="exact"/>
        <w:ind w:firstLine="600" w:firstLineChars="200"/>
        <w:rPr>
          <w:rFonts w:eastAsia="方正仿宋简体"/>
          <w:sz w:val="30"/>
          <w:szCs w:val="30"/>
        </w:rPr>
      </w:pPr>
      <w:r>
        <w:rPr>
          <w:rFonts w:eastAsia="方正仿宋简体"/>
          <w:sz w:val="30"/>
          <w:szCs w:val="30"/>
        </w:rPr>
        <w:t>2.检验合并申报的期权合约单位是否相等（可以同为标准合约或同为非标准合约）。如不相等，行权申报无效。</w:t>
      </w:r>
    </w:p>
    <w:p>
      <w:pPr>
        <w:spacing w:line="560" w:lineRule="exact"/>
        <w:ind w:firstLine="600" w:firstLineChars="200"/>
        <w:rPr>
          <w:rFonts w:eastAsia="方正仿宋简体"/>
          <w:sz w:val="30"/>
          <w:szCs w:val="30"/>
        </w:rPr>
      </w:pPr>
      <w:r>
        <w:rPr>
          <w:rFonts w:eastAsia="方正仿宋简体"/>
          <w:sz w:val="30"/>
          <w:szCs w:val="30"/>
        </w:rPr>
        <w:t>3.检验合并申报的一个单位组合是否包含认购期权合约和认沽期权各一张。如不是，行权申报无效。</w:t>
      </w:r>
    </w:p>
    <w:p>
      <w:pPr>
        <w:spacing w:line="560" w:lineRule="exact"/>
        <w:ind w:firstLine="600" w:firstLineChars="200"/>
        <w:rPr>
          <w:rFonts w:eastAsia="方正仿宋简体"/>
          <w:sz w:val="30"/>
          <w:szCs w:val="30"/>
        </w:rPr>
      </w:pPr>
      <w:r>
        <w:rPr>
          <w:rFonts w:eastAsia="方正仿宋简体"/>
          <w:sz w:val="30"/>
          <w:szCs w:val="30"/>
        </w:rPr>
        <w:t>4.检验合并申报的期权合约是否均为当日到期合约。如果存在非当日到期合约，行权申报无效。</w:t>
      </w:r>
    </w:p>
    <w:p>
      <w:pPr>
        <w:spacing w:line="560" w:lineRule="exact"/>
        <w:ind w:firstLine="600" w:firstLineChars="200"/>
        <w:rPr>
          <w:rFonts w:eastAsia="方正仿宋简体"/>
          <w:sz w:val="30"/>
          <w:szCs w:val="30"/>
        </w:rPr>
      </w:pPr>
      <w:r>
        <w:rPr>
          <w:rFonts w:eastAsia="方正仿宋简体"/>
          <w:sz w:val="30"/>
          <w:szCs w:val="30"/>
        </w:rPr>
        <w:t>5.检验合并申报的期权合约中认沽期权的行权价高于认购期权的行权价。如果认沽期权的行权价小于或者等于认购期权的行权价，行权申报无效。</w:t>
      </w:r>
    </w:p>
    <w:p>
      <w:pPr>
        <w:spacing w:line="560" w:lineRule="exact"/>
        <w:ind w:firstLine="600" w:firstLineChars="200"/>
        <w:rPr>
          <w:rFonts w:eastAsia="方正仿宋简体"/>
          <w:sz w:val="30"/>
          <w:szCs w:val="30"/>
        </w:rPr>
      </w:pPr>
      <w:r>
        <w:rPr>
          <w:rFonts w:eastAsia="方正仿宋简体"/>
          <w:sz w:val="30"/>
          <w:szCs w:val="30"/>
        </w:rPr>
        <w:t>6.检验认购期权和认沽期权累计行权指令合并申报数量（扣减行权撤单后）是否超过投资者持有的相应认购期权合约权利仓净头寸及认沽期权合约权利仓净头寸的较小值。净头寸以当日到期组合策略解除后的净头寸为准。如果超过，行权无效。</w:t>
      </w:r>
    </w:p>
    <w:p>
      <w:pPr>
        <w:spacing w:line="560" w:lineRule="exact"/>
        <w:ind w:firstLine="600" w:firstLineChars="200"/>
        <w:rPr>
          <w:rFonts w:eastAsia="方正仿宋简体"/>
          <w:sz w:val="30"/>
          <w:szCs w:val="30"/>
        </w:rPr>
      </w:pPr>
      <w:r>
        <w:rPr>
          <w:rFonts w:eastAsia="方正仿宋简体"/>
          <w:sz w:val="30"/>
          <w:szCs w:val="30"/>
        </w:rPr>
        <w:t>其中，权利仓净头寸=Max[（账户持有该合约权利仓数量-账户持有该合约义务仓数量），0]。累计合并申报数量（扣减行权撤单后）&lt;=Min（认购期权合约权利仓净头寸，认沽期权合约权利仓净头寸）。</w:t>
      </w:r>
    </w:p>
    <w:p>
      <w:pPr>
        <w:spacing w:line="560" w:lineRule="exact"/>
        <w:ind w:firstLine="600" w:firstLineChars="200"/>
        <w:rPr>
          <w:rFonts w:eastAsia="方正仿宋简体"/>
          <w:sz w:val="30"/>
          <w:szCs w:val="30"/>
        </w:rPr>
      </w:pPr>
      <w:r>
        <w:rPr>
          <w:rFonts w:eastAsia="方正仿宋简体"/>
          <w:sz w:val="30"/>
          <w:szCs w:val="30"/>
        </w:rPr>
        <w:t>期货公司应按上述各项要求进行前端控制。若因期货公司前端控制失败导致投资者日终被判定合并申报行权无效而遭受损失的，由期货公司承担相应责任。</w:t>
      </w:r>
    </w:p>
    <w:p>
      <w:pPr>
        <w:numPr>
          <w:ilvl w:val="0"/>
          <w:numId w:val="91"/>
        </w:numPr>
        <w:spacing w:line="560" w:lineRule="exact"/>
        <w:ind w:left="0" w:firstLine="601" w:firstLineChars="200"/>
        <w:outlineLvl w:val="1"/>
        <w:rPr>
          <w:rFonts w:eastAsia="方正仿宋简体"/>
          <w:sz w:val="30"/>
          <w:szCs w:val="30"/>
        </w:rPr>
      </w:pPr>
      <w:bookmarkStart w:id="174" w:name="_Toc25842018"/>
      <w:r>
        <w:rPr>
          <w:rFonts w:eastAsia="方正仿宋简体"/>
          <w:b/>
          <w:bCs/>
          <w:kern w:val="0"/>
          <w:sz w:val="30"/>
          <w:szCs w:val="30"/>
          <w:lang w:val="zh-CN" w:eastAsia="zh-CN"/>
        </w:rPr>
        <w:t>投资者行权交收风险管理</w:t>
      </w:r>
      <w:bookmarkEnd w:id="174"/>
    </w:p>
    <w:p>
      <w:pPr>
        <w:keepNext/>
        <w:keepLines/>
        <w:numPr>
          <w:ilvl w:val="0"/>
          <w:numId w:val="96"/>
        </w:numPr>
        <w:spacing w:line="560" w:lineRule="exact"/>
        <w:ind w:left="0" w:firstLine="601" w:firstLineChars="200"/>
        <w:outlineLvl w:val="2"/>
        <w:rPr>
          <w:rFonts w:eastAsia="方正仿宋简体"/>
          <w:b/>
          <w:sz w:val="30"/>
          <w:szCs w:val="30"/>
        </w:rPr>
      </w:pPr>
      <w:r>
        <w:rPr>
          <w:rFonts w:eastAsia="方正仿宋简体"/>
          <w:b/>
          <w:sz w:val="30"/>
          <w:szCs w:val="30"/>
        </w:rPr>
        <w:t>行权交收应付资金管理</w:t>
      </w:r>
    </w:p>
    <w:p>
      <w:pPr>
        <w:spacing w:line="560" w:lineRule="exact"/>
        <w:ind w:firstLine="600" w:firstLineChars="200"/>
        <w:rPr>
          <w:rFonts w:eastAsia="方正仿宋简体"/>
          <w:kern w:val="0"/>
          <w:sz w:val="30"/>
          <w:szCs w:val="30"/>
        </w:rPr>
      </w:pPr>
      <w:r>
        <w:rPr>
          <w:rFonts w:eastAsia="方正仿宋简体"/>
          <w:kern w:val="0"/>
          <w:sz w:val="30"/>
          <w:szCs w:val="30"/>
        </w:rPr>
        <w:t>合约行权日的次一交易日（E+1日</w:t>
      </w:r>
      <w:r>
        <w:rPr>
          <w:rFonts w:eastAsia="方正仿宋简体"/>
          <w:sz w:val="30"/>
          <w:szCs w:val="30"/>
        </w:rPr>
        <w:t>），</w:t>
      </w:r>
      <w:r>
        <w:rPr>
          <w:rFonts w:eastAsia="方正仿宋简体"/>
          <w:kern w:val="0"/>
          <w:sz w:val="30"/>
          <w:szCs w:val="30"/>
        </w:rPr>
        <w:t>对行权交收资金应付方，期货公司应监控其账户</w:t>
      </w:r>
      <w:r>
        <w:rPr>
          <w:rFonts w:hint="eastAsia" w:ascii="方正仿宋简体" w:eastAsia="方正仿宋简体"/>
          <w:kern w:val="0"/>
          <w:sz w:val="30"/>
          <w:szCs w:val="30"/>
        </w:rPr>
        <w:t>“</w:t>
      </w:r>
      <w:r>
        <w:rPr>
          <w:rFonts w:eastAsia="方正仿宋简体"/>
          <w:kern w:val="0"/>
          <w:sz w:val="30"/>
          <w:szCs w:val="30"/>
        </w:rPr>
        <w:t>行权交收资金应付方违约风险值</w:t>
      </w:r>
      <w:r>
        <w:rPr>
          <w:rFonts w:hint="eastAsia" w:ascii="方正仿宋简体" w:eastAsia="方正仿宋简体"/>
          <w:kern w:val="0"/>
          <w:sz w:val="30"/>
          <w:szCs w:val="30"/>
        </w:rPr>
        <w:t>”</w:t>
      </w:r>
      <w:r>
        <w:rPr>
          <w:rFonts w:eastAsia="方正仿宋简体"/>
          <w:kern w:val="0"/>
          <w:sz w:val="30"/>
          <w:szCs w:val="30"/>
        </w:rPr>
        <w:t>，即股票期权保证金账户中资金能否满足行权交收所需的现金。</w:t>
      </w:r>
    </w:p>
    <w:p>
      <w:pPr>
        <w:spacing w:line="560" w:lineRule="exact"/>
        <w:ind w:firstLine="600" w:firstLineChars="200"/>
        <w:rPr>
          <w:rFonts w:eastAsia="方正仿宋简体"/>
          <w:kern w:val="0"/>
          <w:sz w:val="30"/>
          <w:szCs w:val="30"/>
        </w:rPr>
      </w:pPr>
      <w:r>
        <w:rPr>
          <w:rFonts w:eastAsia="方正仿宋简体"/>
          <w:kern w:val="0"/>
          <w:sz w:val="30"/>
          <w:szCs w:val="30"/>
        </w:rPr>
        <w:t>行权交收资金应付方违约风险=应付所需资金/（可用资金+行权日行权交收已冻结的资金）</w:t>
      </w:r>
    </w:p>
    <w:p>
      <w:pPr>
        <w:spacing w:line="560" w:lineRule="exact"/>
        <w:ind w:firstLine="600" w:firstLineChars="200"/>
        <w:rPr>
          <w:rFonts w:eastAsia="方正仿宋简体"/>
          <w:kern w:val="0"/>
          <w:sz w:val="30"/>
          <w:szCs w:val="30"/>
        </w:rPr>
      </w:pPr>
      <w:r>
        <w:rPr>
          <w:rFonts w:eastAsia="方正仿宋简体"/>
          <w:kern w:val="0"/>
          <w:sz w:val="30"/>
          <w:szCs w:val="30"/>
        </w:rPr>
        <w:t>期货公司对</w:t>
      </w:r>
      <w:r>
        <w:rPr>
          <w:rFonts w:hint="eastAsia" w:ascii="方正仿宋简体" w:eastAsia="方正仿宋简体"/>
          <w:kern w:val="0"/>
          <w:sz w:val="30"/>
          <w:szCs w:val="30"/>
        </w:rPr>
        <w:t>“</w:t>
      </w:r>
      <w:r>
        <w:rPr>
          <w:rFonts w:eastAsia="方正仿宋简体"/>
          <w:kern w:val="0"/>
          <w:sz w:val="30"/>
          <w:szCs w:val="30"/>
        </w:rPr>
        <w:t>行权交收资金</w:t>
      </w:r>
      <w:r>
        <w:rPr>
          <w:rFonts w:eastAsia="方正仿宋简体"/>
          <w:sz w:val="30"/>
          <w:szCs w:val="30"/>
        </w:rPr>
        <w:t>应付</w:t>
      </w:r>
      <w:r>
        <w:rPr>
          <w:rFonts w:eastAsia="方正仿宋简体"/>
          <w:kern w:val="0"/>
          <w:sz w:val="30"/>
          <w:szCs w:val="30"/>
        </w:rPr>
        <w:t>方违约风险</w:t>
      </w:r>
      <w:r>
        <w:rPr>
          <w:rFonts w:hint="eastAsia" w:ascii="方正仿宋简体" w:eastAsia="方正仿宋简体"/>
          <w:kern w:val="0"/>
          <w:sz w:val="30"/>
          <w:szCs w:val="30"/>
        </w:rPr>
        <w:t>”</w:t>
      </w:r>
      <w:r>
        <w:rPr>
          <w:rFonts w:eastAsia="方正仿宋简体"/>
          <w:kern w:val="0"/>
          <w:sz w:val="30"/>
          <w:szCs w:val="30"/>
        </w:rPr>
        <w:t>设定预警值，比如85%，如果超过阀值，期货公司将对客户预警，而如果大于100%，则表明该账户存在很高的违约交收风险，期货公司需采取措施，通知客户入金。</w:t>
      </w:r>
    </w:p>
    <w:p>
      <w:pPr>
        <w:spacing w:line="560" w:lineRule="exact"/>
        <w:ind w:firstLine="600" w:firstLineChars="200"/>
        <w:rPr>
          <w:rFonts w:eastAsia="方正仿宋简体"/>
          <w:sz w:val="30"/>
          <w:szCs w:val="30"/>
        </w:rPr>
      </w:pPr>
      <w:r>
        <w:rPr>
          <w:rFonts w:eastAsia="方正仿宋简体"/>
          <w:kern w:val="0"/>
          <w:sz w:val="30"/>
          <w:szCs w:val="30"/>
        </w:rPr>
        <w:t>客户认沽期权义务方被</w:t>
      </w:r>
      <w:r>
        <w:rPr>
          <w:rFonts w:eastAsia="方正仿宋简体"/>
          <w:sz w:val="30"/>
          <w:szCs w:val="30"/>
        </w:rPr>
        <w:t>指派</w:t>
      </w:r>
      <w:r>
        <w:rPr>
          <w:rFonts w:eastAsia="方正仿宋简体"/>
          <w:kern w:val="0"/>
          <w:sz w:val="30"/>
          <w:szCs w:val="30"/>
        </w:rPr>
        <w:t>行权后资金不足的，期货公司可以自有资金先行垫付，并向本所及中国结算申报将相关行权所得证券划入处置证券账户。</w:t>
      </w:r>
    </w:p>
    <w:p>
      <w:pPr>
        <w:keepNext/>
        <w:keepLines/>
        <w:numPr>
          <w:ilvl w:val="0"/>
          <w:numId w:val="96"/>
        </w:numPr>
        <w:spacing w:line="560" w:lineRule="exact"/>
        <w:ind w:left="0" w:firstLine="601" w:firstLineChars="200"/>
        <w:outlineLvl w:val="2"/>
        <w:rPr>
          <w:rFonts w:eastAsia="方正仿宋简体"/>
          <w:b/>
          <w:sz w:val="30"/>
          <w:szCs w:val="30"/>
        </w:rPr>
      </w:pPr>
      <w:r>
        <w:rPr>
          <w:rFonts w:eastAsia="方正仿宋简体"/>
          <w:b/>
          <w:sz w:val="30"/>
          <w:szCs w:val="30"/>
        </w:rPr>
        <w:t>行权交收应付证券管理</w:t>
      </w:r>
    </w:p>
    <w:p>
      <w:pPr>
        <w:spacing w:line="560" w:lineRule="exact"/>
        <w:ind w:firstLine="600" w:firstLineChars="200"/>
        <w:rPr>
          <w:rFonts w:eastAsia="方正仿宋简体"/>
          <w:kern w:val="0"/>
          <w:sz w:val="30"/>
          <w:szCs w:val="30"/>
        </w:rPr>
      </w:pPr>
      <w:r>
        <w:rPr>
          <w:rFonts w:eastAsia="方正仿宋简体"/>
          <w:kern w:val="0"/>
          <w:sz w:val="30"/>
          <w:szCs w:val="30"/>
        </w:rPr>
        <w:t>合约行权日的次一交易日（E+1日），期货公司应监控行权交收应交券方的</w:t>
      </w:r>
      <w:r>
        <w:rPr>
          <w:rFonts w:hint="eastAsia" w:ascii="方正仿宋简体" w:eastAsia="方正仿宋简体"/>
          <w:kern w:val="0"/>
          <w:sz w:val="30"/>
          <w:szCs w:val="30"/>
        </w:rPr>
        <w:t>“</w:t>
      </w:r>
      <w:r>
        <w:rPr>
          <w:rFonts w:eastAsia="方正仿宋简体"/>
          <w:kern w:val="0"/>
          <w:sz w:val="30"/>
          <w:szCs w:val="30"/>
        </w:rPr>
        <w:t>行权交收应交券方违约风险1</w:t>
      </w:r>
      <w:r>
        <w:rPr>
          <w:rFonts w:hint="eastAsia" w:ascii="方正仿宋简体" w:eastAsia="方正仿宋简体"/>
          <w:kern w:val="0"/>
          <w:sz w:val="30"/>
          <w:szCs w:val="30"/>
        </w:rPr>
        <w:t>”</w:t>
      </w:r>
      <w:r>
        <w:rPr>
          <w:rFonts w:eastAsia="方正仿宋简体"/>
          <w:kern w:val="0"/>
          <w:sz w:val="30"/>
          <w:szCs w:val="30"/>
        </w:rPr>
        <w:t>和</w:t>
      </w:r>
      <w:r>
        <w:rPr>
          <w:rFonts w:hint="eastAsia" w:ascii="方正仿宋简体" w:eastAsia="方正仿宋简体"/>
          <w:kern w:val="0"/>
          <w:sz w:val="30"/>
          <w:szCs w:val="30"/>
        </w:rPr>
        <w:t>“</w:t>
      </w:r>
      <w:r>
        <w:rPr>
          <w:rFonts w:eastAsia="方正仿宋简体"/>
          <w:kern w:val="0"/>
          <w:sz w:val="30"/>
          <w:szCs w:val="30"/>
        </w:rPr>
        <w:t>行权交收应交券方违约风险2</w:t>
      </w:r>
      <w:r>
        <w:rPr>
          <w:rFonts w:hint="eastAsia" w:ascii="方正仿宋简体" w:eastAsia="方正仿宋简体"/>
          <w:kern w:val="0"/>
          <w:sz w:val="30"/>
          <w:szCs w:val="30"/>
        </w:rPr>
        <w:t>”</w:t>
      </w:r>
      <w:r>
        <w:rPr>
          <w:rFonts w:eastAsia="方正仿宋简体"/>
          <w:kern w:val="0"/>
          <w:sz w:val="30"/>
          <w:szCs w:val="30"/>
        </w:rPr>
        <w:t>，即监控投资者持有合约标的的情况，对投资者所持有的合约标的不能满足行权交收应交付数量的投资者，进行电话提醒并督促其补足应交合约标的数量。</w:t>
      </w:r>
    </w:p>
    <w:p>
      <w:pPr>
        <w:spacing w:line="560" w:lineRule="exact"/>
        <w:ind w:firstLine="600" w:firstLineChars="200"/>
        <w:rPr>
          <w:rFonts w:eastAsia="方正仿宋简体"/>
          <w:kern w:val="0"/>
          <w:sz w:val="30"/>
          <w:szCs w:val="30"/>
        </w:rPr>
      </w:pPr>
      <w:r>
        <w:rPr>
          <w:rFonts w:eastAsia="方正仿宋简体"/>
          <w:kern w:val="0"/>
          <w:sz w:val="30"/>
          <w:szCs w:val="30"/>
        </w:rPr>
        <w:t>行权交收应交券方违约风险1=应交数量/账户所持相关流通证券的数量（含备兑持仓）</w:t>
      </w:r>
    </w:p>
    <w:p>
      <w:pPr>
        <w:widowControl/>
        <w:spacing w:line="560" w:lineRule="exact"/>
        <w:ind w:firstLine="600" w:firstLineChars="200"/>
        <w:rPr>
          <w:rFonts w:eastAsia="方正仿宋简体"/>
          <w:kern w:val="0"/>
          <w:sz w:val="30"/>
          <w:szCs w:val="30"/>
        </w:rPr>
      </w:pPr>
      <w:r>
        <w:rPr>
          <w:rFonts w:eastAsia="方正仿宋简体"/>
          <w:kern w:val="0"/>
          <w:sz w:val="30"/>
          <w:szCs w:val="30"/>
        </w:rPr>
        <w:t>行权交收应交券方违约风险2=应交数量/账户所持相关流通证券的数量（不含备兑持仓）</w:t>
      </w:r>
    </w:p>
    <w:p>
      <w:pPr>
        <w:spacing w:line="560" w:lineRule="exact"/>
        <w:ind w:firstLine="600" w:firstLineChars="200"/>
        <w:rPr>
          <w:rFonts w:eastAsia="方正仿宋简体"/>
          <w:kern w:val="0"/>
          <w:sz w:val="30"/>
          <w:szCs w:val="30"/>
        </w:rPr>
      </w:pPr>
      <w:r>
        <w:rPr>
          <w:rFonts w:eastAsia="方正仿宋简体"/>
          <w:kern w:val="0"/>
          <w:sz w:val="30"/>
          <w:szCs w:val="30"/>
        </w:rPr>
        <w:t>合约交收日约定时间内，对合约标的应付方，若准备交收的合约标的仍不足，期货公司可根据与客户在期权经纪合同中的约定，为客户买入合约标的或使用自有证券代为提供不足部分的合约标的。</w:t>
      </w:r>
    </w:p>
    <w:p>
      <w:pPr>
        <w:numPr>
          <w:ilvl w:val="0"/>
          <w:numId w:val="91"/>
        </w:numPr>
        <w:spacing w:line="560" w:lineRule="exact"/>
        <w:ind w:left="0" w:firstLine="601" w:firstLineChars="200"/>
        <w:outlineLvl w:val="1"/>
        <w:rPr>
          <w:rFonts w:eastAsia="方正仿宋简体"/>
          <w:sz w:val="30"/>
          <w:szCs w:val="30"/>
        </w:rPr>
      </w:pPr>
      <w:bookmarkStart w:id="175" w:name="_Toc468308360"/>
      <w:bookmarkStart w:id="176" w:name="_Toc25842019"/>
      <w:r>
        <w:rPr>
          <w:rFonts w:eastAsia="方正仿宋简体"/>
          <w:b/>
          <w:bCs/>
          <w:kern w:val="0"/>
          <w:sz w:val="30"/>
          <w:szCs w:val="30"/>
          <w:lang w:val="zh-CN" w:eastAsia="zh-CN"/>
        </w:rPr>
        <w:t>行权日前调整保证金参数水平提醒</w:t>
      </w:r>
      <w:bookmarkEnd w:id="175"/>
      <w:bookmarkEnd w:id="176"/>
    </w:p>
    <w:p>
      <w:pPr>
        <w:spacing w:line="560" w:lineRule="exact"/>
        <w:ind w:firstLine="600" w:firstLineChars="200"/>
        <w:rPr>
          <w:rFonts w:eastAsia="方正仿宋简体"/>
          <w:kern w:val="0"/>
          <w:sz w:val="30"/>
          <w:szCs w:val="30"/>
        </w:rPr>
      </w:pPr>
      <w:r>
        <w:rPr>
          <w:rFonts w:eastAsia="方正仿宋简体"/>
          <w:kern w:val="0"/>
          <w:sz w:val="30"/>
          <w:szCs w:val="30"/>
        </w:rPr>
        <w:t>若期货公司按照本指南进行保证金水平参数设置（见本指南</w:t>
      </w:r>
      <w:r>
        <w:rPr>
          <w:rFonts w:hint="eastAsia" w:ascii="方正仿宋简体" w:eastAsia="方正仿宋简体"/>
          <w:kern w:val="0"/>
          <w:sz w:val="30"/>
          <w:szCs w:val="30"/>
        </w:rPr>
        <w:t>“</w:t>
      </w:r>
      <w:r>
        <w:rPr>
          <w:rFonts w:eastAsia="方正仿宋简体"/>
          <w:kern w:val="0"/>
          <w:sz w:val="30"/>
          <w:szCs w:val="30"/>
        </w:rPr>
        <w:t>保证金管理</w:t>
      </w:r>
      <w:r>
        <w:rPr>
          <w:rFonts w:hint="eastAsia" w:ascii="方正仿宋简体" w:eastAsia="方正仿宋简体"/>
          <w:kern w:val="0"/>
          <w:sz w:val="30"/>
          <w:szCs w:val="30"/>
        </w:rPr>
        <w:t>”</w:t>
      </w:r>
      <w:r>
        <w:rPr>
          <w:rFonts w:eastAsia="方正仿宋简体"/>
          <w:kern w:val="0"/>
          <w:sz w:val="30"/>
          <w:szCs w:val="30"/>
        </w:rPr>
        <w:t>中第一节</w:t>
      </w:r>
      <w:r>
        <w:rPr>
          <w:rFonts w:hint="eastAsia" w:ascii="方正仿宋简体" w:eastAsia="方正仿宋简体"/>
          <w:kern w:val="0"/>
          <w:sz w:val="30"/>
          <w:szCs w:val="30"/>
        </w:rPr>
        <w:t>“</w:t>
      </w:r>
      <w:r>
        <w:rPr>
          <w:rFonts w:eastAsia="方正仿宋简体"/>
          <w:kern w:val="0"/>
          <w:sz w:val="30"/>
          <w:szCs w:val="30"/>
        </w:rPr>
        <w:t>客户保证金管理</w:t>
      </w:r>
      <w:r>
        <w:rPr>
          <w:rFonts w:hint="eastAsia" w:ascii="方正仿宋简体" w:eastAsia="方正仿宋简体"/>
          <w:kern w:val="0"/>
          <w:sz w:val="30"/>
          <w:szCs w:val="30"/>
        </w:rPr>
        <w:t>”</w:t>
      </w:r>
      <w:r>
        <w:rPr>
          <w:rFonts w:eastAsia="方正仿宋简体"/>
          <w:kern w:val="0"/>
          <w:sz w:val="30"/>
          <w:szCs w:val="30"/>
        </w:rPr>
        <w:t>的第（一）点</w:t>
      </w:r>
      <w:r>
        <w:rPr>
          <w:rFonts w:hint="eastAsia" w:ascii="方正仿宋简体" w:eastAsia="方正仿宋简体"/>
          <w:kern w:val="0"/>
          <w:sz w:val="30"/>
          <w:szCs w:val="30"/>
        </w:rPr>
        <w:t>“</w:t>
      </w:r>
      <w:r>
        <w:rPr>
          <w:rFonts w:eastAsia="方正仿宋简体"/>
          <w:kern w:val="0"/>
          <w:sz w:val="30"/>
          <w:szCs w:val="30"/>
        </w:rPr>
        <w:t>保证金水平</w:t>
      </w:r>
      <w:r>
        <w:rPr>
          <w:rFonts w:hint="eastAsia" w:ascii="方正仿宋简体" w:eastAsia="方正仿宋简体"/>
          <w:kern w:val="0"/>
          <w:sz w:val="30"/>
          <w:szCs w:val="30"/>
        </w:rPr>
        <w:t>”</w:t>
      </w:r>
      <w:r>
        <w:rPr>
          <w:rFonts w:eastAsia="方正仿宋简体"/>
          <w:kern w:val="0"/>
          <w:sz w:val="30"/>
          <w:szCs w:val="30"/>
        </w:rPr>
        <w:t>），期货公司应在与投资者签署的期权经纪合同中，明确约定可能导致保证金参数水平调整的情形。若在临近行权日进行了参数调整，调整后，应当及时通过邮件、短信、交易客户端等渠道做好通知提醒工作。</w:t>
      </w:r>
    </w:p>
    <w:p>
      <w:pPr>
        <w:keepNext w:val="0"/>
        <w:keepLines w:val="0"/>
        <w:pageBreakBefore w:val="0"/>
        <w:widowControl w:val="0"/>
        <w:numPr>
          <w:ilvl w:val="0"/>
          <w:numId w:val="16"/>
        </w:numPr>
        <w:kinsoku/>
        <w:wordWrap/>
        <w:overflowPunct/>
        <w:topLinePunct w:val="0"/>
        <w:autoSpaceDE/>
        <w:autoSpaceDN/>
        <w:bidi w:val="0"/>
        <w:adjustRightInd/>
        <w:snapToGrid/>
        <w:spacing w:line="560" w:lineRule="exact"/>
        <w:ind w:left="0" w:firstLine="0"/>
        <w:jc w:val="center"/>
        <w:textAlignment w:val="auto"/>
        <w:outlineLvl w:val="0"/>
        <w:rPr>
          <w:rFonts w:ascii="黑体" w:hAnsi="黑体" w:eastAsia="黑体"/>
          <w:bCs/>
          <w:sz w:val="30"/>
          <w:szCs w:val="30"/>
        </w:rPr>
      </w:pPr>
      <w:r>
        <w:rPr>
          <w:rFonts w:eastAsia="方正仿宋简体"/>
          <w:b/>
          <w:bCs/>
          <w:sz w:val="30"/>
          <w:szCs w:val="30"/>
        </w:rPr>
        <w:br w:type="page"/>
      </w:r>
      <w:bookmarkStart w:id="177" w:name="_Toc25842020"/>
      <w:r>
        <w:rPr>
          <w:rFonts w:ascii="黑体" w:hAnsi="黑体" w:eastAsia="黑体"/>
          <w:bCs/>
          <w:sz w:val="30"/>
          <w:szCs w:val="30"/>
        </w:rPr>
        <w:t>协议行权</w:t>
      </w:r>
      <w:bookmarkEnd w:id="177"/>
    </w:p>
    <w:p>
      <w:pPr>
        <w:spacing w:line="560" w:lineRule="exact"/>
        <w:ind w:firstLine="600" w:firstLineChars="200"/>
        <w:rPr>
          <w:rFonts w:eastAsia="方正仿宋简体"/>
          <w:sz w:val="30"/>
          <w:szCs w:val="30"/>
        </w:rPr>
      </w:pPr>
      <w:r>
        <w:rPr>
          <w:rFonts w:eastAsia="方正仿宋简体"/>
          <w:sz w:val="30"/>
          <w:szCs w:val="30"/>
        </w:rPr>
        <w:t>协议行权是指期货公司与客户通过期权经纪合同约定，期货公司借助系统为客户指定合约设置行权策略，客户在行权日不必再提交行权委托，系统会为指定合约自动提交行权委托的服务。协议行权能够降低客户在行权日忘记行权带来损失的风险。</w:t>
      </w:r>
    </w:p>
    <w:p>
      <w:pPr>
        <w:numPr>
          <w:ilvl w:val="0"/>
          <w:numId w:val="97"/>
        </w:numPr>
        <w:spacing w:line="560" w:lineRule="exact"/>
        <w:ind w:left="0" w:firstLine="601" w:firstLineChars="200"/>
        <w:outlineLvl w:val="1"/>
        <w:rPr>
          <w:rFonts w:eastAsia="方正仿宋简体"/>
          <w:b/>
          <w:bCs/>
          <w:kern w:val="0"/>
          <w:sz w:val="30"/>
          <w:szCs w:val="30"/>
          <w:lang w:val="zh-CN" w:eastAsia="zh-CN"/>
        </w:rPr>
      </w:pPr>
      <w:bookmarkStart w:id="178" w:name="_Toc25842021"/>
      <w:r>
        <w:rPr>
          <w:rFonts w:eastAsia="方正仿宋简体"/>
          <w:b/>
          <w:bCs/>
          <w:kern w:val="0"/>
          <w:sz w:val="30"/>
          <w:szCs w:val="30"/>
          <w:lang w:val="zh-CN" w:eastAsia="zh-CN"/>
        </w:rPr>
        <w:t>协议行权策略</w:t>
      </w:r>
      <w:bookmarkEnd w:id="178"/>
    </w:p>
    <w:p>
      <w:pPr>
        <w:spacing w:line="560" w:lineRule="exact"/>
        <w:ind w:firstLine="600" w:firstLineChars="200"/>
        <w:rPr>
          <w:rFonts w:eastAsia="方正仿宋简体"/>
          <w:sz w:val="30"/>
          <w:szCs w:val="30"/>
        </w:rPr>
      </w:pPr>
      <w:r>
        <w:rPr>
          <w:rFonts w:eastAsia="方正仿宋简体"/>
          <w:sz w:val="30"/>
          <w:szCs w:val="30"/>
        </w:rPr>
        <w:t>期货公司可为客户提供协议行权服务的选择，客户可以自行选择策略和触发条件，以此确定策略阀值。建议期货公司将协议行权申报委托时间设定在收盘后。</w:t>
      </w:r>
    </w:p>
    <w:p>
      <w:pPr>
        <w:spacing w:line="560" w:lineRule="exact"/>
        <w:ind w:firstLine="600" w:firstLineChars="200"/>
        <w:rPr>
          <w:rFonts w:eastAsia="方正仿宋简体"/>
          <w:sz w:val="30"/>
          <w:szCs w:val="30"/>
        </w:rPr>
      </w:pPr>
      <w:r>
        <w:rPr>
          <w:rFonts w:eastAsia="方正仿宋简体"/>
          <w:sz w:val="30"/>
          <w:szCs w:val="30"/>
        </w:rPr>
        <w:t>以下为协议行权策略举例，仅供参考，期货公司可以根据自身情况制定协议行权策略：</w:t>
      </w:r>
    </w:p>
    <w:p>
      <w:pPr>
        <w:spacing w:line="560" w:lineRule="exact"/>
        <w:ind w:firstLine="600" w:firstLineChars="200"/>
        <w:rPr>
          <w:rFonts w:eastAsia="方正仿宋简体"/>
          <w:sz w:val="30"/>
          <w:szCs w:val="30"/>
        </w:rPr>
      </w:pPr>
      <w:r>
        <w:rPr>
          <w:rFonts w:eastAsia="方正仿宋简体"/>
          <w:sz w:val="30"/>
          <w:szCs w:val="30"/>
        </w:rPr>
        <w:t>（一）实值x元即行权</w:t>
      </w:r>
    </w:p>
    <w:p>
      <w:pPr>
        <w:spacing w:line="560" w:lineRule="exact"/>
        <w:ind w:firstLine="600" w:firstLineChars="200"/>
        <w:rPr>
          <w:rFonts w:eastAsia="方正仿宋简体"/>
          <w:sz w:val="30"/>
          <w:szCs w:val="30"/>
        </w:rPr>
      </w:pPr>
      <w:r>
        <w:rPr>
          <w:rFonts w:eastAsia="方正仿宋简体"/>
          <w:sz w:val="30"/>
          <w:szCs w:val="30"/>
        </w:rPr>
        <w:t>认购期权：收盘价 - 行权价≥策略阈值</w:t>
      </w:r>
    </w:p>
    <w:p>
      <w:pPr>
        <w:spacing w:line="560" w:lineRule="exact"/>
        <w:ind w:firstLine="600" w:firstLineChars="200"/>
        <w:rPr>
          <w:rFonts w:eastAsia="方正仿宋简体"/>
          <w:sz w:val="30"/>
          <w:szCs w:val="30"/>
        </w:rPr>
      </w:pPr>
      <w:r>
        <w:rPr>
          <w:rFonts w:eastAsia="方正仿宋简体"/>
          <w:sz w:val="30"/>
          <w:szCs w:val="30"/>
        </w:rPr>
        <w:t>认沽期权：行权价 - 收盘价≥策略阈值</w:t>
      </w:r>
    </w:p>
    <w:p>
      <w:pPr>
        <w:spacing w:line="560" w:lineRule="exact"/>
        <w:ind w:firstLine="600" w:firstLineChars="200"/>
        <w:rPr>
          <w:rFonts w:eastAsia="方正仿宋简体"/>
          <w:sz w:val="30"/>
          <w:szCs w:val="30"/>
        </w:rPr>
      </w:pPr>
      <w:r>
        <w:rPr>
          <w:rFonts w:eastAsia="方正仿宋简体"/>
          <w:sz w:val="30"/>
          <w:szCs w:val="30"/>
        </w:rPr>
        <w:t>（二）盈利x元即行权</w:t>
      </w:r>
    </w:p>
    <w:p>
      <w:pPr>
        <w:spacing w:line="560" w:lineRule="exact"/>
        <w:ind w:firstLine="600" w:firstLineChars="200"/>
        <w:rPr>
          <w:rFonts w:eastAsia="方正仿宋简体"/>
          <w:sz w:val="30"/>
          <w:szCs w:val="30"/>
        </w:rPr>
      </w:pPr>
      <w:r>
        <w:rPr>
          <w:rFonts w:eastAsia="方正仿宋简体"/>
          <w:sz w:val="30"/>
          <w:szCs w:val="30"/>
        </w:rPr>
        <w:t>认购期权：收盘价 - 行权价 - 折算的单份费用≥策略阈值</w:t>
      </w:r>
    </w:p>
    <w:p>
      <w:pPr>
        <w:spacing w:line="560" w:lineRule="exact"/>
        <w:ind w:firstLine="600" w:firstLineChars="200"/>
        <w:rPr>
          <w:rFonts w:eastAsia="方正仿宋简体"/>
          <w:sz w:val="30"/>
          <w:szCs w:val="30"/>
        </w:rPr>
      </w:pPr>
      <w:r>
        <w:rPr>
          <w:rFonts w:eastAsia="方正仿宋简体"/>
          <w:sz w:val="30"/>
          <w:szCs w:val="30"/>
        </w:rPr>
        <w:t>认沽期权：行权价 - 收盘价 - 折算的单份费用≥策略阈值</w:t>
      </w:r>
    </w:p>
    <w:p>
      <w:pPr>
        <w:spacing w:line="560" w:lineRule="exact"/>
        <w:ind w:firstLine="600" w:firstLineChars="200"/>
        <w:rPr>
          <w:rFonts w:eastAsia="方正仿宋简体"/>
          <w:sz w:val="30"/>
          <w:szCs w:val="30"/>
        </w:rPr>
      </w:pPr>
      <w:r>
        <w:rPr>
          <w:rFonts w:eastAsia="方正仿宋简体"/>
          <w:sz w:val="30"/>
          <w:szCs w:val="30"/>
        </w:rPr>
        <w:t>（三）实值百分比即行权</w:t>
      </w:r>
    </w:p>
    <w:p>
      <w:pPr>
        <w:spacing w:line="560" w:lineRule="exact"/>
        <w:ind w:firstLine="600" w:firstLineChars="200"/>
        <w:rPr>
          <w:rFonts w:eastAsia="方正仿宋简体"/>
          <w:sz w:val="30"/>
          <w:szCs w:val="30"/>
        </w:rPr>
      </w:pPr>
      <w:r>
        <w:rPr>
          <w:rFonts w:eastAsia="方正仿宋简体"/>
          <w:sz w:val="30"/>
          <w:szCs w:val="30"/>
        </w:rPr>
        <w:t>认购期权：（收盘价 - 行权价）/行权价≥策略阈值</w:t>
      </w:r>
    </w:p>
    <w:p>
      <w:pPr>
        <w:spacing w:line="560" w:lineRule="exact"/>
        <w:ind w:firstLine="600" w:firstLineChars="200"/>
        <w:rPr>
          <w:rFonts w:eastAsia="方正仿宋简体"/>
          <w:sz w:val="30"/>
          <w:szCs w:val="30"/>
        </w:rPr>
      </w:pPr>
      <w:r>
        <w:rPr>
          <w:rFonts w:eastAsia="方正仿宋简体"/>
          <w:sz w:val="30"/>
          <w:szCs w:val="30"/>
        </w:rPr>
        <w:t>认沽期权：（行权价 - 收盘价）/行权价≥策略阈值</w:t>
      </w:r>
    </w:p>
    <w:p>
      <w:pPr>
        <w:spacing w:line="560" w:lineRule="exact"/>
        <w:ind w:firstLine="600" w:firstLineChars="200"/>
        <w:rPr>
          <w:rFonts w:eastAsia="方正仿宋简体"/>
          <w:sz w:val="30"/>
          <w:szCs w:val="30"/>
        </w:rPr>
      </w:pPr>
      <w:r>
        <w:rPr>
          <w:rFonts w:eastAsia="方正仿宋简体"/>
          <w:sz w:val="30"/>
          <w:szCs w:val="30"/>
        </w:rPr>
        <w:t>（四）盈利百分比即行权</w:t>
      </w:r>
    </w:p>
    <w:p>
      <w:pPr>
        <w:spacing w:line="560" w:lineRule="exact"/>
        <w:ind w:firstLine="600" w:firstLineChars="200"/>
        <w:rPr>
          <w:rFonts w:eastAsia="方正仿宋简体"/>
          <w:sz w:val="30"/>
          <w:szCs w:val="30"/>
        </w:rPr>
      </w:pPr>
      <w:r>
        <w:rPr>
          <w:rFonts w:eastAsia="方正仿宋简体"/>
          <w:sz w:val="30"/>
          <w:szCs w:val="30"/>
        </w:rPr>
        <w:t>认购期权：（收盘价 - 行权价- 折算的单份费用）/（行权价 + 折算的单份费用）≥策略阈值</w:t>
      </w:r>
    </w:p>
    <w:p>
      <w:pPr>
        <w:spacing w:line="560" w:lineRule="exact"/>
        <w:ind w:firstLine="600" w:firstLineChars="200"/>
        <w:rPr>
          <w:rFonts w:eastAsia="方正仿宋简体"/>
          <w:sz w:val="30"/>
          <w:szCs w:val="30"/>
        </w:rPr>
      </w:pPr>
      <w:r>
        <w:rPr>
          <w:rFonts w:eastAsia="方正仿宋简体"/>
          <w:sz w:val="30"/>
          <w:szCs w:val="30"/>
        </w:rPr>
        <w:t>认沽期权：（行权价 - 收盘价- 折算的单份费用）/（行权价 + 折算的单份费用）≥策略阈值</w:t>
      </w:r>
    </w:p>
    <w:p>
      <w:pPr>
        <w:numPr>
          <w:ilvl w:val="0"/>
          <w:numId w:val="97"/>
        </w:numPr>
        <w:spacing w:line="560" w:lineRule="exact"/>
        <w:ind w:left="0" w:firstLine="601" w:firstLineChars="200"/>
        <w:outlineLvl w:val="1"/>
        <w:rPr>
          <w:rFonts w:eastAsia="方正仿宋简体"/>
          <w:b/>
          <w:bCs/>
          <w:kern w:val="0"/>
          <w:sz w:val="30"/>
          <w:szCs w:val="30"/>
          <w:lang w:val="zh-CN" w:eastAsia="zh-CN"/>
        </w:rPr>
      </w:pPr>
      <w:bookmarkStart w:id="179" w:name="_Toc25842022"/>
      <w:r>
        <w:rPr>
          <w:rFonts w:eastAsia="方正仿宋简体"/>
          <w:b/>
          <w:bCs/>
          <w:kern w:val="0"/>
          <w:sz w:val="30"/>
          <w:szCs w:val="30"/>
          <w:lang w:val="zh-CN" w:eastAsia="zh-CN"/>
        </w:rPr>
        <w:t>协议行权注意事项</w:t>
      </w:r>
      <w:bookmarkEnd w:id="179"/>
    </w:p>
    <w:p>
      <w:pPr>
        <w:spacing w:line="560" w:lineRule="exact"/>
        <w:ind w:firstLine="600" w:firstLineChars="200"/>
        <w:rPr>
          <w:rFonts w:eastAsia="方正仿宋简体"/>
          <w:sz w:val="30"/>
          <w:szCs w:val="30"/>
        </w:rPr>
      </w:pPr>
      <w:r>
        <w:rPr>
          <w:rFonts w:eastAsia="方正仿宋简体"/>
          <w:sz w:val="30"/>
          <w:szCs w:val="30"/>
        </w:rPr>
        <w:t>投资者可以在任意交易日的任意交易时间设置针对任意合约的协议行权策略，包括没有持仓的合约；也可以设置一条针对所有合约都适用的行权策略。</w:t>
      </w:r>
    </w:p>
    <w:p>
      <w:pPr>
        <w:spacing w:line="560" w:lineRule="exact"/>
        <w:ind w:firstLine="600" w:firstLineChars="200"/>
        <w:rPr>
          <w:rFonts w:eastAsia="方正仿宋简体"/>
          <w:sz w:val="30"/>
          <w:szCs w:val="30"/>
        </w:rPr>
      </w:pPr>
      <w:r>
        <w:rPr>
          <w:rFonts w:eastAsia="方正仿宋简体"/>
          <w:sz w:val="30"/>
          <w:szCs w:val="30"/>
        </w:rPr>
        <w:t>期货公司在经过客户认可后，可以为客户设置默认的协议行权策略，该策略的阈值由期货公司自行设定。</w:t>
      </w:r>
    </w:p>
    <w:p>
      <w:pPr>
        <w:spacing w:line="560" w:lineRule="exact"/>
        <w:ind w:firstLine="600" w:firstLineChars="200"/>
        <w:rPr>
          <w:rFonts w:eastAsia="方正仿宋简体"/>
          <w:sz w:val="30"/>
          <w:szCs w:val="30"/>
        </w:rPr>
      </w:pPr>
      <w:r>
        <w:rPr>
          <w:rFonts w:eastAsia="方正仿宋简体"/>
          <w:sz w:val="30"/>
          <w:szCs w:val="30"/>
        </w:rPr>
        <w:t>客户自行设置的协议行权策略优先于期货公司为客户设置的默认协议行权策略。</w:t>
      </w:r>
    </w:p>
    <w:p>
      <w:pPr>
        <w:spacing w:line="560" w:lineRule="exact"/>
        <w:ind w:firstLine="600" w:firstLineChars="200"/>
        <w:rPr>
          <w:rFonts w:eastAsia="方正仿宋简体"/>
          <w:sz w:val="30"/>
          <w:szCs w:val="30"/>
        </w:rPr>
      </w:pPr>
      <w:r>
        <w:rPr>
          <w:rFonts w:eastAsia="方正仿宋简体"/>
          <w:sz w:val="30"/>
          <w:szCs w:val="30"/>
        </w:rPr>
        <w:t>客户在行权日发出的手动行权委托（即客户在行权日提交的行权委托）优先于协议行权委托。</w:t>
      </w:r>
    </w:p>
    <w:p>
      <w:pPr>
        <w:keepNext w:val="0"/>
        <w:keepLines w:val="0"/>
        <w:pageBreakBefore w:val="0"/>
        <w:widowControl w:val="0"/>
        <w:numPr>
          <w:ilvl w:val="0"/>
          <w:numId w:val="16"/>
        </w:numPr>
        <w:kinsoku/>
        <w:wordWrap/>
        <w:overflowPunct/>
        <w:topLinePunct w:val="0"/>
        <w:autoSpaceDE/>
        <w:autoSpaceDN/>
        <w:bidi w:val="0"/>
        <w:adjustRightInd/>
        <w:snapToGrid/>
        <w:spacing w:line="560" w:lineRule="exact"/>
        <w:ind w:left="0" w:firstLine="0" w:firstLineChars="0"/>
        <w:jc w:val="center"/>
        <w:textAlignment w:val="auto"/>
        <w:outlineLvl w:val="0"/>
        <w:rPr>
          <w:rFonts w:ascii="黑体" w:hAnsi="黑体" w:eastAsia="黑体"/>
          <w:bCs/>
          <w:sz w:val="30"/>
          <w:szCs w:val="30"/>
        </w:rPr>
      </w:pPr>
      <w:r>
        <w:rPr>
          <w:rFonts w:eastAsia="方正仿宋简体"/>
          <w:b/>
          <w:bCs/>
          <w:sz w:val="30"/>
          <w:szCs w:val="30"/>
        </w:rPr>
        <w:br w:type="page"/>
      </w:r>
      <w:bookmarkStart w:id="180" w:name="_Toc25842023"/>
      <w:r>
        <w:rPr>
          <w:rFonts w:ascii="黑体" w:hAnsi="黑体" w:eastAsia="黑体"/>
          <w:bCs/>
          <w:sz w:val="30"/>
          <w:szCs w:val="30"/>
        </w:rPr>
        <w:t>客户资金划转与结算</w:t>
      </w:r>
      <w:bookmarkEnd w:id="180"/>
    </w:p>
    <w:p>
      <w:pPr>
        <w:numPr>
          <w:ilvl w:val="0"/>
          <w:numId w:val="98"/>
        </w:numPr>
        <w:spacing w:line="560" w:lineRule="exact"/>
        <w:ind w:left="0" w:firstLine="601" w:firstLineChars="200"/>
        <w:outlineLvl w:val="1"/>
        <w:rPr>
          <w:rFonts w:eastAsia="方正仿宋简体"/>
          <w:b/>
          <w:bCs/>
          <w:kern w:val="0"/>
          <w:sz w:val="30"/>
          <w:szCs w:val="30"/>
          <w:lang w:val="zh-CN" w:eastAsia="zh-CN"/>
        </w:rPr>
      </w:pPr>
      <w:bookmarkStart w:id="181" w:name="_Toc25842024"/>
      <w:bookmarkStart w:id="182" w:name="_Toc406438918"/>
      <w:r>
        <w:rPr>
          <w:rFonts w:eastAsia="方正仿宋简体"/>
          <w:b/>
          <w:bCs/>
          <w:kern w:val="0"/>
          <w:sz w:val="30"/>
          <w:szCs w:val="30"/>
          <w:lang w:val="zh-CN" w:eastAsia="zh-CN"/>
        </w:rPr>
        <w:t>资金划转</w:t>
      </w:r>
      <w:bookmarkEnd w:id="181"/>
    </w:p>
    <w:p>
      <w:pPr>
        <w:spacing w:line="560" w:lineRule="exact"/>
        <w:ind w:firstLine="600" w:firstLineChars="200"/>
        <w:rPr>
          <w:rFonts w:eastAsia="方正仿宋简体"/>
          <w:sz w:val="30"/>
          <w:szCs w:val="30"/>
        </w:rPr>
      </w:pPr>
      <w:r>
        <w:rPr>
          <w:rFonts w:eastAsia="方正仿宋简体"/>
          <w:sz w:val="30"/>
          <w:szCs w:val="30"/>
        </w:rPr>
        <w:t>对于现货资金划转，参照证券公司的做法，期货公司客户入金时，直接从银行结算账户向其在期货公司开立的证券资金账户划转。期货公司入金时，直接从期货公司的结算资金专用存款账户向在中国结算开立的资金交收账户划转。</w:t>
      </w:r>
    </w:p>
    <w:p>
      <w:pPr>
        <w:spacing w:line="560" w:lineRule="exact"/>
        <w:ind w:firstLine="600" w:firstLineChars="200"/>
        <w:rPr>
          <w:rFonts w:eastAsia="方正仿宋简体"/>
          <w:sz w:val="30"/>
          <w:szCs w:val="30"/>
        </w:rPr>
      </w:pPr>
      <w:r>
        <w:rPr>
          <w:rFonts w:eastAsia="方正仿宋简体"/>
          <w:sz w:val="30"/>
          <w:szCs w:val="30"/>
        </w:rPr>
        <w:t>对于衍生品资金划转，期货公司客户入金时，直接从银行结算账户（可复用资金账户）向其在期货公司的衍生品资金账户（复用其期货保证金账户，该账户资金可用于交易封闭圈内指定金融产品，包括期货和期权）转账。期货公司入金时，直接从期货公司的期货保证金账户向其在中国结算开立的客户股票期权保证金账户转账。</w:t>
      </w:r>
    </w:p>
    <w:p>
      <w:pPr>
        <w:spacing w:line="560" w:lineRule="exact"/>
        <w:ind w:firstLine="600" w:firstLineChars="200"/>
        <w:rPr>
          <w:rFonts w:eastAsia="方正仿宋简体"/>
          <w:sz w:val="30"/>
          <w:szCs w:val="30"/>
        </w:rPr>
      </w:pPr>
      <w:r>
        <w:rPr>
          <w:rFonts w:eastAsia="方正仿宋简体"/>
          <w:sz w:val="30"/>
          <w:szCs w:val="30"/>
        </w:rPr>
        <w:t>出金的相关操作与入金相反。</w:t>
      </w:r>
    </w:p>
    <w:p>
      <w:pPr>
        <w:numPr>
          <w:ilvl w:val="0"/>
          <w:numId w:val="98"/>
        </w:numPr>
        <w:spacing w:line="560" w:lineRule="exact"/>
        <w:ind w:left="0" w:firstLine="601" w:firstLineChars="200"/>
        <w:outlineLvl w:val="1"/>
        <w:rPr>
          <w:rFonts w:eastAsia="方正仿宋简体"/>
          <w:b/>
          <w:bCs/>
          <w:kern w:val="0"/>
          <w:sz w:val="30"/>
          <w:szCs w:val="30"/>
          <w:lang w:val="zh-CN" w:eastAsia="zh-CN"/>
        </w:rPr>
      </w:pPr>
      <w:bookmarkStart w:id="183" w:name="_Toc25842025"/>
      <w:r>
        <w:rPr>
          <w:rFonts w:eastAsia="方正仿宋简体"/>
          <w:b/>
          <w:bCs/>
          <w:kern w:val="0"/>
          <w:sz w:val="30"/>
          <w:szCs w:val="30"/>
          <w:lang w:val="zh-CN" w:eastAsia="zh-CN"/>
        </w:rPr>
        <w:t>日常交易清算</w:t>
      </w:r>
      <w:bookmarkEnd w:id="182"/>
      <w:bookmarkEnd w:id="183"/>
    </w:p>
    <w:p>
      <w:pPr>
        <w:spacing w:line="560" w:lineRule="exact"/>
        <w:ind w:firstLine="600" w:firstLineChars="200"/>
        <w:rPr>
          <w:rFonts w:eastAsia="方正仿宋简体"/>
          <w:sz w:val="30"/>
          <w:szCs w:val="30"/>
        </w:rPr>
      </w:pPr>
      <w:r>
        <w:rPr>
          <w:rFonts w:eastAsia="方正仿宋简体"/>
          <w:sz w:val="30"/>
          <w:szCs w:val="30"/>
        </w:rPr>
        <w:t>T日日终，期货公司根据中国结算发送的数据，对客户进行权利金和合约持仓变更的清算。当日单个客户全部股票期权交易资金清算结果以该客户股票期权保证金账户为单位进行轧差，形成该客户当日交易资金交收净应收/应付额（若T日为行权交收日，资金净应收/应付额中包含过户费）。</w:t>
      </w:r>
    </w:p>
    <w:p>
      <w:pPr>
        <w:spacing w:line="560" w:lineRule="exact"/>
        <w:ind w:firstLine="600" w:firstLineChars="200"/>
        <w:rPr>
          <w:rFonts w:eastAsia="方正仿宋简体"/>
          <w:sz w:val="30"/>
          <w:szCs w:val="30"/>
        </w:rPr>
      </w:pPr>
      <w:r>
        <w:rPr>
          <w:rFonts w:eastAsia="方正仿宋简体"/>
          <w:sz w:val="30"/>
          <w:szCs w:val="30"/>
        </w:rPr>
        <w:t>对客户各交易类型清算处理如下：</w:t>
      </w:r>
    </w:p>
    <w:p>
      <w:pPr>
        <w:spacing w:line="560" w:lineRule="exact"/>
        <w:ind w:firstLine="600" w:firstLineChars="200"/>
        <w:rPr>
          <w:rFonts w:eastAsia="方正仿宋简体"/>
          <w:sz w:val="30"/>
          <w:szCs w:val="30"/>
        </w:rPr>
      </w:pPr>
      <w:r>
        <w:rPr>
          <w:rFonts w:eastAsia="方正仿宋简体"/>
          <w:sz w:val="30"/>
          <w:szCs w:val="30"/>
        </w:rPr>
        <w:t>（1）买入开仓：增加权利仓头寸，计减权利金。</w:t>
      </w:r>
    </w:p>
    <w:p>
      <w:pPr>
        <w:spacing w:line="560" w:lineRule="exact"/>
        <w:ind w:firstLine="600" w:firstLineChars="200"/>
        <w:rPr>
          <w:rFonts w:eastAsia="方正仿宋简体"/>
          <w:sz w:val="30"/>
          <w:szCs w:val="30"/>
        </w:rPr>
      </w:pPr>
      <w:r>
        <w:rPr>
          <w:rFonts w:eastAsia="方正仿宋简体"/>
          <w:sz w:val="30"/>
          <w:szCs w:val="30"/>
        </w:rPr>
        <w:t>（2）卖出平仓：减少权利仓头寸，计增权利金。</w:t>
      </w:r>
    </w:p>
    <w:p>
      <w:pPr>
        <w:spacing w:line="560" w:lineRule="exact"/>
        <w:ind w:firstLine="600" w:firstLineChars="200"/>
        <w:rPr>
          <w:rFonts w:eastAsia="方正仿宋简体"/>
          <w:sz w:val="30"/>
          <w:szCs w:val="30"/>
        </w:rPr>
      </w:pPr>
      <w:r>
        <w:rPr>
          <w:rFonts w:eastAsia="方正仿宋简体"/>
          <w:sz w:val="30"/>
          <w:szCs w:val="30"/>
        </w:rPr>
        <w:t>（3）卖出开仓：增加义务仓头寸，计减保证金账户可用余额，计增权利金。</w:t>
      </w:r>
    </w:p>
    <w:p>
      <w:pPr>
        <w:spacing w:line="560" w:lineRule="exact"/>
        <w:ind w:firstLine="600" w:firstLineChars="200"/>
        <w:rPr>
          <w:rFonts w:eastAsia="方正仿宋简体"/>
          <w:sz w:val="30"/>
          <w:szCs w:val="30"/>
        </w:rPr>
      </w:pPr>
      <w:r>
        <w:rPr>
          <w:rFonts w:eastAsia="方正仿宋简体"/>
          <w:sz w:val="30"/>
          <w:szCs w:val="30"/>
        </w:rPr>
        <w:t>（4）买入平仓：减少义务仓头寸，计增保证金账户可用余额，计减权利金。</w:t>
      </w:r>
    </w:p>
    <w:p>
      <w:pPr>
        <w:spacing w:line="560" w:lineRule="exact"/>
        <w:ind w:firstLine="600" w:firstLineChars="200"/>
        <w:rPr>
          <w:rFonts w:eastAsia="方正仿宋简体"/>
          <w:sz w:val="30"/>
          <w:szCs w:val="30"/>
        </w:rPr>
      </w:pPr>
      <w:r>
        <w:rPr>
          <w:rFonts w:eastAsia="方正仿宋简体"/>
          <w:sz w:val="30"/>
          <w:szCs w:val="30"/>
        </w:rPr>
        <w:t>（5）备兑开仓：增加义务仓头寸，锁定标的证券，计增权利金。</w:t>
      </w:r>
    </w:p>
    <w:p>
      <w:pPr>
        <w:spacing w:line="560" w:lineRule="exact"/>
        <w:ind w:firstLine="600" w:firstLineChars="200"/>
        <w:rPr>
          <w:rFonts w:eastAsia="方正仿宋简体"/>
          <w:sz w:val="30"/>
          <w:szCs w:val="30"/>
        </w:rPr>
      </w:pPr>
      <w:r>
        <w:rPr>
          <w:rFonts w:eastAsia="方正仿宋简体"/>
          <w:sz w:val="30"/>
          <w:szCs w:val="30"/>
        </w:rPr>
        <w:t>（6）备兑平仓：减少义务仓头寸，解锁标的证券，计减权利金。</w:t>
      </w:r>
    </w:p>
    <w:p>
      <w:pPr>
        <w:spacing w:line="560" w:lineRule="exact"/>
        <w:ind w:firstLine="600" w:firstLineChars="200"/>
        <w:rPr>
          <w:rFonts w:eastAsia="方正仿宋简体"/>
          <w:sz w:val="30"/>
          <w:szCs w:val="30"/>
        </w:rPr>
      </w:pPr>
      <w:r>
        <w:rPr>
          <w:rFonts w:eastAsia="方正仿宋简体"/>
          <w:sz w:val="30"/>
          <w:szCs w:val="30"/>
        </w:rPr>
        <w:t>在交易时段，期货公司客户可对同一期权合约进行双向持仓（可同时持有权利仓与义务仓）。日终清算时，期货公司应根据中国结算日终清算结果对客户的双向头寸进行对冲（取净头寸，优先对冲非备兑义务仓），并调整为单向持仓，并按单向持仓计收维持保证金。</w:t>
      </w:r>
    </w:p>
    <w:p>
      <w:pPr>
        <w:numPr>
          <w:ilvl w:val="0"/>
          <w:numId w:val="98"/>
        </w:numPr>
        <w:spacing w:line="560" w:lineRule="exact"/>
        <w:ind w:left="0" w:firstLine="601" w:firstLineChars="200"/>
        <w:outlineLvl w:val="1"/>
        <w:rPr>
          <w:rFonts w:eastAsia="方正仿宋简体"/>
          <w:b/>
          <w:bCs/>
          <w:kern w:val="0"/>
          <w:sz w:val="30"/>
          <w:szCs w:val="30"/>
          <w:lang w:val="zh-CN" w:eastAsia="zh-CN"/>
        </w:rPr>
      </w:pPr>
      <w:bookmarkStart w:id="184" w:name="_Toc25842026"/>
      <w:r>
        <w:rPr>
          <w:rFonts w:eastAsia="方正仿宋简体"/>
          <w:b/>
          <w:bCs/>
          <w:kern w:val="0"/>
          <w:sz w:val="30"/>
          <w:szCs w:val="30"/>
          <w:lang w:val="zh-CN" w:eastAsia="zh-CN"/>
        </w:rPr>
        <w:t>清算后数据对账</w:t>
      </w:r>
      <w:bookmarkEnd w:id="184"/>
    </w:p>
    <w:p>
      <w:pPr>
        <w:keepNext/>
        <w:keepLines/>
        <w:numPr>
          <w:ilvl w:val="0"/>
          <w:numId w:val="99"/>
        </w:numPr>
        <w:spacing w:line="560" w:lineRule="exact"/>
        <w:ind w:left="0" w:firstLine="601" w:firstLineChars="200"/>
        <w:outlineLvl w:val="2"/>
        <w:rPr>
          <w:rFonts w:eastAsia="方正仿宋简体"/>
          <w:b/>
          <w:sz w:val="30"/>
          <w:szCs w:val="30"/>
        </w:rPr>
      </w:pPr>
      <w:r>
        <w:rPr>
          <w:rFonts w:eastAsia="方正仿宋简体"/>
          <w:b/>
          <w:sz w:val="30"/>
          <w:szCs w:val="30"/>
        </w:rPr>
        <w:t>合约与证券对账</w:t>
      </w:r>
    </w:p>
    <w:p>
      <w:pPr>
        <w:numPr>
          <w:ilvl w:val="0"/>
          <w:numId w:val="100"/>
        </w:numPr>
        <w:spacing w:line="560" w:lineRule="exact"/>
        <w:ind w:left="0" w:firstLine="600" w:firstLineChars="200"/>
        <w:rPr>
          <w:rFonts w:eastAsia="方正仿宋简体"/>
          <w:sz w:val="30"/>
          <w:szCs w:val="30"/>
        </w:rPr>
      </w:pPr>
      <w:r>
        <w:rPr>
          <w:rFonts w:eastAsia="方正仿宋简体"/>
          <w:sz w:val="30"/>
          <w:szCs w:val="30"/>
        </w:rPr>
        <w:t>合约对账：期货公司股票期权柜台系统完成交收后，应将系统内客户合约持仓数据与根据本所交易记录生成的客户合约持仓数据进行对账，两者不平时须及时分析其原因，并做后续处理；</w:t>
      </w:r>
    </w:p>
    <w:p>
      <w:pPr>
        <w:numPr>
          <w:ilvl w:val="0"/>
          <w:numId w:val="100"/>
        </w:numPr>
        <w:spacing w:line="560" w:lineRule="exact"/>
        <w:ind w:left="0" w:firstLine="600" w:firstLineChars="200"/>
        <w:rPr>
          <w:rFonts w:eastAsia="方正仿宋简体"/>
          <w:sz w:val="30"/>
          <w:szCs w:val="30"/>
        </w:rPr>
      </w:pPr>
      <w:r>
        <w:rPr>
          <w:rFonts w:eastAsia="方正仿宋简体"/>
          <w:sz w:val="30"/>
          <w:szCs w:val="30"/>
        </w:rPr>
        <w:t>标的证券对账：期货公司的备兑证券由证券交易经纪业务柜台系统进行管理。该系统完成交收后，期货公司将系统标的证券持仓数据与中国结算深圳分公司发送的</w:t>
      </w:r>
      <w:r>
        <w:rPr>
          <w:rFonts w:hint="eastAsia" w:ascii="方正仿宋简体" w:eastAsia="方正仿宋简体"/>
          <w:sz w:val="30"/>
          <w:szCs w:val="30"/>
        </w:rPr>
        <w:t>“</w:t>
      </w:r>
      <w:r>
        <w:rPr>
          <w:rFonts w:eastAsia="方正仿宋简体"/>
          <w:sz w:val="30"/>
          <w:szCs w:val="30"/>
        </w:rPr>
        <w:t>股份结算对账库</w:t>
      </w:r>
      <w:r>
        <w:rPr>
          <w:rFonts w:hint="eastAsia" w:ascii="方正仿宋简体" w:eastAsia="方正仿宋简体"/>
          <w:sz w:val="30"/>
          <w:szCs w:val="30"/>
        </w:rPr>
        <w:t>”</w:t>
      </w:r>
      <w:r>
        <w:rPr>
          <w:rFonts w:eastAsia="方正仿宋简体"/>
          <w:sz w:val="30"/>
          <w:szCs w:val="30"/>
        </w:rPr>
        <w:t>数据进行对账，两者不平时须及时分析其原因，并做后续处理。</w:t>
      </w:r>
    </w:p>
    <w:p>
      <w:pPr>
        <w:keepNext/>
        <w:keepLines/>
        <w:numPr>
          <w:ilvl w:val="0"/>
          <w:numId w:val="99"/>
        </w:numPr>
        <w:spacing w:line="560" w:lineRule="exact"/>
        <w:ind w:left="0" w:firstLine="601" w:firstLineChars="200"/>
        <w:outlineLvl w:val="2"/>
        <w:rPr>
          <w:rFonts w:eastAsia="方正仿宋简体"/>
          <w:b/>
          <w:sz w:val="30"/>
          <w:szCs w:val="30"/>
        </w:rPr>
      </w:pPr>
      <w:r>
        <w:rPr>
          <w:rFonts w:eastAsia="方正仿宋简体"/>
          <w:b/>
          <w:sz w:val="30"/>
          <w:szCs w:val="30"/>
        </w:rPr>
        <w:t>资金对账</w:t>
      </w:r>
    </w:p>
    <w:p>
      <w:pPr>
        <w:numPr>
          <w:ilvl w:val="0"/>
          <w:numId w:val="101"/>
        </w:numPr>
        <w:spacing w:line="560" w:lineRule="exact"/>
        <w:ind w:left="0" w:firstLine="600" w:firstLineChars="200"/>
        <w:rPr>
          <w:rFonts w:eastAsia="方正仿宋简体"/>
          <w:sz w:val="30"/>
          <w:szCs w:val="30"/>
        </w:rPr>
      </w:pPr>
      <w:r>
        <w:rPr>
          <w:rFonts w:eastAsia="方正仿宋简体"/>
          <w:sz w:val="30"/>
          <w:szCs w:val="30"/>
        </w:rPr>
        <w:t>银行头寸账实核对：每日清算完成后，期货公司应将法人结算系统的期权银行簿记余额与银行实头寸核对，两者不平时须及时分析其原因，并做后续处理。</w:t>
      </w:r>
    </w:p>
    <w:p>
      <w:pPr>
        <w:numPr>
          <w:ilvl w:val="0"/>
          <w:numId w:val="101"/>
        </w:numPr>
        <w:spacing w:line="560" w:lineRule="exact"/>
        <w:ind w:left="0" w:firstLine="600" w:firstLineChars="200"/>
        <w:rPr>
          <w:rFonts w:eastAsia="方正仿宋简体"/>
          <w:sz w:val="30"/>
          <w:szCs w:val="30"/>
        </w:rPr>
      </w:pPr>
      <w:r>
        <w:rPr>
          <w:rFonts w:eastAsia="方正仿宋简体"/>
          <w:sz w:val="30"/>
          <w:szCs w:val="30"/>
        </w:rPr>
        <w:t>中国结算保证金头寸账实核对：每日清算完成后，期货公司应将法人结算系统的中国结算深圳分公司衍生品保证金簿记余额与中国结算深圳分公司的股票期权保证金账户的实头寸核对，做到账实相符，两者不平时须及时分析其原因，并做后续处理。</w:t>
      </w:r>
    </w:p>
    <w:p>
      <w:pPr>
        <w:numPr>
          <w:ilvl w:val="0"/>
          <w:numId w:val="98"/>
        </w:numPr>
        <w:spacing w:line="560" w:lineRule="exact"/>
        <w:ind w:left="0" w:firstLine="601" w:firstLineChars="200"/>
        <w:outlineLvl w:val="1"/>
        <w:rPr>
          <w:rFonts w:eastAsia="方正仿宋简体"/>
          <w:b/>
          <w:bCs/>
          <w:kern w:val="0"/>
          <w:sz w:val="30"/>
          <w:szCs w:val="30"/>
          <w:lang w:val="zh-CN" w:eastAsia="zh-CN"/>
        </w:rPr>
      </w:pPr>
      <w:bookmarkStart w:id="185" w:name="_Toc25842027"/>
      <w:bookmarkStart w:id="186" w:name="_Toc406438919"/>
      <w:r>
        <w:rPr>
          <w:rFonts w:eastAsia="方正仿宋简体"/>
          <w:b/>
          <w:bCs/>
          <w:kern w:val="0"/>
          <w:sz w:val="30"/>
          <w:szCs w:val="30"/>
          <w:lang w:val="zh-CN" w:eastAsia="zh-CN"/>
        </w:rPr>
        <w:t>日常交易交收</w:t>
      </w:r>
      <w:bookmarkEnd w:id="185"/>
      <w:bookmarkEnd w:id="186"/>
    </w:p>
    <w:p>
      <w:pPr>
        <w:spacing w:line="560" w:lineRule="exact"/>
        <w:ind w:firstLine="600" w:firstLineChars="200"/>
        <w:rPr>
          <w:rFonts w:eastAsia="方正仿宋简体"/>
          <w:sz w:val="30"/>
          <w:szCs w:val="30"/>
        </w:rPr>
      </w:pPr>
      <w:r>
        <w:rPr>
          <w:rFonts w:eastAsia="方正仿宋简体"/>
          <w:sz w:val="30"/>
          <w:szCs w:val="30"/>
        </w:rPr>
        <w:t>具体内容详见中国结算发布的《中国证券登记结算有限责任公司关于深圳证券交易所股票期权试点结算业务实施细则》</w:t>
      </w:r>
      <w:r>
        <w:rPr>
          <w:rFonts w:eastAsia="方正仿宋简体"/>
          <w:kern w:val="0"/>
          <w:sz w:val="30"/>
          <w:szCs w:val="30"/>
        </w:rPr>
        <w:t>及相关业务指南</w:t>
      </w:r>
      <w:r>
        <w:rPr>
          <w:rFonts w:eastAsia="方正仿宋简体"/>
          <w:sz w:val="30"/>
          <w:szCs w:val="30"/>
        </w:rPr>
        <w:t>。</w:t>
      </w:r>
    </w:p>
    <w:p>
      <w:pPr>
        <w:keepNext w:val="0"/>
        <w:keepLines w:val="0"/>
        <w:pageBreakBefore w:val="0"/>
        <w:widowControl w:val="0"/>
        <w:numPr>
          <w:ilvl w:val="0"/>
          <w:numId w:val="16"/>
        </w:numPr>
        <w:kinsoku/>
        <w:wordWrap/>
        <w:overflowPunct/>
        <w:topLinePunct w:val="0"/>
        <w:autoSpaceDE/>
        <w:autoSpaceDN/>
        <w:bidi w:val="0"/>
        <w:adjustRightInd/>
        <w:snapToGrid/>
        <w:spacing w:line="560" w:lineRule="exact"/>
        <w:ind w:left="0" w:firstLine="0" w:firstLineChars="0"/>
        <w:jc w:val="center"/>
        <w:textAlignment w:val="auto"/>
        <w:outlineLvl w:val="0"/>
        <w:rPr>
          <w:rFonts w:ascii="黑体" w:hAnsi="黑体" w:eastAsia="黑体"/>
          <w:bCs/>
          <w:sz w:val="30"/>
          <w:szCs w:val="30"/>
        </w:rPr>
      </w:pPr>
      <w:r>
        <w:rPr>
          <w:rFonts w:eastAsia="方正仿宋简体"/>
          <w:b/>
          <w:bCs/>
          <w:sz w:val="30"/>
          <w:szCs w:val="30"/>
        </w:rPr>
        <w:br w:type="page"/>
      </w:r>
      <w:bookmarkStart w:id="187" w:name="_Toc437542900"/>
      <w:bookmarkStart w:id="188" w:name="_Toc25842028"/>
      <w:r>
        <w:rPr>
          <w:rFonts w:ascii="黑体" w:hAnsi="黑体" w:eastAsia="黑体"/>
          <w:bCs/>
          <w:sz w:val="30"/>
          <w:szCs w:val="30"/>
        </w:rPr>
        <w:t>投资者数据报备</w:t>
      </w:r>
      <w:bookmarkEnd w:id="187"/>
      <w:bookmarkEnd w:id="188"/>
    </w:p>
    <w:p>
      <w:pPr>
        <w:spacing w:line="560" w:lineRule="exact"/>
        <w:ind w:firstLine="600" w:firstLineChars="200"/>
        <w:rPr>
          <w:rFonts w:eastAsia="方正仿宋简体"/>
          <w:kern w:val="0"/>
          <w:sz w:val="30"/>
          <w:szCs w:val="30"/>
        </w:rPr>
      </w:pPr>
      <w:r>
        <w:rPr>
          <w:rFonts w:eastAsia="方正仿宋简体"/>
          <w:kern w:val="0"/>
          <w:sz w:val="30"/>
          <w:szCs w:val="30"/>
        </w:rPr>
        <w:t>为满足交易所对期权业务合格投资者资格准入、分级交易、限购检查、压力测试等监管与风控需要，期货公司应当建立期权合格投资者数据报送制度，指定专人负责有关数据的统计与复核，确保向本所报送的数据信息真实、准确、完整、及时。</w:t>
      </w:r>
    </w:p>
    <w:p>
      <w:pPr>
        <w:numPr>
          <w:ilvl w:val="0"/>
          <w:numId w:val="102"/>
        </w:numPr>
        <w:spacing w:line="560" w:lineRule="exact"/>
        <w:ind w:left="0" w:firstLine="601" w:firstLineChars="200"/>
        <w:outlineLvl w:val="1"/>
        <w:rPr>
          <w:rFonts w:eastAsia="方正仿宋简体"/>
          <w:b/>
          <w:bCs/>
          <w:kern w:val="0"/>
          <w:sz w:val="30"/>
          <w:szCs w:val="30"/>
          <w:lang w:val="zh-CN" w:eastAsia="zh-CN"/>
        </w:rPr>
      </w:pPr>
      <w:bookmarkStart w:id="189" w:name="_Toc25842029"/>
      <w:bookmarkStart w:id="190" w:name="_Toc437542901"/>
      <w:r>
        <w:rPr>
          <w:rFonts w:eastAsia="方正仿宋简体"/>
          <w:b/>
          <w:bCs/>
          <w:kern w:val="0"/>
          <w:sz w:val="30"/>
          <w:szCs w:val="30"/>
          <w:lang w:val="zh-CN" w:eastAsia="zh-CN"/>
        </w:rPr>
        <w:t>总体要求</w:t>
      </w:r>
      <w:bookmarkEnd w:id="189"/>
      <w:bookmarkEnd w:id="190"/>
    </w:p>
    <w:p>
      <w:pPr>
        <w:spacing w:line="560" w:lineRule="exact"/>
        <w:ind w:firstLine="600" w:firstLineChars="200"/>
        <w:rPr>
          <w:rFonts w:eastAsia="方正仿宋简体"/>
          <w:kern w:val="0"/>
          <w:sz w:val="30"/>
          <w:szCs w:val="30"/>
        </w:rPr>
      </w:pPr>
      <w:r>
        <w:rPr>
          <w:rFonts w:eastAsia="方正仿宋简体"/>
          <w:kern w:val="0"/>
          <w:sz w:val="30"/>
          <w:szCs w:val="30"/>
        </w:rPr>
        <w:t>期货公司应在每个交易日结束之后向本所报备所有客户（仅经纪业务，不含自营业务）的相关信息，包括可买入额度、资金相关信息（主要用于交易所风险控制需要，包括风险压力测试等）等。如果当日投资者未发生期权交易、持仓，也需报送对应的投资者存量资金数据。期权衍生品合约账户注销或休眠的投资者数据无需报送。本所将根据期货公司报备数据核查交易情况，可能会进一步要求期货公司报告其他相关情况。数据报备时间为当日16:30之前。</w:t>
      </w:r>
    </w:p>
    <w:p>
      <w:pPr>
        <w:numPr>
          <w:ilvl w:val="0"/>
          <w:numId w:val="102"/>
        </w:numPr>
        <w:spacing w:line="560" w:lineRule="exact"/>
        <w:ind w:left="0" w:firstLine="601" w:firstLineChars="200"/>
        <w:outlineLvl w:val="1"/>
        <w:rPr>
          <w:rFonts w:eastAsia="方正仿宋简体"/>
          <w:b/>
          <w:bCs/>
          <w:kern w:val="0"/>
          <w:sz w:val="30"/>
          <w:szCs w:val="30"/>
          <w:lang w:val="zh-CN" w:eastAsia="zh-CN"/>
        </w:rPr>
      </w:pPr>
      <w:bookmarkStart w:id="191" w:name="_Toc437542902"/>
      <w:bookmarkStart w:id="192" w:name="_Toc25842030"/>
      <w:r>
        <w:rPr>
          <w:rFonts w:eastAsia="方正仿宋简体"/>
          <w:b/>
          <w:bCs/>
          <w:kern w:val="0"/>
          <w:sz w:val="30"/>
          <w:szCs w:val="30"/>
          <w:lang w:val="zh-CN" w:eastAsia="zh-CN"/>
        </w:rPr>
        <w:t>数据内容</w:t>
      </w:r>
      <w:bookmarkEnd w:id="191"/>
      <w:bookmarkEnd w:id="192"/>
    </w:p>
    <w:p>
      <w:pPr>
        <w:spacing w:line="560" w:lineRule="exact"/>
        <w:ind w:firstLine="600" w:firstLineChars="200"/>
        <w:rPr>
          <w:rFonts w:eastAsia="方正仿宋简体"/>
          <w:kern w:val="0"/>
          <w:sz w:val="30"/>
          <w:szCs w:val="30"/>
        </w:rPr>
      </w:pPr>
      <w:r>
        <w:rPr>
          <w:rFonts w:eastAsia="方正仿宋简体"/>
          <w:kern w:val="0"/>
          <w:sz w:val="30"/>
          <w:szCs w:val="30"/>
        </w:rPr>
        <w:t>期货公司应按每个投资者一条数录的形式报送，数据报送内容包括：日期、投资者名称、衍生品合约账户、对应深市衍生品结算账户、对应深市A股证券账户、投资者深市信用证券账户、当日衍生品资金账户保证金总额（结算前数据）、当日资金划入划出净额（日间转账数据）、上一交易日衍生品可用保证金余额、上一交易日深市衍生品维持保证金金额（按期货公司保证金水平计算）、上一交易日衍生品合约市值权益（深沪合计）、上一交易日证券市值总额（不含港股通、B股外的所有证券市值，持有证券按收盘价计算）、上一交易日证券资金账户可用资金余额（所有人民币资金）、上一交易日融资融券账户证券总市值（深沪合计，持有证券按收盘价计算）、上一交易日融资融券账户资金总额、上一交易日融资融券账户融入资金总额、上一交易日融资融券账户融券总市值（含深沪，持有证券按收盘价计算）、当日分级级别（自然人账户需填写）、当日可买入额度。</w:t>
      </w:r>
    </w:p>
    <w:p>
      <w:pPr>
        <w:spacing w:line="560" w:lineRule="exact"/>
        <w:ind w:firstLine="600" w:firstLineChars="200"/>
        <w:rPr>
          <w:rFonts w:eastAsia="方正仿宋简体"/>
          <w:kern w:val="0"/>
          <w:sz w:val="30"/>
          <w:szCs w:val="30"/>
        </w:rPr>
      </w:pPr>
      <w:r>
        <w:rPr>
          <w:rFonts w:eastAsia="方正仿宋简体"/>
          <w:kern w:val="0"/>
          <w:sz w:val="30"/>
          <w:szCs w:val="30"/>
        </w:rPr>
        <w:t>上一交易日是指上一交易日结算后的相关数据，具体见数据接口定义。相关指标计算公式如下：</w:t>
      </w:r>
    </w:p>
    <w:p>
      <w:pPr>
        <w:numPr>
          <w:ilvl w:val="0"/>
          <w:numId w:val="103"/>
        </w:numPr>
        <w:spacing w:line="560" w:lineRule="exact"/>
        <w:ind w:left="0" w:firstLine="600" w:firstLineChars="200"/>
        <w:rPr>
          <w:rFonts w:eastAsia="方正仿宋简体"/>
          <w:sz w:val="30"/>
          <w:szCs w:val="30"/>
        </w:rPr>
      </w:pPr>
      <w:r>
        <w:rPr>
          <w:rFonts w:eastAsia="方正仿宋简体"/>
          <w:sz w:val="30"/>
          <w:szCs w:val="30"/>
        </w:rPr>
        <w:t>当日资金划入划出净额=当日总资金划入金额-当日总资金划出金额（涉及多家银行的应合并计算）</w:t>
      </w:r>
    </w:p>
    <w:p>
      <w:pPr>
        <w:numPr>
          <w:ilvl w:val="0"/>
          <w:numId w:val="103"/>
        </w:numPr>
        <w:spacing w:line="560" w:lineRule="exact"/>
        <w:ind w:left="0" w:firstLine="600" w:firstLineChars="200"/>
        <w:rPr>
          <w:rFonts w:eastAsia="方正仿宋简体"/>
          <w:sz w:val="30"/>
          <w:szCs w:val="30"/>
        </w:rPr>
      </w:pPr>
      <w:r>
        <w:rPr>
          <w:rFonts w:eastAsia="方正仿宋简体"/>
          <w:sz w:val="30"/>
          <w:szCs w:val="30"/>
        </w:rPr>
        <w:t>上一交易日衍生品资金账户可用保证金余额=上一交易日衍生品资金账户保证金总额-上一交易日衍生品维持保证金金额（深、沪证券市场及其他市场维持保证金合计）-其他原因冻结的保证金（如行权交收等）</w:t>
      </w:r>
    </w:p>
    <w:p>
      <w:pPr>
        <w:numPr>
          <w:ilvl w:val="0"/>
          <w:numId w:val="103"/>
        </w:numPr>
        <w:spacing w:line="560" w:lineRule="exact"/>
        <w:ind w:left="0" w:firstLine="600" w:firstLineChars="200"/>
        <w:rPr>
          <w:rFonts w:eastAsia="方正仿宋简体"/>
          <w:sz w:val="30"/>
          <w:szCs w:val="30"/>
        </w:rPr>
      </w:pPr>
      <w:r>
        <w:rPr>
          <w:rFonts w:eastAsia="方正仿宋简体"/>
          <w:sz w:val="30"/>
          <w:szCs w:val="30"/>
        </w:rPr>
        <w:t>衍生品合约市值权益=∑（合约结算价×权利仓张数×合约单位）-∑[合约结算价×义务仓张数（含备兑）×合约单位] 。按所持有合约汇总；单位：元；结果保留两位小数。</w:t>
      </w:r>
    </w:p>
    <w:p>
      <w:pPr>
        <w:numPr>
          <w:ilvl w:val="0"/>
          <w:numId w:val="103"/>
        </w:numPr>
        <w:spacing w:line="560" w:lineRule="exact"/>
        <w:ind w:left="0" w:firstLine="600" w:firstLineChars="200"/>
        <w:rPr>
          <w:rFonts w:eastAsia="方正仿宋简体"/>
          <w:kern w:val="0"/>
          <w:sz w:val="30"/>
          <w:szCs w:val="30"/>
        </w:rPr>
      </w:pPr>
      <w:r>
        <w:rPr>
          <w:rFonts w:eastAsia="方正仿宋简体"/>
          <w:kern w:val="0"/>
          <w:sz w:val="30"/>
          <w:szCs w:val="30"/>
        </w:rPr>
        <w:t>衍生品账户当日开户的，应在当日清算完成后，于下一交易日起进行报送；当日销户的，应于下一交易日起停止报送。</w:t>
      </w:r>
    </w:p>
    <w:p>
      <w:pPr>
        <w:numPr>
          <w:ilvl w:val="0"/>
          <w:numId w:val="102"/>
        </w:numPr>
        <w:spacing w:line="560" w:lineRule="exact"/>
        <w:ind w:left="0" w:firstLine="601" w:firstLineChars="200"/>
        <w:outlineLvl w:val="1"/>
        <w:rPr>
          <w:rFonts w:eastAsia="方正仿宋简体"/>
          <w:b/>
          <w:bCs/>
          <w:kern w:val="0"/>
          <w:sz w:val="30"/>
          <w:szCs w:val="30"/>
          <w:lang w:val="zh-CN" w:eastAsia="zh-CN"/>
        </w:rPr>
      </w:pPr>
      <w:bookmarkStart w:id="193" w:name="_Toc437542903"/>
      <w:bookmarkStart w:id="194" w:name="_Toc25842031"/>
      <w:r>
        <w:rPr>
          <w:rFonts w:eastAsia="方正仿宋简体"/>
          <w:b/>
          <w:bCs/>
          <w:kern w:val="0"/>
          <w:sz w:val="30"/>
          <w:szCs w:val="30"/>
          <w:lang w:val="zh-CN" w:eastAsia="zh-CN"/>
        </w:rPr>
        <w:t>报送渠道</w:t>
      </w:r>
      <w:bookmarkEnd w:id="193"/>
      <w:bookmarkEnd w:id="194"/>
    </w:p>
    <w:p>
      <w:pPr>
        <w:keepNext/>
        <w:keepLines/>
        <w:numPr>
          <w:ilvl w:val="0"/>
          <w:numId w:val="104"/>
        </w:numPr>
        <w:spacing w:line="560" w:lineRule="exact"/>
        <w:ind w:left="0" w:firstLine="601" w:firstLineChars="200"/>
        <w:outlineLvl w:val="2"/>
        <w:rPr>
          <w:rFonts w:eastAsia="方正仿宋简体"/>
          <w:b/>
          <w:sz w:val="30"/>
          <w:szCs w:val="30"/>
        </w:rPr>
      </w:pPr>
      <w:r>
        <w:rPr>
          <w:rFonts w:eastAsia="方正仿宋简体"/>
          <w:b/>
          <w:sz w:val="30"/>
          <w:szCs w:val="30"/>
        </w:rPr>
        <w:t>正常报送</w:t>
      </w:r>
    </w:p>
    <w:p>
      <w:pPr>
        <w:spacing w:line="560" w:lineRule="exact"/>
        <w:ind w:firstLine="600" w:firstLineChars="200"/>
        <w:rPr>
          <w:rFonts w:eastAsia="方正仿宋简体"/>
          <w:kern w:val="0"/>
          <w:sz w:val="30"/>
          <w:szCs w:val="30"/>
        </w:rPr>
      </w:pPr>
      <w:r>
        <w:rPr>
          <w:rFonts w:eastAsia="方正仿宋简体"/>
          <w:kern w:val="0"/>
          <w:sz w:val="30"/>
          <w:szCs w:val="30"/>
        </w:rPr>
        <w:t>正常情况下，期货公司通过深圳证券通信有限公司（以下简称深证通）本所文件传输系统（基于金融数据交换平台FDEP）向本所发送期权合格投资者数据文件，要求一次性报送全量数据。</w:t>
      </w:r>
    </w:p>
    <w:p>
      <w:pPr>
        <w:spacing w:line="560" w:lineRule="exact"/>
        <w:ind w:firstLine="600" w:firstLineChars="200"/>
        <w:rPr>
          <w:rFonts w:eastAsia="方正仿宋简体"/>
          <w:kern w:val="0"/>
          <w:sz w:val="30"/>
          <w:szCs w:val="30"/>
        </w:rPr>
      </w:pPr>
      <w:r>
        <w:rPr>
          <w:rFonts w:eastAsia="方正仿宋简体"/>
          <w:sz w:val="30"/>
          <w:szCs w:val="30"/>
        </w:rPr>
        <w:t>期货公司应按</w:t>
      </w:r>
      <w:r>
        <w:rPr>
          <w:rFonts w:hint="eastAsia" w:ascii="方正仿宋简体" w:eastAsia="方正仿宋简体"/>
          <w:sz w:val="30"/>
          <w:szCs w:val="30"/>
        </w:rPr>
        <w:t>“</w:t>
      </w:r>
      <w:r>
        <w:rPr>
          <w:rFonts w:eastAsia="方正仿宋简体"/>
          <w:sz w:val="30"/>
          <w:szCs w:val="30"/>
        </w:rPr>
        <w:t>szse_riskcontrol_xxxxxx</w:t>
      </w:r>
      <w:r>
        <w:rPr>
          <w:rFonts w:hint="eastAsia" w:ascii="方正仿宋简体" w:eastAsia="方正仿宋简体"/>
          <w:sz w:val="30"/>
          <w:szCs w:val="30"/>
        </w:rPr>
        <w:t>”</w:t>
      </w:r>
      <w:r>
        <w:rPr>
          <w:rFonts w:eastAsia="方正仿宋简体"/>
          <w:sz w:val="30"/>
          <w:szCs w:val="30"/>
        </w:rPr>
        <w:t>（xxxxxx指各期货公司的6位数字本所交易参与人代码，不足6位时左补0）的业务规则配置经营机构端SZSEFTS，对端用户配置到交易所指定文件网关（编号</w:t>
      </w:r>
      <w:r>
        <w:rPr>
          <w:rFonts w:hint="eastAsia" w:ascii="方正仿宋简体" w:eastAsia="方正仿宋简体"/>
          <w:sz w:val="30"/>
          <w:szCs w:val="30"/>
        </w:rPr>
        <w:t>“</w:t>
      </w:r>
      <w:r>
        <w:rPr>
          <w:rFonts w:eastAsia="方正仿宋简体"/>
          <w:sz w:val="30"/>
          <w:szCs w:val="30"/>
        </w:rPr>
        <w:t>F000000X0002</w:t>
      </w:r>
      <w:r>
        <w:rPr>
          <w:rFonts w:hint="eastAsia" w:ascii="方正仿宋简体" w:eastAsia="方正仿宋简体"/>
          <w:sz w:val="30"/>
          <w:szCs w:val="30"/>
        </w:rPr>
        <w:t>”</w:t>
      </w:r>
      <w:r>
        <w:rPr>
          <w:rFonts w:eastAsia="方正仿宋简体"/>
          <w:sz w:val="30"/>
          <w:szCs w:val="30"/>
        </w:rPr>
        <w:t>）。相关技术说明见《深圳证券交易所数据文件交换接口规范》（参见本所网站新一代交易系统专栏接口规范）及《SSCC-FDEP文件传输系统用户手册》（参见深证通网站下载专区深交所文件传输系统）。</w:t>
      </w:r>
    </w:p>
    <w:p>
      <w:pPr>
        <w:spacing w:line="560" w:lineRule="exact"/>
        <w:ind w:firstLine="600" w:firstLineChars="200"/>
        <w:rPr>
          <w:rFonts w:eastAsia="方正仿宋简体"/>
          <w:kern w:val="0"/>
          <w:sz w:val="30"/>
          <w:szCs w:val="30"/>
        </w:rPr>
      </w:pPr>
      <w:r>
        <w:rPr>
          <w:rFonts w:eastAsia="方正仿宋简体"/>
          <w:kern w:val="0"/>
          <w:sz w:val="30"/>
          <w:szCs w:val="30"/>
        </w:rPr>
        <w:t>如发生报送错误，可在规定的时间段内（15:30-16:30）重复报送，交易所以16:30之前收到的最后一次报送为准。</w:t>
      </w:r>
    </w:p>
    <w:p>
      <w:pPr>
        <w:keepNext/>
        <w:keepLines/>
        <w:numPr>
          <w:ilvl w:val="0"/>
          <w:numId w:val="104"/>
        </w:numPr>
        <w:spacing w:line="560" w:lineRule="exact"/>
        <w:ind w:left="0" w:firstLine="601" w:firstLineChars="200"/>
        <w:outlineLvl w:val="2"/>
        <w:rPr>
          <w:rFonts w:eastAsia="方正仿宋简体"/>
          <w:b/>
          <w:sz w:val="30"/>
          <w:szCs w:val="30"/>
        </w:rPr>
      </w:pPr>
      <w:r>
        <w:rPr>
          <w:rFonts w:eastAsia="方正仿宋简体"/>
          <w:b/>
          <w:sz w:val="30"/>
          <w:szCs w:val="30"/>
        </w:rPr>
        <w:t>应急报送</w:t>
      </w:r>
    </w:p>
    <w:p>
      <w:pPr>
        <w:spacing w:line="560" w:lineRule="exact"/>
        <w:ind w:firstLine="600" w:firstLineChars="200"/>
        <w:rPr>
          <w:rFonts w:eastAsia="方正仿宋简体"/>
          <w:kern w:val="0"/>
          <w:sz w:val="30"/>
          <w:szCs w:val="30"/>
        </w:rPr>
      </w:pPr>
      <w:r>
        <w:rPr>
          <w:rFonts w:eastAsia="方正仿宋简体"/>
          <w:kern w:val="0"/>
          <w:sz w:val="30"/>
          <w:szCs w:val="30"/>
        </w:rPr>
        <w:t>因技术系统、通信系统故障等特殊原因，导致当日无法在规定时间报送数据，或报送数据存在重大错误，需要在规定时间外报送数据的，期货公司须联系本所期权业务相关工作人员，并通过本所期权业务专区</w:t>
      </w:r>
      <w:r>
        <w:rPr>
          <w:rFonts w:hint="eastAsia" w:ascii="方正仿宋简体" w:eastAsia="方正仿宋简体"/>
          <w:kern w:val="0"/>
          <w:sz w:val="30"/>
          <w:szCs w:val="30"/>
        </w:rPr>
        <w:t>“</w:t>
      </w:r>
      <w:r>
        <w:rPr>
          <w:rFonts w:eastAsia="方正仿宋简体"/>
          <w:kern w:val="0"/>
          <w:sz w:val="30"/>
          <w:szCs w:val="30"/>
        </w:rPr>
        <w:t>期权合格投资者数据报送</w:t>
      </w:r>
      <w:r>
        <w:rPr>
          <w:rFonts w:hint="eastAsia" w:ascii="方正仿宋简体" w:eastAsia="方正仿宋简体"/>
          <w:kern w:val="0"/>
          <w:sz w:val="30"/>
          <w:szCs w:val="30"/>
        </w:rPr>
        <w:t>”</w:t>
      </w:r>
      <w:r>
        <w:rPr>
          <w:rFonts w:eastAsia="方正仿宋简体"/>
          <w:kern w:val="0"/>
          <w:sz w:val="30"/>
          <w:szCs w:val="30"/>
        </w:rPr>
        <w:t>功能或FDEP渠道，按规定格式报送数据文件。</w:t>
      </w:r>
    </w:p>
    <w:p>
      <w:pPr>
        <w:numPr>
          <w:ilvl w:val="0"/>
          <w:numId w:val="102"/>
        </w:numPr>
        <w:spacing w:line="560" w:lineRule="exact"/>
        <w:ind w:left="0" w:firstLine="601" w:firstLineChars="200"/>
        <w:outlineLvl w:val="1"/>
        <w:rPr>
          <w:rFonts w:eastAsia="方正仿宋简体"/>
          <w:b/>
          <w:bCs/>
          <w:kern w:val="0"/>
          <w:sz w:val="30"/>
          <w:szCs w:val="30"/>
          <w:lang w:val="zh-CN" w:eastAsia="zh-CN"/>
        </w:rPr>
      </w:pPr>
      <w:bookmarkStart w:id="195" w:name="_Toc25842032"/>
      <w:bookmarkStart w:id="196" w:name="_Toc437542904"/>
      <w:r>
        <w:rPr>
          <w:rFonts w:eastAsia="方正仿宋简体"/>
          <w:b/>
          <w:bCs/>
          <w:kern w:val="0"/>
          <w:sz w:val="30"/>
          <w:szCs w:val="30"/>
          <w:lang w:val="zh-CN" w:eastAsia="zh-CN"/>
        </w:rPr>
        <w:t>格式要求</w:t>
      </w:r>
      <w:bookmarkEnd w:id="195"/>
      <w:bookmarkEnd w:id="196"/>
    </w:p>
    <w:p>
      <w:pPr>
        <w:spacing w:line="560" w:lineRule="exact"/>
        <w:ind w:firstLine="600" w:firstLineChars="200"/>
        <w:rPr>
          <w:rFonts w:eastAsia="方正仿宋简体"/>
          <w:kern w:val="0"/>
          <w:sz w:val="30"/>
          <w:szCs w:val="30"/>
        </w:rPr>
      </w:pPr>
      <w:r>
        <w:rPr>
          <w:rFonts w:eastAsia="方正仿宋简体"/>
          <w:kern w:val="0"/>
          <w:sz w:val="30"/>
          <w:szCs w:val="30"/>
        </w:rPr>
        <w:t>期权合格投资者数据报送格式要求如下：</w:t>
      </w:r>
    </w:p>
    <w:p>
      <w:pPr>
        <w:numPr>
          <w:ilvl w:val="0"/>
          <w:numId w:val="105"/>
        </w:numPr>
        <w:spacing w:line="560" w:lineRule="exact"/>
        <w:ind w:left="0" w:firstLine="600" w:firstLineChars="200"/>
        <w:rPr>
          <w:rFonts w:eastAsia="方正仿宋简体"/>
          <w:sz w:val="30"/>
          <w:szCs w:val="30"/>
        </w:rPr>
      </w:pPr>
      <w:r>
        <w:rPr>
          <w:rFonts w:eastAsia="方正仿宋简体"/>
          <w:sz w:val="30"/>
          <w:szCs w:val="30"/>
        </w:rPr>
        <w:t>数据文件采用DBF文件格式；</w:t>
      </w:r>
    </w:p>
    <w:p>
      <w:pPr>
        <w:numPr>
          <w:ilvl w:val="0"/>
          <w:numId w:val="105"/>
        </w:numPr>
        <w:spacing w:line="560" w:lineRule="exact"/>
        <w:ind w:left="0" w:firstLine="600" w:firstLineChars="200"/>
        <w:rPr>
          <w:rFonts w:eastAsia="方正仿宋简体"/>
          <w:sz w:val="30"/>
          <w:szCs w:val="30"/>
        </w:rPr>
      </w:pPr>
      <w:r>
        <w:rPr>
          <w:rFonts w:eastAsia="方正仿宋简体"/>
          <w:sz w:val="30"/>
          <w:szCs w:val="30"/>
        </w:rPr>
        <w:t>报送文件中，字段名称、字段间顺序和字段内容格式须与下文接口定义保持一致；</w:t>
      </w:r>
    </w:p>
    <w:p>
      <w:pPr>
        <w:numPr>
          <w:ilvl w:val="0"/>
          <w:numId w:val="105"/>
        </w:numPr>
        <w:spacing w:line="560" w:lineRule="exact"/>
        <w:ind w:left="0" w:firstLine="600" w:firstLineChars="200"/>
        <w:rPr>
          <w:rFonts w:eastAsia="方正仿宋简体"/>
          <w:sz w:val="30"/>
          <w:szCs w:val="30"/>
        </w:rPr>
      </w:pPr>
      <w:r>
        <w:rPr>
          <w:rFonts w:eastAsia="方正仿宋简体"/>
          <w:sz w:val="30"/>
          <w:szCs w:val="30"/>
        </w:rPr>
        <w:t>对于数值型字段，如果含小数部分，则字段长度包含小数点位；对于字符型字段，如无特别说明，字段内容要求左对齐，字段长度不得超过规定长度；</w:t>
      </w:r>
    </w:p>
    <w:p>
      <w:pPr>
        <w:numPr>
          <w:ilvl w:val="0"/>
          <w:numId w:val="105"/>
        </w:numPr>
        <w:spacing w:line="560" w:lineRule="exact"/>
        <w:ind w:left="0" w:firstLine="600" w:firstLineChars="200"/>
        <w:rPr>
          <w:rFonts w:eastAsia="方正仿宋简体"/>
          <w:sz w:val="30"/>
          <w:szCs w:val="30"/>
        </w:rPr>
      </w:pPr>
      <w:r>
        <w:rPr>
          <w:rFonts w:eastAsia="方正仿宋简体"/>
          <w:sz w:val="30"/>
          <w:szCs w:val="30"/>
        </w:rPr>
        <w:t>数据文件名采用形如</w:t>
      </w:r>
      <w:r>
        <w:rPr>
          <w:rFonts w:hint="eastAsia" w:ascii="方正仿宋简体" w:eastAsia="方正仿宋简体"/>
          <w:sz w:val="30"/>
          <w:szCs w:val="30"/>
        </w:rPr>
        <w:t>“</w:t>
      </w:r>
      <w:r>
        <w:rPr>
          <w:rFonts w:eastAsia="方正仿宋简体"/>
          <w:sz w:val="30"/>
          <w:szCs w:val="30"/>
        </w:rPr>
        <w:t>QQHGBS_XXXXXX_CCYYMMDD.dbf</w:t>
      </w:r>
      <w:r>
        <w:rPr>
          <w:rFonts w:hint="eastAsia" w:ascii="方正仿宋简体" w:eastAsia="方正仿宋简体"/>
          <w:sz w:val="30"/>
          <w:szCs w:val="30"/>
        </w:rPr>
        <w:t>”</w:t>
      </w:r>
      <w:r>
        <w:rPr>
          <w:rFonts w:eastAsia="方正仿宋简体"/>
          <w:sz w:val="30"/>
          <w:szCs w:val="30"/>
        </w:rPr>
        <w:t>的命名规范，其中XXXXXX为期货公司的本所交易参与人代码（与期权业务专区登陆账户后6位保持一致）；CCYY、MM、DD对应报送日期的年、月、日；</w:t>
      </w:r>
      <w:r>
        <w:rPr>
          <w:rFonts w:hint="eastAsia" w:ascii="方正仿宋简体" w:eastAsia="方正仿宋简体"/>
          <w:sz w:val="30"/>
          <w:szCs w:val="30"/>
        </w:rPr>
        <w:t>“</w:t>
      </w:r>
      <w:r>
        <w:rPr>
          <w:rFonts w:eastAsia="方正仿宋简体"/>
          <w:sz w:val="30"/>
          <w:szCs w:val="30"/>
        </w:rPr>
        <w:t>.dbf</w:t>
      </w:r>
      <w:r>
        <w:rPr>
          <w:rFonts w:hint="eastAsia" w:ascii="方正仿宋简体" w:eastAsia="方正仿宋简体"/>
          <w:sz w:val="30"/>
          <w:szCs w:val="30"/>
        </w:rPr>
        <w:t>”</w:t>
      </w:r>
      <w:r>
        <w:rPr>
          <w:rFonts w:eastAsia="方正仿宋简体"/>
          <w:sz w:val="30"/>
          <w:szCs w:val="30"/>
        </w:rPr>
        <w:t>为文件扩展名。例如:报送日期为2015年6月1日，则对应报送的数据文件名为</w:t>
      </w:r>
      <w:r>
        <w:rPr>
          <w:rFonts w:hint="eastAsia" w:ascii="方正仿宋简体" w:eastAsia="方正仿宋简体"/>
          <w:sz w:val="30"/>
          <w:szCs w:val="30"/>
        </w:rPr>
        <w:t>“</w:t>
      </w:r>
      <w:r>
        <w:rPr>
          <w:rFonts w:eastAsia="方正仿宋简体"/>
          <w:sz w:val="30"/>
          <w:szCs w:val="30"/>
        </w:rPr>
        <w:t>QQHGBS_000100_20150601.dbf</w:t>
      </w:r>
      <w:r>
        <w:rPr>
          <w:rFonts w:hint="eastAsia" w:ascii="方正仿宋简体" w:eastAsia="方正仿宋简体"/>
          <w:sz w:val="30"/>
          <w:szCs w:val="30"/>
        </w:rPr>
        <w:t>”</w:t>
      </w:r>
      <w:r>
        <w:rPr>
          <w:rFonts w:eastAsia="方正仿宋简体"/>
          <w:sz w:val="30"/>
          <w:szCs w:val="30"/>
        </w:rPr>
        <w:t>。</w:t>
      </w:r>
    </w:p>
    <w:p>
      <w:pPr>
        <w:numPr>
          <w:ilvl w:val="0"/>
          <w:numId w:val="105"/>
        </w:numPr>
        <w:spacing w:line="560" w:lineRule="exact"/>
        <w:ind w:left="0" w:firstLine="600" w:firstLineChars="200"/>
        <w:rPr>
          <w:rFonts w:eastAsia="方正仿宋简体"/>
          <w:sz w:val="30"/>
          <w:szCs w:val="30"/>
        </w:rPr>
      </w:pPr>
      <w:r>
        <w:rPr>
          <w:rFonts w:eastAsia="方正仿宋简体"/>
          <w:sz w:val="30"/>
          <w:szCs w:val="30"/>
        </w:rPr>
        <w:t>具体数据接口参见</w:t>
      </w:r>
      <w:r>
        <w:rPr>
          <w:rFonts w:hint="eastAsia" w:ascii="方正仿宋简体" w:eastAsia="方正仿宋简体"/>
          <w:sz w:val="30"/>
          <w:szCs w:val="30"/>
        </w:rPr>
        <w:t>“</w:t>
      </w:r>
      <w:r>
        <w:rPr>
          <w:rFonts w:eastAsia="方正仿宋简体"/>
          <w:sz w:val="30"/>
          <w:szCs w:val="30"/>
        </w:rPr>
        <w:t>附件10：股票期权合格投资者数据报送接口定义表</w:t>
      </w:r>
      <w:r>
        <w:rPr>
          <w:rFonts w:hint="eastAsia" w:ascii="方正仿宋简体" w:eastAsia="方正仿宋简体"/>
          <w:sz w:val="30"/>
          <w:szCs w:val="30"/>
        </w:rPr>
        <w:t>”</w:t>
      </w:r>
      <w:r>
        <w:rPr>
          <w:rFonts w:eastAsia="方正仿宋简体"/>
          <w:sz w:val="30"/>
          <w:szCs w:val="30"/>
        </w:rPr>
        <w:t>。</w:t>
      </w:r>
    </w:p>
    <w:p>
      <w:pPr>
        <w:keepNext w:val="0"/>
        <w:keepLines w:val="0"/>
        <w:pageBreakBefore w:val="0"/>
        <w:widowControl w:val="0"/>
        <w:numPr>
          <w:ilvl w:val="0"/>
          <w:numId w:val="16"/>
        </w:numPr>
        <w:kinsoku/>
        <w:wordWrap/>
        <w:overflowPunct/>
        <w:topLinePunct w:val="0"/>
        <w:autoSpaceDE/>
        <w:autoSpaceDN/>
        <w:bidi w:val="0"/>
        <w:adjustRightInd/>
        <w:snapToGrid/>
        <w:spacing w:line="560" w:lineRule="exact"/>
        <w:ind w:left="0" w:firstLine="0" w:firstLineChars="0"/>
        <w:jc w:val="center"/>
        <w:textAlignment w:val="auto"/>
        <w:outlineLvl w:val="0"/>
        <w:rPr>
          <w:rFonts w:ascii="黑体" w:hAnsi="黑体" w:eastAsia="黑体"/>
          <w:bCs/>
          <w:sz w:val="30"/>
          <w:szCs w:val="30"/>
        </w:rPr>
      </w:pPr>
      <w:r>
        <w:rPr>
          <w:rFonts w:eastAsia="方正仿宋简体"/>
          <w:sz w:val="30"/>
          <w:szCs w:val="30"/>
        </w:rPr>
        <w:br w:type="page"/>
      </w:r>
      <w:bookmarkStart w:id="197" w:name="_Toc25842033"/>
      <w:bookmarkStart w:id="198" w:name="_Toc437542905"/>
      <w:r>
        <w:rPr>
          <w:rFonts w:ascii="黑体" w:hAnsi="黑体" w:eastAsia="黑体"/>
          <w:bCs/>
          <w:sz w:val="30"/>
          <w:szCs w:val="30"/>
        </w:rPr>
        <w:t>程序化交易报备</w:t>
      </w:r>
      <w:bookmarkEnd w:id="197"/>
      <w:bookmarkEnd w:id="198"/>
    </w:p>
    <w:p>
      <w:pPr>
        <w:spacing w:line="560" w:lineRule="exact"/>
        <w:ind w:firstLine="600" w:firstLineChars="200"/>
        <w:rPr>
          <w:rFonts w:eastAsia="方正仿宋简体"/>
          <w:kern w:val="0"/>
          <w:sz w:val="30"/>
          <w:szCs w:val="30"/>
        </w:rPr>
      </w:pPr>
      <w:r>
        <w:rPr>
          <w:rFonts w:eastAsia="方正仿宋简体"/>
          <w:sz w:val="30"/>
          <w:szCs w:val="30"/>
        </w:rPr>
        <w:t>本所对程序化交易账户实行报备制度，要求期货公司事先向本所上报客户计划使用的程序化交易软件及账户相关信息。期货公司客户使用交易软件实现自动下单或者快速下单等功能，即非通过人工界面逐笔或逐个组合操作的，即被视为程序化交易。</w:t>
      </w:r>
    </w:p>
    <w:p>
      <w:pPr>
        <w:keepNext/>
        <w:keepLines/>
        <w:numPr>
          <w:ilvl w:val="0"/>
          <w:numId w:val="106"/>
        </w:numPr>
        <w:spacing w:line="560" w:lineRule="exact"/>
        <w:ind w:left="0" w:firstLine="601" w:firstLineChars="200"/>
        <w:outlineLvl w:val="1"/>
        <w:rPr>
          <w:rFonts w:eastAsia="方正仿宋简体"/>
          <w:b/>
          <w:bCs/>
          <w:kern w:val="0"/>
          <w:sz w:val="30"/>
          <w:szCs w:val="30"/>
          <w:lang w:val="zh-CN" w:eastAsia="zh-CN"/>
        </w:rPr>
      </w:pPr>
      <w:bookmarkStart w:id="199" w:name="_Toc25842034"/>
      <w:bookmarkStart w:id="200" w:name="_Toc468308375"/>
      <w:r>
        <w:rPr>
          <w:rFonts w:eastAsia="方正仿宋简体"/>
          <w:b/>
          <w:bCs/>
          <w:kern w:val="0"/>
          <w:sz w:val="30"/>
          <w:szCs w:val="30"/>
          <w:lang w:val="zh-CN"/>
        </w:rPr>
        <w:t>程序化交易接入</w:t>
      </w:r>
      <w:r>
        <w:rPr>
          <w:rFonts w:eastAsia="方正仿宋简体"/>
          <w:b/>
          <w:bCs/>
          <w:kern w:val="0"/>
          <w:sz w:val="30"/>
          <w:szCs w:val="30"/>
          <w:lang w:val="zh-CN" w:eastAsia="zh-CN"/>
        </w:rPr>
        <w:t>管理要求</w:t>
      </w:r>
      <w:bookmarkEnd w:id="199"/>
      <w:bookmarkEnd w:id="200"/>
    </w:p>
    <w:p>
      <w:pPr>
        <w:spacing w:line="560" w:lineRule="exact"/>
        <w:ind w:firstLine="600" w:firstLineChars="200"/>
        <w:rPr>
          <w:rFonts w:eastAsia="方正仿宋简体"/>
          <w:color w:val="333333"/>
          <w:sz w:val="30"/>
          <w:szCs w:val="30"/>
        </w:rPr>
      </w:pPr>
      <w:r>
        <w:rPr>
          <w:rFonts w:eastAsia="方正仿宋简体"/>
          <w:color w:val="333333"/>
          <w:sz w:val="30"/>
          <w:szCs w:val="30"/>
        </w:rPr>
        <w:t>期货公司应当建立程序化交易接入管理制度，明确客户进行程序化交易的相关要求和管理机制，对客户进行程序化交易实行严格的接入和认证管理。期权经营机构应当根据程序化交易管理制度，对客户使用自有、第三方提供或者期权经营机构提供的交易软件或者接口进行程序化交易的申请，进行审核、测试及认证，对符合条件的客户开通程序化交易权限，并与客户签署程序化交易业务协议，明确各自的权利、义务。客户未提出程序化交易申请或者未通过认证的，期货公司不得为其开通程序化交易权限。客户未开通程序化交易权限即自行开展程序化交易的，期货公司发现后应当及时予以制止，并向本所报告。</w:t>
      </w:r>
    </w:p>
    <w:p>
      <w:pPr>
        <w:spacing w:line="560" w:lineRule="exact"/>
        <w:ind w:firstLine="600" w:firstLineChars="200"/>
        <w:rPr>
          <w:rFonts w:eastAsia="方正仿宋简体"/>
          <w:kern w:val="0"/>
          <w:sz w:val="30"/>
          <w:szCs w:val="30"/>
        </w:rPr>
      </w:pPr>
      <w:r>
        <w:rPr>
          <w:rFonts w:eastAsia="方正仿宋简体"/>
          <w:color w:val="333333"/>
          <w:sz w:val="30"/>
          <w:szCs w:val="30"/>
        </w:rPr>
        <w:t>期货公司应当为已开通程序化交易权限的客户设置专门的接入柜台系统的委托通道，并和未开通程序化交易权限的客户接入柜台系统的委托通道实行隔离管理。</w:t>
      </w:r>
    </w:p>
    <w:p>
      <w:pPr>
        <w:keepNext/>
        <w:keepLines/>
        <w:numPr>
          <w:ilvl w:val="0"/>
          <w:numId w:val="106"/>
        </w:numPr>
        <w:spacing w:line="560" w:lineRule="exact"/>
        <w:ind w:left="0" w:firstLine="601" w:firstLineChars="200"/>
        <w:outlineLvl w:val="1"/>
        <w:rPr>
          <w:rFonts w:eastAsia="方正仿宋简体"/>
          <w:b/>
          <w:bCs/>
          <w:kern w:val="0"/>
          <w:sz w:val="30"/>
          <w:szCs w:val="30"/>
          <w:lang w:val="zh-CN" w:eastAsia="zh-CN"/>
        </w:rPr>
      </w:pPr>
      <w:bookmarkStart w:id="201" w:name="_Toc25842035"/>
      <w:bookmarkStart w:id="202" w:name="_Toc468308376"/>
      <w:r>
        <w:rPr>
          <w:rFonts w:eastAsia="方正仿宋简体"/>
          <w:b/>
          <w:bCs/>
          <w:color w:val="333333"/>
          <w:kern w:val="0"/>
          <w:sz w:val="30"/>
          <w:szCs w:val="30"/>
          <w:lang w:val="zh-CN" w:eastAsia="zh-CN"/>
        </w:rPr>
        <w:t>程序化交易</w:t>
      </w:r>
      <w:bookmarkStart w:id="203" w:name="_Toc408746757"/>
      <w:r>
        <w:rPr>
          <w:rFonts w:eastAsia="方正仿宋简体"/>
          <w:b/>
          <w:bCs/>
          <w:kern w:val="0"/>
          <w:sz w:val="30"/>
          <w:szCs w:val="30"/>
          <w:lang w:val="zh-CN" w:eastAsia="zh-CN"/>
        </w:rPr>
        <w:t>报备</w:t>
      </w:r>
      <w:bookmarkEnd w:id="203"/>
      <w:r>
        <w:rPr>
          <w:rFonts w:eastAsia="方正仿宋简体"/>
          <w:b/>
          <w:bCs/>
          <w:kern w:val="0"/>
          <w:sz w:val="30"/>
          <w:szCs w:val="30"/>
          <w:lang w:val="zh-CN"/>
        </w:rPr>
        <w:t>管理要求</w:t>
      </w:r>
      <w:bookmarkEnd w:id="201"/>
      <w:bookmarkEnd w:id="202"/>
    </w:p>
    <w:p>
      <w:pPr>
        <w:spacing w:line="560" w:lineRule="exact"/>
        <w:ind w:firstLine="600" w:firstLineChars="200"/>
        <w:rPr>
          <w:rFonts w:eastAsia="方正仿宋简体"/>
          <w:kern w:val="0"/>
          <w:sz w:val="30"/>
          <w:szCs w:val="30"/>
        </w:rPr>
      </w:pPr>
      <w:r>
        <w:rPr>
          <w:rFonts w:eastAsia="方正仿宋简体"/>
          <w:kern w:val="0"/>
          <w:sz w:val="30"/>
          <w:szCs w:val="30"/>
        </w:rPr>
        <w:t>客户申请使用自有、第三方或者期权经营机构提供的交易软件或者接口进行程序化交易，期货公司经审核、认证后拟为其开通程序化交易权限的，应当严格落实程序化交易的备案要求，提前五个交易日向本所进行报备，通过本所期权业务专区程序化报备功能提交《股票期权业务程序化交易报备表》（详见附件11），本所根据情况可要求补充投资者尽职调查报告、系统测试报告、业务部门审批意见、合规部门或风控部门审批意见、业务协议等材料。</w:t>
      </w:r>
    </w:p>
    <w:p>
      <w:pPr>
        <w:spacing w:line="560" w:lineRule="exact"/>
        <w:ind w:firstLine="600" w:firstLineChars="200"/>
        <w:rPr>
          <w:rFonts w:eastAsia="方正仿宋简体"/>
          <w:kern w:val="0"/>
          <w:sz w:val="30"/>
          <w:szCs w:val="30"/>
        </w:rPr>
      </w:pPr>
      <w:r>
        <w:rPr>
          <w:rFonts w:eastAsia="方正仿宋简体"/>
          <w:kern w:val="0"/>
          <w:sz w:val="30"/>
          <w:szCs w:val="30"/>
        </w:rPr>
        <w:t>期货公司应将所有满足程序化交易认定条件的账户及时通过本所期权业务专区向本所报备。期货公司可在每个交易日17:00前向交易所进行报备，迟于此时间报备的视同下一交易日报备。</w:t>
      </w:r>
    </w:p>
    <w:p>
      <w:pPr>
        <w:spacing w:line="560" w:lineRule="exact"/>
        <w:ind w:firstLine="600" w:firstLineChars="200"/>
        <w:rPr>
          <w:rFonts w:eastAsia="方正仿宋简体"/>
          <w:kern w:val="0"/>
          <w:sz w:val="30"/>
          <w:szCs w:val="30"/>
        </w:rPr>
      </w:pPr>
      <w:r>
        <w:rPr>
          <w:rFonts w:eastAsia="方正仿宋简体"/>
          <w:kern w:val="0"/>
          <w:sz w:val="30"/>
          <w:szCs w:val="30"/>
        </w:rPr>
        <w:t>期货公司报备的程序化交易应当基于真实交易需求，材料应当真实、准确、完整。</w:t>
      </w:r>
    </w:p>
    <w:p>
      <w:pPr>
        <w:spacing w:line="560" w:lineRule="exact"/>
        <w:ind w:firstLine="600" w:firstLineChars="200"/>
        <w:rPr>
          <w:rFonts w:eastAsia="方正仿宋简体"/>
          <w:kern w:val="0"/>
          <w:sz w:val="30"/>
          <w:szCs w:val="30"/>
        </w:rPr>
      </w:pPr>
      <w:r>
        <w:rPr>
          <w:rFonts w:eastAsia="方正仿宋简体"/>
          <w:kern w:val="0"/>
          <w:sz w:val="30"/>
          <w:szCs w:val="30"/>
        </w:rPr>
        <w:t>对于期货公司存在不报、漏报、未及时报备程序化交易等情况的，本所可根据情节轻重，采取书面警示、监管谈话等监管措施或者纪律处分措施。</w:t>
      </w:r>
    </w:p>
    <w:p>
      <w:pPr>
        <w:keepNext/>
        <w:keepLines/>
        <w:numPr>
          <w:ilvl w:val="0"/>
          <w:numId w:val="106"/>
        </w:numPr>
        <w:spacing w:line="560" w:lineRule="exact"/>
        <w:ind w:left="0" w:firstLine="601" w:firstLineChars="200"/>
        <w:outlineLvl w:val="1"/>
        <w:rPr>
          <w:rFonts w:eastAsia="方正仿宋简体"/>
          <w:b/>
          <w:bCs/>
          <w:kern w:val="0"/>
          <w:sz w:val="30"/>
          <w:szCs w:val="30"/>
          <w:lang w:val="zh-CN" w:eastAsia="zh-CN"/>
        </w:rPr>
      </w:pPr>
      <w:bookmarkStart w:id="204" w:name="_Toc468308377"/>
      <w:bookmarkStart w:id="205" w:name="_Toc408746758"/>
      <w:bookmarkStart w:id="206" w:name="_Toc25842036"/>
      <w:r>
        <w:rPr>
          <w:rFonts w:eastAsia="方正仿宋简体"/>
          <w:b/>
          <w:bCs/>
          <w:kern w:val="0"/>
          <w:sz w:val="30"/>
          <w:szCs w:val="30"/>
          <w:lang w:val="zh-CN" w:eastAsia="zh-CN"/>
        </w:rPr>
        <w:t>程序化</w:t>
      </w:r>
      <w:r>
        <w:rPr>
          <w:rFonts w:eastAsia="方正仿宋简体"/>
          <w:b/>
          <w:bCs/>
          <w:kern w:val="0"/>
          <w:sz w:val="30"/>
          <w:szCs w:val="30"/>
          <w:lang w:val="zh-CN"/>
        </w:rPr>
        <w:t>交易</w:t>
      </w:r>
      <w:r>
        <w:rPr>
          <w:rFonts w:eastAsia="方正仿宋简体"/>
          <w:b/>
          <w:bCs/>
          <w:kern w:val="0"/>
          <w:sz w:val="30"/>
          <w:szCs w:val="30"/>
          <w:lang w:val="zh-CN" w:eastAsia="zh-CN"/>
        </w:rPr>
        <w:t>升级报备</w:t>
      </w:r>
      <w:bookmarkEnd w:id="204"/>
      <w:bookmarkEnd w:id="205"/>
      <w:bookmarkEnd w:id="206"/>
    </w:p>
    <w:p>
      <w:pPr>
        <w:spacing w:line="560" w:lineRule="exact"/>
        <w:ind w:firstLine="600" w:firstLineChars="200"/>
        <w:rPr>
          <w:rFonts w:eastAsia="方正仿宋简体"/>
          <w:kern w:val="0"/>
          <w:sz w:val="30"/>
          <w:szCs w:val="30"/>
        </w:rPr>
      </w:pPr>
      <w:r>
        <w:rPr>
          <w:rFonts w:eastAsia="方正仿宋简体"/>
          <w:kern w:val="0"/>
          <w:sz w:val="30"/>
          <w:szCs w:val="30"/>
        </w:rPr>
        <w:t>已报备的程序化交易账户发生以下信息变更时，期货公司应当提前2个交易日向本所进行信息变更报备：</w:t>
      </w:r>
    </w:p>
    <w:p>
      <w:pPr>
        <w:numPr>
          <w:ilvl w:val="0"/>
          <w:numId w:val="107"/>
        </w:numPr>
        <w:spacing w:line="560" w:lineRule="exact"/>
        <w:ind w:left="0" w:firstLine="600" w:firstLineChars="200"/>
        <w:rPr>
          <w:rFonts w:eastAsia="方正仿宋简体"/>
          <w:sz w:val="30"/>
          <w:szCs w:val="30"/>
        </w:rPr>
      </w:pPr>
      <w:r>
        <w:rPr>
          <w:rFonts w:eastAsia="方正仿宋简体"/>
          <w:sz w:val="30"/>
          <w:szCs w:val="30"/>
        </w:rPr>
        <w:t>账户资金来源发生变更；</w:t>
      </w:r>
    </w:p>
    <w:p>
      <w:pPr>
        <w:numPr>
          <w:ilvl w:val="0"/>
          <w:numId w:val="107"/>
        </w:numPr>
        <w:spacing w:line="560" w:lineRule="exact"/>
        <w:ind w:left="0" w:firstLine="600" w:firstLineChars="200"/>
        <w:rPr>
          <w:rFonts w:eastAsia="方正仿宋简体"/>
          <w:sz w:val="30"/>
          <w:szCs w:val="30"/>
        </w:rPr>
      </w:pPr>
      <w:r>
        <w:rPr>
          <w:rFonts w:eastAsia="方正仿宋简体"/>
          <w:sz w:val="30"/>
          <w:szCs w:val="30"/>
        </w:rPr>
        <w:t>账户实际控制人发生变更；</w:t>
      </w:r>
    </w:p>
    <w:p>
      <w:pPr>
        <w:numPr>
          <w:ilvl w:val="0"/>
          <w:numId w:val="107"/>
        </w:numPr>
        <w:spacing w:line="560" w:lineRule="exact"/>
        <w:ind w:left="0" w:firstLine="600" w:firstLineChars="200"/>
        <w:rPr>
          <w:rFonts w:eastAsia="方正仿宋简体"/>
          <w:sz w:val="30"/>
          <w:szCs w:val="30"/>
        </w:rPr>
      </w:pPr>
      <w:r>
        <w:rPr>
          <w:rFonts w:eastAsia="方正仿宋简体"/>
          <w:sz w:val="30"/>
          <w:szCs w:val="30"/>
        </w:rPr>
        <w:t>账户主要交易员信息发生变更；</w:t>
      </w:r>
    </w:p>
    <w:p>
      <w:pPr>
        <w:numPr>
          <w:ilvl w:val="0"/>
          <w:numId w:val="107"/>
        </w:numPr>
        <w:spacing w:line="560" w:lineRule="exact"/>
        <w:ind w:left="0" w:firstLine="600" w:firstLineChars="200"/>
        <w:rPr>
          <w:rFonts w:eastAsia="方正仿宋简体"/>
          <w:sz w:val="30"/>
          <w:szCs w:val="30"/>
        </w:rPr>
      </w:pPr>
      <w:r>
        <w:rPr>
          <w:rFonts w:eastAsia="方正仿宋简体"/>
          <w:sz w:val="30"/>
          <w:szCs w:val="30"/>
        </w:rPr>
        <w:t>交易系统或下单系统服务器所在城市发生变更；</w:t>
      </w:r>
    </w:p>
    <w:p>
      <w:pPr>
        <w:numPr>
          <w:ilvl w:val="0"/>
          <w:numId w:val="107"/>
        </w:numPr>
        <w:spacing w:line="560" w:lineRule="exact"/>
        <w:ind w:left="0" w:firstLine="600" w:firstLineChars="200"/>
        <w:rPr>
          <w:rFonts w:eastAsia="方正仿宋简体"/>
          <w:sz w:val="30"/>
          <w:szCs w:val="30"/>
        </w:rPr>
      </w:pPr>
      <w:r>
        <w:rPr>
          <w:rFonts w:eastAsia="方正仿宋简体"/>
          <w:sz w:val="30"/>
          <w:szCs w:val="30"/>
        </w:rPr>
        <w:t>程序化交易软件信息发生重大变更；</w:t>
      </w:r>
    </w:p>
    <w:p>
      <w:pPr>
        <w:numPr>
          <w:ilvl w:val="0"/>
          <w:numId w:val="107"/>
        </w:numPr>
        <w:spacing w:line="560" w:lineRule="exact"/>
        <w:ind w:left="0" w:firstLine="600" w:firstLineChars="200"/>
        <w:rPr>
          <w:rFonts w:eastAsia="方正仿宋简体"/>
          <w:sz w:val="30"/>
          <w:szCs w:val="30"/>
        </w:rPr>
      </w:pPr>
      <w:r>
        <w:rPr>
          <w:rFonts w:eastAsia="方正仿宋简体"/>
          <w:sz w:val="30"/>
          <w:szCs w:val="30"/>
        </w:rPr>
        <w:t>其他重大信息变更。</w:t>
      </w:r>
    </w:p>
    <w:p>
      <w:pPr>
        <w:keepNext/>
        <w:keepLines/>
        <w:numPr>
          <w:ilvl w:val="0"/>
          <w:numId w:val="106"/>
        </w:numPr>
        <w:spacing w:line="560" w:lineRule="exact"/>
        <w:ind w:left="0" w:firstLine="601" w:firstLineChars="200"/>
        <w:outlineLvl w:val="1"/>
        <w:rPr>
          <w:rFonts w:eastAsia="方正仿宋简体"/>
          <w:b/>
          <w:bCs/>
          <w:kern w:val="0"/>
          <w:sz w:val="30"/>
          <w:szCs w:val="30"/>
          <w:lang w:val="zh-CN" w:eastAsia="zh-CN"/>
        </w:rPr>
      </w:pPr>
      <w:bookmarkStart w:id="207" w:name="_Toc468307881"/>
      <w:bookmarkEnd w:id="207"/>
      <w:bookmarkStart w:id="208" w:name="_Toc468308183"/>
      <w:bookmarkEnd w:id="208"/>
      <w:bookmarkStart w:id="209" w:name="_Toc468308182"/>
      <w:bookmarkEnd w:id="209"/>
      <w:bookmarkStart w:id="210" w:name="_Toc468307882"/>
      <w:bookmarkEnd w:id="210"/>
      <w:bookmarkStart w:id="211" w:name="_Toc468308378"/>
      <w:bookmarkStart w:id="212" w:name="_Toc25842037"/>
      <w:r>
        <w:rPr>
          <w:rFonts w:eastAsia="方正仿宋简体"/>
          <w:b/>
          <w:bCs/>
          <w:kern w:val="0"/>
          <w:sz w:val="30"/>
          <w:szCs w:val="30"/>
          <w:lang w:val="zh-CN"/>
        </w:rPr>
        <w:t>程序化交易监督</w:t>
      </w:r>
      <w:bookmarkEnd w:id="211"/>
      <w:bookmarkEnd w:id="212"/>
    </w:p>
    <w:p>
      <w:pPr>
        <w:spacing w:line="560" w:lineRule="exact"/>
        <w:ind w:firstLine="600" w:firstLineChars="200"/>
        <w:rPr>
          <w:rFonts w:eastAsia="方正仿宋简体"/>
          <w:sz w:val="30"/>
          <w:szCs w:val="30"/>
        </w:rPr>
      </w:pPr>
      <w:r>
        <w:rPr>
          <w:rFonts w:eastAsia="方正仿宋简体"/>
          <w:kern w:val="0"/>
          <w:sz w:val="30"/>
          <w:szCs w:val="30"/>
        </w:rPr>
        <w:t>本所对期货公司提交的报备材料进行核查，发现信息不全或存有疑义的，将在收到报备材料的5个交易日内向期货公司进行反馈，要求补充材料或进行相关解释。期货公司在5个交易日内未收到本所反馈的，报备账户可于报送之日起5个交易日后进行股票期权程序化交易。</w:t>
      </w:r>
    </w:p>
    <w:p>
      <w:pPr>
        <w:spacing w:line="560" w:lineRule="exact"/>
        <w:ind w:firstLine="600" w:firstLineChars="200"/>
        <w:rPr>
          <w:rFonts w:eastAsia="方正仿宋简体"/>
          <w:sz w:val="30"/>
          <w:szCs w:val="30"/>
        </w:rPr>
      </w:pPr>
      <w:r>
        <w:rPr>
          <w:rFonts w:eastAsia="方正仿宋简体"/>
          <w:kern w:val="0"/>
          <w:sz w:val="30"/>
          <w:szCs w:val="30"/>
        </w:rPr>
        <w:t>投资者可以通过期货公司向本所申请撤销程序化交易账户报备，撤销报备后的账户在再次报备前不得进行程序化交易。</w:t>
      </w:r>
    </w:p>
    <w:p>
      <w:pPr>
        <w:spacing w:line="560" w:lineRule="exact"/>
        <w:ind w:firstLine="600" w:firstLineChars="200"/>
        <w:rPr>
          <w:rFonts w:eastAsia="方正仿宋简体"/>
          <w:sz w:val="30"/>
          <w:szCs w:val="30"/>
        </w:rPr>
      </w:pPr>
      <w:r>
        <w:rPr>
          <w:rFonts w:eastAsia="方正仿宋简体"/>
          <w:kern w:val="0"/>
          <w:sz w:val="30"/>
          <w:szCs w:val="30"/>
        </w:rPr>
        <w:t>期货公司应当加强对程序化交易的运行监控，并针对客户程序化交易可能发生的异常情况，建立预防、发现与处置机制，自觉维护期权交易的正常秩序。</w:t>
      </w:r>
    </w:p>
    <w:p>
      <w:pPr>
        <w:spacing w:line="560" w:lineRule="exact"/>
        <w:ind w:firstLine="600" w:firstLineChars="200"/>
        <w:rPr>
          <w:rFonts w:eastAsia="方正仿宋简体"/>
          <w:kern w:val="0"/>
          <w:sz w:val="30"/>
          <w:szCs w:val="30"/>
        </w:rPr>
      </w:pPr>
      <w:r>
        <w:rPr>
          <w:rFonts w:eastAsia="方正仿宋简体"/>
          <w:kern w:val="0"/>
          <w:sz w:val="30"/>
          <w:szCs w:val="30"/>
        </w:rPr>
        <w:t>客户进行程序化交易出现或者可能出现异常的，期权经营机构应当按照与客户的约定，及时采取应急处置措施，包括但不限于限制客户交易权限、为客户提供紧急撤单服务等。</w:t>
      </w:r>
    </w:p>
    <w:p>
      <w:pPr>
        <w:keepNext w:val="0"/>
        <w:keepLines w:val="0"/>
        <w:pageBreakBefore w:val="0"/>
        <w:widowControl w:val="0"/>
        <w:numPr>
          <w:ilvl w:val="0"/>
          <w:numId w:val="16"/>
        </w:numPr>
        <w:kinsoku/>
        <w:wordWrap/>
        <w:overflowPunct/>
        <w:topLinePunct w:val="0"/>
        <w:autoSpaceDE/>
        <w:autoSpaceDN/>
        <w:bidi w:val="0"/>
        <w:adjustRightInd/>
        <w:snapToGrid/>
        <w:spacing w:line="560" w:lineRule="exact"/>
        <w:ind w:left="0" w:firstLine="0" w:firstLineChars="0"/>
        <w:jc w:val="center"/>
        <w:textAlignment w:val="auto"/>
        <w:outlineLvl w:val="0"/>
        <w:rPr>
          <w:rFonts w:ascii="黑体" w:hAnsi="黑体" w:eastAsia="黑体"/>
          <w:bCs/>
          <w:sz w:val="30"/>
          <w:szCs w:val="30"/>
        </w:rPr>
      </w:pPr>
      <w:r>
        <w:rPr>
          <w:rFonts w:eastAsia="方正仿宋简体"/>
          <w:kern w:val="0"/>
          <w:sz w:val="30"/>
          <w:szCs w:val="30"/>
        </w:rPr>
        <w:br w:type="page"/>
      </w:r>
      <w:bookmarkStart w:id="213" w:name="_Toc25842038"/>
      <w:bookmarkStart w:id="214" w:name="_Toc437542911"/>
      <w:r>
        <w:rPr>
          <w:rFonts w:ascii="黑体" w:hAnsi="黑体" w:eastAsia="黑体"/>
          <w:bCs/>
          <w:sz w:val="30"/>
          <w:szCs w:val="30"/>
        </w:rPr>
        <w:t>大户报告</w:t>
      </w:r>
      <w:bookmarkEnd w:id="213"/>
      <w:bookmarkEnd w:id="214"/>
    </w:p>
    <w:p>
      <w:pPr>
        <w:spacing w:line="560" w:lineRule="exact"/>
        <w:ind w:firstLine="600" w:firstLineChars="200"/>
        <w:rPr>
          <w:rFonts w:eastAsia="方正仿宋简体"/>
          <w:sz w:val="30"/>
          <w:szCs w:val="30"/>
        </w:rPr>
      </w:pPr>
      <w:r>
        <w:rPr>
          <w:rFonts w:eastAsia="方正仿宋简体"/>
          <w:sz w:val="30"/>
          <w:szCs w:val="30"/>
        </w:rPr>
        <w:t>期权交易实行大户持仓报告制度，本所可根据市场风险状况要求期货公司或投资者进行报告。</w:t>
      </w:r>
    </w:p>
    <w:p>
      <w:pPr>
        <w:keepNext/>
        <w:keepLines/>
        <w:numPr>
          <w:ilvl w:val="0"/>
          <w:numId w:val="108"/>
        </w:numPr>
        <w:spacing w:line="560" w:lineRule="exact"/>
        <w:ind w:left="0" w:firstLine="601" w:firstLineChars="200"/>
        <w:outlineLvl w:val="1"/>
        <w:rPr>
          <w:rFonts w:eastAsia="方正仿宋简体"/>
          <w:b/>
          <w:bCs/>
          <w:kern w:val="0"/>
          <w:sz w:val="30"/>
          <w:szCs w:val="30"/>
          <w:lang w:val="zh-CN" w:eastAsia="zh-CN"/>
        </w:rPr>
      </w:pPr>
      <w:bookmarkStart w:id="215" w:name="_Toc25842039"/>
      <w:bookmarkStart w:id="216" w:name="_Toc468308380"/>
      <w:r>
        <w:rPr>
          <w:rFonts w:eastAsia="方正仿宋简体"/>
          <w:b/>
          <w:bCs/>
          <w:kern w:val="0"/>
          <w:sz w:val="30"/>
          <w:szCs w:val="30"/>
          <w:lang w:val="zh-CN" w:eastAsia="zh-CN"/>
        </w:rPr>
        <w:t>报告要求和报告材料</w:t>
      </w:r>
      <w:bookmarkEnd w:id="215"/>
      <w:bookmarkEnd w:id="216"/>
    </w:p>
    <w:p>
      <w:pPr>
        <w:spacing w:line="560" w:lineRule="exact"/>
        <w:ind w:firstLine="600" w:firstLineChars="200"/>
        <w:rPr>
          <w:rFonts w:eastAsia="方正仿宋简体"/>
          <w:sz w:val="30"/>
          <w:szCs w:val="30"/>
        </w:rPr>
      </w:pPr>
      <w:r>
        <w:rPr>
          <w:rFonts w:eastAsia="方正仿宋简体"/>
          <w:sz w:val="30"/>
          <w:szCs w:val="30"/>
        </w:rPr>
        <w:t>当投资者、期货公司对某一合约持仓达到交易所规定的持仓报告标准或者本所认为有必要时，有权要求期货公司或投资者向本所报告其资金情况、头寸情况、交易用途等。此外，本所可以根据大户报告审查大户是否有过度投机和操纵市场行为以便监控大户的交易风险情况。</w:t>
      </w:r>
    </w:p>
    <w:p>
      <w:pPr>
        <w:spacing w:line="560" w:lineRule="exact"/>
        <w:ind w:firstLine="600" w:firstLineChars="200"/>
        <w:rPr>
          <w:rFonts w:eastAsia="方正仿宋简体"/>
          <w:sz w:val="30"/>
          <w:szCs w:val="30"/>
        </w:rPr>
      </w:pPr>
      <w:r>
        <w:rPr>
          <w:rFonts w:eastAsia="方正仿宋简体"/>
          <w:sz w:val="30"/>
          <w:szCs w:val="30"/>
        </w:rPr>
        <w:t>投资者、期货公司报告持仓情况，应当提供以下材料：</w:t>
      </w:r>
    </w:p>
    <w:p>
      <w:pPr>
        <w:numPr>
          <w:ilvl w:val="0"/>
          <w:numId w:val="109"/>
        </w:numPr>
        <w:spacing w:line="560" w:lineRule="exact"/>
        <w:ind w:left="0" w:firstLine="600" w:firstLineChars="200"/>
        <w:rPr>
          <w:rFonts w:eastAsia="方正仿宋简体"/>
          <w:sz w:val="30"/>
          <w:szCs w:val="30"/>
        </w:rPr>
      </w:pPr>
      <w:r>
        <w:rPr>
          <w:rFonts w:eastAsia="方正仿宋简体"/>
          <w:sz w:val="30"/>
          <w:szCs w:val="30"/>
        </w:rPr>
        <w:t>《股票期权大户持仓报告表》（见附件12），内容包括：期货公司名称、投资者名称和投资者合约账户、持仓量最大的三个合约持仓信息（合约编码、持仓量等）、维持保证金、可动用资金等；</w:t>
      </w:r>
    </w:p>
    <w:p>
      <w:pPr>
        <w:numPr>
          <w:ilvl w:val="0"/>
          <w:numId w:val="109"/>
        </w:numPr>
        <w:spacing w:line="560" w:lineRule="exact"/>
        <w:ind w:left="0" w:firstLine="600" w:firstLineChars="200"/>
        <w:rPr>
          <w:rFonts w:eastAsia="方正仿宋简体"/>
          <w:sz w:val="30"/>
          <w:szCs w:val="30"/>
        </w:rPr>
      </w:pPr>
      <w:r>
        <w:rPr>
          <w:rFonts w:eastAsia="方正仿宋简体"/>
          <w:sz w:val="30"/>
          <w:szCs w:val="30"/>
        </w:rPr>
        <w:t>资金来源说明；</w:t>
      </w:r>
    </w:p>
    <w:p>
      <w:pPr>
        <w:numPr>
          <w:ilvl w:val="0"/>
          <w:numId w:val="109"/>
        </w:numPr>
        <w:spacing w:line="560" w:lineRule="exact"/>
        <w:ind w:left="0" w:firstLine="600" w:firstLineChars="200"/>
        <w:rPr>
          <w:rFonts w:eastAsia="方正仿宋简体"/>
          <w:sz w:val="30"/>
          <w:szCs w:val="30"/>
        </w:rPr>
      </w:pPr>
      <w:r>
        <w:rPr>
          <w:rFonts w:eastAsia="方正仿宋简体"/>
          <w:sz w:val="30"/>
          <w:szCs w:val="30"/>
        </w:rPr>
        <w:t>法人投资者的实际控制人资料；</w:t>
      </w:r>
    </w:p>
    <w:p>
      <w:pPr>
        <w:numPr>
          <w:ilvl w:val="0"/>
          <w:numId w:val="109"/>
        </w:numPr>
        <w:spacing w:line="560" w:lineRule="exact"/>
        <w:ind w:left="0" w:firstLine="600" w:firstLineChars="200"/>
        <w:rPr>
          <w:rFonts w:eastAsia="方正仿宋简体"/>
          <w:sz w:val="30"/>
          <w:szCs w:val="30"/>
        </w:rPr>
      </w:pPr>
      <w:r>
        <w:rPr>
          <w:rFonts w:eastAsia="方正仿宋简体"/>
          <w:sz w:val="30"/>
          <w:szCs w:val="30"/>
        </w:rPr>
        <w:t>开户资料及当日结算单据；</w:t>
      </w:r>
    </w:p>
    <w:p>
      <w:pPr>
        <w:numPr>
          <w:ilvl w:val="0"/>
          <w:numId w:val="109"/>
        </w:numPr>
        <w:spacing w:line="560" w:lineRule="exact"/>
        <w:ind w:left="0" w:firstLine="600" w:firstLineChars="200"/>
        <w:rPr>
          <w:rFonts w:eastAsia="方正仿宋简体"/>
          <w:sz w:val="30"/>
          <w:szCs w:val="30"/>
        </w:rPr>
      </w:pPr>
      <w:r>
        <w:rPr>
          <w:rFonts w:eastAsia="方正仿宋简体"/>
          <w:sz w:val="30"/>
          <w:szCs w:val="30"/>
        </w:rPr>
        <w:t>持仓意向，包括行权意愿与可能被行权准备情况说明；</w:t>
      </w:r>
    </w:p>
    <w:p>
      <w:pPr>
        <w:numPr>
          <w:ilvl w:val="0"/>
          <w:numId w:val="109"/>
        </w:numPr>
        <w:spacing w:line="560" w:lineRule="exact"/>
        <w:ind w:left="0" w:firstLine="600" w:firstLineChars="200"/>
        <w:rPr>
          <w:rFonts w:eastAsia="方正仿宋简体"/>
          <w:sz w:val="30"/>
          <w:szCs w:val="30"/>
        </w:rPr>
      </w:pPr>
      <w:r>
        <w:rPr>
          <w:rFonts w:eastAsia="方正仿宋简体"/>
          <w:sz w:val="30"/>
          <w:szCs w:val="30"/>
        </w:rPr>
        <w:t>本所要求提供的其他资料。</w:t>
      </w:r>
    </w:p>
    <w:p>
      <w:pPr>
        <w:keepNext/>
        <w:keepLines/>
        <w:numPr>
          <w:ilvl w:val="0"/>
          <w:numId w:val="108"/>
        </w:numPr>
        <w:spacing w:line="560" w:lineRule="exact"/>
        <w:ind w:left="0" w:firstLine="601" w:firstLineChars="200"/>
        <w:outlineLvl w:val="1"/>
        <w:rPr>
          <w:rFonts w:eastAsia="方正仿宋简体"/>
          <w:b/>
          <w:bCs/>
          <w:kern w:val="0"/>
          <w:sz w:val="30"/>
          <w:szCs w:val="30"/>
          <w:lang w:val="zh-CN" w:eastAsia="zh-CN"/>
        </w:rPr>
      </w:pPr>
      <w:bookmarkStart w:id="217" w:name="_Toc25842040"/>
      <w:bookmarkStart w:id="218" w:name="_Toc468308381"/>
      <w:r>
        <w:rPr>
          <w:rFonts w:eastAsia="方正仿宋简体"/>
          <w:b/>
          <w:bCs/>
          <w:kern w:val="0"/>
          <w:sz w:val="30"/>
          <w:szCs w:val="30"/>
          <w:lang w:val="zh-CN"/>
        </w:rPr>
        <w:t>报送业务流程</w:t>
      </w:r>
      <w:bookmarkEnd w:id="217"/>
    </w:p>
    <w:p>
      <w:pPr>
        <w:spacing w:line="560" w:lineRule="exact"/>
        <w:ind w:firstLine="600" w:firstLineChars="200"/>
        <w:rPr>
          <w:rFonts w:eastAsia="方正仿宋简体"/>
          <w:sz w:val="30"/>
          <w:szCs w:val="30"/>
        </w:rPr>
      </w:pPr>
      <w:r>
        <w:rPr>
          <w:rFonts w:eastAsia="方正仿宋简体"/>
          <w:sz w:val="30"/>
          <w:szCs w:val="30"/>
        </w:rPr>
        <w:t>本所通过期权业务专区下发《大户持仓报告通知书》，并通过短信、邮件等方式提醒期货公司经纪业务风控负责人和联系人。</w:t>
      </w:r>
    </w:p>
    <w:p>
      <w:pPr>
        <w:spacing w:line="560" w:lineRule="exact"/>
        <w:ind w:firstLine="600" w:firstLineChars="200"/>
        <w:rPr>
          <w:rFonts w:eastAsia="方正仿宋简体"/>
          <w:sz w:val="30"/>
          <w:szCs w:val="30"/>
        </w:rPr>
      </w:pPr>
      <w:r>
        <w:rPr>
          <w:rFonts w:eastAsia="方正仿宋简体"/>
          <w:sz w:val="30"/>
          <w:szCs w:val="30"/>
        </w:rPr>
        <w:t>期货公司通过本所期权业务专区大户持仓报告功能（业务办理—大户报告上报），填写投资者账户及持仓信息，保存后下载《大户持仓报告表》。</w:t>
      </w:r>
    </w:p>
    <w:p>
      <w:pPr>
        <w:spacing w:line="560" w:lineRule="exact"/>
        <w:ind w:firstLine="600" w:firstLineChars="200"/>
        <w:rPr>
          <w:rFonts w:eastAsia="方正仿宋简体"/>
          <w:sz w:val="30"/>
          <w:szCs w:val="30"/>
        </w:rPr>
      </w:pPr>
      <w:r>
        <w:rPr>
          <w:rFonts w:eastAsia="方正仿宋简体"/>
          <w:sz w:val="30"/>
          <w:szCs w:val="30"/>
        </w:rPr>
        <w:t>期货公司按要求准备《大户持仓报告表》及相关需要上报的材料，上传PDF格式扫描件作为附件，提交交易所审核。</w:t>
      </w:r>
    </w:p>
    <w:p>
      <w:pPr>
        <w:spacing w:line="560" w:lineRule="exact"/>
        <w:ind w:firstLine="600" w:firstLineChars="200"/>
        <w:rPr>
          <w:rFonts w:eastAsia="方正仿宋简体"/>
          <w:sz w:val="30"/>
          <w:szCs w:val="30"/>
        </w:rPr>
      </w:pPr>
      <w:r>
        <w:rPr>
          <w:rFonts w:eastAsia="方正仿宋简体"/>
          <w:sz w:val="30"/>
          <w:szCs w:val="30"/>
        </w:rPr>
        <w:t>本所检查核对期货公司上报材料，期货公司按交易所反馈结果进行修订重报或结束业务流程。</w:t>
      </w:r>
    </w:p>
    <w:p>
      <w:pPr>
        <w:keepNext/>
        <w:keepLines/>
        <w:numPr>
          <w:ilvl w:val="0"/>
          <w:numId w:val="108"/>
        </w:numPr>
        <w:spacing w:line="560" w:lineRule="exact"/>
        <w:ind w:left="0" w:firstLine="601" w:firstLineChars="200"/>
        <w:outlineLvl w:val="1"/>
        <w:rPr>
          <w:rFonts w:eastAsia="方正仿宋简体"/>
          <w:b/>
          <w:bCs/>
          <w:kern w:val="0"/>
          <w:sz w:val="30"/>
          <w:szCs w:val="30"/>
          <w:lang w:val="zh-CN" w:eastAsia="zh-CN"/>
        </w:rPr>
      </w:pPr>
      <w:bookmarkStart w:id="219" w:name="_Toc25842041"/>
      <w:r>
        <w:rPr>
          <w:rFonts w:eastAsia="方正仿宋简体"/>
          <w:b/>
          <w:bCs/>
          <w:kern w:val="0"/>
          <w:sz w:val="30"/>
          <w:szCs w:val="30"/>
          <w:lang w:val="zh-CN" w:eastAsia="zh-CN"/>
        </w:rPr>
        <w:t>报告注意事项</w:t>
      </w:r>
      <w:bookmarkEnd w:id="218"/>
      <w:bookmarkEnd w:id="219"/>
    </w:p>
    <w:p>
      <w:pPr>
        <w:numPr>
          <w:ilvl w:val="0"/>
          <w:numId w:val="110"/>
        </w:numPr>
        <w:spacing w:line="560" w:lineRule="exact"/>
        <w:ind w:left="0" w:firstLine="600" w:firstLineChars="200"/>
        <w:rPr>
          <w:rFonts w:eastAsia="方正仿宋简体"/>
          <w:sz w:val="30"/>
          <w:szCs w:val="30"/>
        </w:rPr>
      </w:pPr>
      <w:r>
        <w:rPr>
          <w:rFonts w:eastAsia="方正仿宋简体"/>
          <w:sz w:val="30"/>
          <w:szCs w:val="30"/>
        </w:rPr>
        <w:t>计算大户持仓报告标准时，对同一个投资者、期货公司持有的一个或多个合约账户中的所有持仓进行合并计算。</w:t>
      </w:r>
    </w:p>
    <w:p>
      <w:pPr>
        <w:numPr>
          <w:ilvl w:val="0"/>
          <w:numId w:val="110"/>
        </w:numPr>
        <w:spacing w:line="560" w:lineRule="exact"/>
        <w:ind w:left="0" w:firstLine="600" w:firstLineChars="200"/>
        <w:rPr>
          <w:rFonts w:eastAsia="方正仿宋简体"/>
          <w:sz w:val="30"/>
          <w:szCs w:val="30"/>
        </w:rPr>
      </w:pPr>
      <w:r>
        <w:rPr>
          <w:rFonts w:eastAsia="方正仿宋简体"/>
          <w:sz w:val="30"/>
          <w:szCs w:val="30"/>
        </w:rPr>
        <w:t>投资者、期货公司被交易所要求报告的，交易所将大户报告表发送至期货公司和专业机构投资者（如基金等）。若报告主体是投资者，由期货公司发送至客户（对同一投资者在多家期货公司开立合约账户的，本所根据投资者持仓大小选择期货公司）。投资者、期货公司应当于下一交易日15:00前及时向交易所报告。</w:t>
      </w:r>
    </w:p>
    <w:p>
      <w:pPr>
        <w:numPr>
          <w:ilvl w:val="0"/>
          <w:numId w:val="110"/>
        </w:numPr>
        <w:spacing w:line="560" w:lineRule="exact"/>
        <w:ind w:left="0" w:firstLine="600" w:firstLineChars="200"/>
        <w:rPr>
          <w:rFonts w:eastAsia="方正仿宋简体"/>
          <w:sz w:val="30"/>
          <w:szCs w:val="30"/>
        </w:rPr>
      </w:pPr>
      <w:r>
        <w:rPr>
          <w:rFonts w:eastAsia="方正仿宋简体"/>
          <w:sz w:val="30"/>
          <w:szCs w:val="30"/>
        </w:rPr>
        <w:t>专业机构投资者可直接向交易所报告，其他客户由期货公司代为向交易所报告，期货公司应对客户提供的资料进行审核，并保证客户所提供资料的真实性和准确性。客户未按要求报告的，期货公司应当向交易所报告该客户持仓情况。</w:t>
      </w:r>
    </w:p>
    <w:p>
      <w:pPr>
        <w:numPr>
          <w:ilvl w:val="0"/>
          <w:numId w:val="110"/>
        </w:numPr>
        <w:spacing w:line="560" w:lineRule="exact"/>
        <w:ind w:left="0" w:firstLine="600" w:firstLineChars="200"/>
        <w:rPr>
          <w:rFonts w:eastAsia="方正仿宋简体"/>
          <w:sz w:val="30"/>
          <w:szCs w:val="30"/>
        </w:rPr>
      </w:pPr>
      <w:r>
        <w:rPr>
          <w:rFonts w:eastAsia="方正仿宋简体"/>
          <w:sz w:val="30"/>
          <w:szCs w:val="30"/>
        </w:rPr>
        <w:t>投资者在多个期货公司有持仓的，由本所指定期货公司负责汇总、整理客户信息并向本所进行报告。</w:t>
      </w:r>
    </w:p>
    <w:p>
      <w:pPr>
        <w:widowControl/>
        <w:numPr>
          <w:ilvl w:val="0"/>
          <w:numId w:val="110"/>
        </w:numPr>
        <w:spacing w:line="560" w:lineRule="exact"/>
        <w:ind w:left="0" w:firstLine="600" w:firstLineChars="200"/>
        <w:rPr>
          <w:rFonts w:eastAsia="方正仿宋简体"/>
          <w:b/>
          <w:bCs/>
          <w:sz w:val="30"/>
          <w:szCs w:val="30"/>
        </w:rPr>
      </w:pPr>
      <w:r>
        <w:rPr>
          <w:rFonts w:eastAsia="方正仿宋简体"/>
          <w:sz w:val="30"/>
          <w:szCs w:val="30"/>
        </w:rPr>
        <w:t>交易所对期货公司或者投资者提供的资料进行核查后，将视情况通知期货公司或投资者再次报告或者补充报告。</w:t>
      </w:r>
      <w:bookmarkStart w:id="220" w:name="_Toc437542914"/>
    </w:p>
    <w:p>
      <w:pPr>
        <w:spacing w:line="560" w:lineRule="exact"/>
        <w:ind w:left="601"/>
        <w:outlineLvl w:val="0"/>
        <w:rPr>
          <w:rFonts w:eastAsia="方正仿宋简体"/>
          <w:b/>
          <w:bCs/>
          <w:sz w:val="30"/>
          <w:szCs w:val="30"/>
        </w:rPr>
      </w:pPr>
      <w:r>
        <w:rPr>
          <w:rFonts w:eastAsia="方正仿宋简体"/>
          <w:b/>
          <w:bCs/>
          <w:sz w:val="30"/>
          <w:szCs w:val="30"/>
        </w:rPr>
        <w:br w:type="page"/>
      </w:r>
      <w:bookmarkEnd w:id="220"/>
    </w:p>
    <w:p>
      <w:pPr>
        <w:keepNext w:val="0"/>
        <w:keepLines w:val="0"/>
        <w:pageBreakBefore w:val="0"/>
        <w:widowControl w:val="0"/>
        <w:numPr>
          <w:ilvl w:val="0"/>
          <w:numId w:val="111"/>
        </w:numPr>
        <w:kinsoku/>
        <w:wordWrap/>
        <w:overflowPunct/>
        <w:topLinePunct w:val="0"/>
        <w:autoSpaceDE/>
        <w:autoSpaceDN/>
        <w:bidi w:val="0"/>
        <w:adjustRightInd/>
        <w:snapToGrid/>
        <w:spacing w:line="560" w:lineRule="exact"/>
        <w:ind w:left="0" w:firstLine="0" w:firstLineChars="0"/>
        <w:jc w:val="center"/>
        <w:textAlignment w:val="auto"/>
        <w:outlineLvl w:val="0"/>
        <w:rPr>
          <w:rFonts w:ascii="黑体" w:hAnsi="黑体" w:eastAsia="黑体"/>
          <w:bCs/>
          <w:sz w:val="30"/>
          <w:szCs w:val="30"/>
        </w:rPr>
      </w:pPr>
      <w:bookmarkStart w:id="221" w:name="_Toc25842042"/>
      <w:r>
        <w:rPr>
          <w:rFonts w:ascii="黑体" w:hAnsi="黑体" w:eastAsia="黑体"/>
          <w:bCs/>
          <w:sz w:val="30"/>
          <w:szCs w:val="30"/>
        </w:rPr>
        <w:t>交易信息及提醒</w:t>
      </w:r>
      <w:bookmarkEnd w:id="138"/>
      <w:bookmarkEnd w:id="221"/>
    </w:p>
    <w:p>
      <w:pPr>
        <w:numPr>
          <w:ilvl w:val="0"/>
          <w:numId w:val="112"/>
        </w:numPr>
        <w:spacing w:line="560" w:lineRule="exact"/>
        <w:ind w:left="0" w:firstLine="601" w:firstLineChars="200"/>
        <w:outlineLvl w:val="1"/>
        <w:rPr>
          <w:rFonts w:eastAsia="方正仿宋简体"/>
          <w:b/>
          <w:bCs/>
          <w:kern w:val="0"/>
          <w:sz w:val="30"/>
          <w:szCs w:val="30"/>
          <w:lang w:val="zh-CN" w:eastAsia="zh-CN"/>
        </w:rPr>
      </w:pPr>
      <w:bookmarkStart w:id="222" w:name="_Toc25842043"/>
      <w:bookmarkStart w:id="223" w:name="_Toc408301000"/>
      <w:r>
        <w:rPr>
          <w:rFonts w:eastAsia="方正仿宋简体"/>
          <w:b/>
          <w:bCs/>
          <w:kern w:val="0"/>
          <w:sz w:val="30"/>
          <w:szCs w:val="30"/>
          <w:lang w:val="zh-CN" w:eastAsia="zh-CN"/>
        </w:rPr>
        <w:t>交易信息内容</w:t>
      </w:r>
      <w:bookmarkEnd w:id="222"/>
      <w:bookmarkEnd w:id="223"/>
    </w:p>
    <w:p>
      <w:pPr>
        <w:spacing w:line="560" w:lineRule="exact"/>
        <w:ind w:firstLine="600" w:firstLineChars="200"/>
        <w:rPr>
          <w:rFonts w:eastAsia="方正仿宋简体"/>
          <w:sz w:val="30"/>
          <w:szCs w:val="30"/>
        </w:rPr>
      </w:pPr>
      <w:r>
        <w:rPr>
          <w:rFonts w:eastAsia="方正仿宋简体"/>
          <w:sz w:val="30"/>
          <w:szCs w:val="30"/>
        </w:rPr>
        <w:t>本所每个交易日发布衍生品合约相关交易信息，包括交易前信息、即时行情、盘后信息、行权信息等。期货公司应及时接收本所向其发送的相关交易信息，并通过行情交易终端、公司门户网站或经纪合同约定的方式向投资者转发。</w:t>
      </w:r>
    </w:p>
    <w:p>
      <w:pPr>
        <w:spacing w:line="560" w:lineRule="exact"/>
        <w:ind w:firstLine="600" w:firstLineChars="200"/>
        <w:rPr>
          <w:rFonts w:eastAsia="方正仿宋简体"/>
          <w:sz w:val="30"/>
          <w:szCs w:val="30"/>
        </w:rPr>
      </w:pPr>
      <w:r>
        <w:rPr>
          <w:rFonts w:eastAsia="方正仿宋简体"/>
          <w:sz w:val="30"/>
          <w:szCs w:val="30"/>
        </w:rPr>
        <w:t>期货公司可结合本所公开发布的衍生品合约相关交易信息，向投资者提供诸如期权计算器、期权杠杆比率、期权希腊字母值等个性化交易信息。期货公司应当对个性化信息的真实性、准确性负责。</w:t>
      </w:r>
    </w:p>
    <w:p>
      <w:pPr>
        <w:numPr>
          <w:ilvl w:val="0"/>
          <w:numId w:val="112"/>
        </w:numPr>
        <w:spacing w:line="560" w:lineRule="exact"/>
        <w:ind w:left="0" w:firstLine="601" w:firstLineChars="200"/>
        <w:outlineLvl w:val="1"/>
        <w:rPr>
          <w:rFonts w:eastAsia="方正仿宋简体"/>
          <w:b/>
          <w:bCs/>
          <w:kern w:val="0"/>
          <w:sz w:val="30"/>
          <w:szCs w:val="30"/>
          <w:lang w:val="zh-CN" w:eastAsia="zh-CN"/>
        </w:rPr>
      </w:pPr>
      <w:bookmarkStart w:id="224" w:name="_Toc25842044"/>
      <w:bookmarkStart w:id="225" w:name="_Toc408301001"/>
      <w:r>
        <w:rPr>
          <w:rFonts w:eastAsia="方正仿宋简体"/>
          <w:b/>
          <w:bCs/>
          <w:kern w:val="0"/>
          <w:sz w:val="30"/>
          <w:szCs w:val="30"/>
          <w:lang w:val="zh-CN" w:eastAsia="zh-CN"/>
        </w:rPr>
        <w:t>信息公告与提醒</w:t>
      </w:r>
      <w:bookmarkEnd w:id="224"/>
      <w:bookmarkEnd w:id="225"/>
    </w:p>
    <w:p>
      <w:pPr>
        <w:keepNext/>
        <w:keepLines/>
        <w:numPr>
          <w:ilvl w:val="0"/>
          <w:numId w:val="113"/>
        </w:numPr>
        <w:spacing w:line="560" w:lineRule="exact"/>
        <w:ind w:left="0" w:firstLine="601" w:firstLineChars="200"/>
        <w:outlineLvl w:val="2"/>
        <w:rPr>
          <w:rFonts w:eastAsia="方正仿宋简体"/>
          <w:b/>
          <w:sz w:val="30"/>
          <w:szCs w:val="30"/>
        </w:rPr>
      </w:pPr>
      <w:r>
        <w:rPr>
          <w:rFonts w:eastAsia="方正仿宋简体"/>
          <w:b/>
          <w:sz w:val="30"/>
          <w:szCs w:val="30"/>
        </w:rPr>
        <w:t>信息公告</w:t>
      </w:r>
    </w:p>
    <w:p>
      <w:pPr>
        <w:spacing w:line="560" w:lineRule="exact"/>
        <w:ind w:firstLine="600" w:firstLineChars="200"/>
        <w:rPr>
          <w:rFonts w:eastAsia="方正仿宋简体"/>
          <w:sz w:val="30"/>
          <w:szCs w:val="30"/>
        </w:rPr>
      </w:pPr>
      <w:r>
        <w:rPr>
          <w:rFonts w:eastAsia="方正仿宋简体"/>
          <w:sz w:val="30"/>
          <w:szCs w:val="30"/>
        </w:rPr>
        <w:t>期货公司应当及时接收本所通过通讯系统、本所网站等渠道发布的股票期权相关通知和公告（包括但不限于股票期权合约运作管理相关公告、股票期权风险控制相关公告等），并向投资者转发或推送，转发、推送形式可以是公司网站公示、客户交易终端提示、邮件或经纪合同约定的方式等。</w:t>
      </w:r>
    </w:p>
    <w:p>
      <w:pPr>
        <w:spacing w:line="560" w:lineRule="exact"/>
        <w:ind w:firstLine="600" w:firstLineChars="200"/>
        <w:rPr>
          <w:rFonts w:eastAsia="方正仿宋简体"/>
          <w:sz w:val="30"/>
          <w:szCs w:val="30"/>
        </w:rPr>
      </w:pPr>
      <w:r>
        <w:rPr>
          <w:rFonts w:eastAsia="方正仿宋简体"/>
          <w:sz w:val="30"/>
          <w:szCs w:val="30"/>
        </w:rPr>
        <w:t>期货公司应发布与其自身期权业务相关的公告信息，如期货公司保证金调整、期权交易手续费调整等。公告形式可以是期货公司网站公示、客户交易终端提示、邮件或经纪合同约定的方式等。</w:t>
      </w:r>
    </w:p>
    <w:p>
      <w:pPr>
        <w:keepNext/>
        <w:keepLines/>
        <w:numPr>
          <w:ilvl w:val="0"/>
          <w:numId w:val="113"/>
        </w:numPr>
        <w:spacing w:line="560" w:lineRule="exact"/>
        <w:ind w:left="0" w:firstLine="601" w:firstLineChars="200"/>
        <w:outlineLvl w:val="2"/>
        <w:rPr>
          <w:rFonts w:eastAsia="方正仿宋简体"/>
          <w:b/>
          <w:sz w:val="30"/>
          <w:szCs w:val="30"/>
        </w:rPr>
      </w:pPr>
      <w:r>
        <w:rPr>
          <w:rFonts w:eastAsia="方正仿宋简体"/>
          <w:b/>
          <w:sz w:val="30"/>
          <w:szCs w:val="30"/>
        </w:rPr>
        <w:t>信息提醒</w:t>
      </w:r>
    </w:p>
    <w:p>
      <w:pPr>
        <w:numPr>
          <w:ilvl w:val="0"/>
          <w:numId w:val="114"/>
        </w:numPr>
        <w:spacing w:line="560" w:lineRule="exact"/>
        <w:ind w:firstLine="600" w:firstLineChars="200"/>
        <w:rPr>
          <w:rFonts w:eastAsia="方正仿宋简体"/>
          <w:sz w:val="30"/>
          <w:szCs w:val="30"/>
        </w:rPr>
      </w:pPr>
      <w:r>
        <w:rPr>
          <w:rFonts w:eastAsia="方正仿宋简体"/>
          <w:sz w:val="30"/>
          <w:szCs w:val="30"/>
        </w:rPr>
        <w:t>期货公司应对客户参与股票期权交易有关事项进行提醒，内容包括但不限于：距离到期日不足3个交易日的期权合约信息；合约运作管理；近期进行合约调整的期权合约信息（持续到调整后5个交易日或摘牌）；保证金参数水平调整；期权手续费调整；重点监控期权合约交易风险；其他本所或期货公司认为有必要向投资者进行提醒的事项。</w:t>
      </w:r>
    </w:p>
    <w:p>
      <w:pPr>
        <w:numPr>
          <w:ilvl w:val="0"/>
          <w:numId w:val="114"/>
        </w:numPr>
        <w:spacing w:line="560" w:lineRule="exact"/>
        <w:ind w:firstLine="600" w:firstLineChars="200"/>
        <w:rPr>
          <w:rFonts w:eastAsia="方正仿宋简体"/>
          <w:sz w:val="30"/>
          <w:szCs w:val="30"/>
        </w:rPr>
      </w:pPr>
      <w:r>
        <w:rPr>
          <w:rFonts w:eastAsia="方正仿宋简体"/>
          <w:sz w:val="30"/>
          <w:szCs w:val="30"/>
        </w:rPr>
        <w:t>期货公司应对相关持仓客户进行如下提醒（提醒方式可以是客户交易终端提醒、电子邮件、短信、电话等）：备兑持仓标的证券不足提醒；持有快到期或到期合约的临近行权提醒；持有快到期合约的被行权可能提醒；被指派行权提醒；证券交收日交收证券不足提醒（电话提醒并督促其补足应交标的证券数量；其他本所或期货公司认为有必要向投资者进行持仓提醒的事项。</w:t>
      </w:r>
    </w:p>
    <w:p>
      <w:pPr>
        <w:spacing w:line="560" w:lineRule="exact"/>
        <w:ind w:firstLine="600" w:firstLineChars="200"/>
        <w:rPr>
          <w:rFonts w:eastAsia="方正仿宋简体"/>
          <w:sz w:val="30"/>
          <w:szCs w:val="30"/>
        </w:rPr>
      </w:pPr>
      <w:r>
        <w:rPr>
          <w:rFonts w:eastAsia="方正仿宋简体"/>
          <w:sz w:val="30"/>
          <w:szCs w:val="30"/>
        </w:rPr>
        <w:t>3.交易委托提醒。期货公司的客户交易终端应支持在客户提交包括但不限于以下交易委托时，弹出窗口（对同一合约交易可设置只提醒一次）进行提醒：严重虚值期权买入开仓委托；临近到期期权买入开仓委托；合约调整过的期权买入开仓委托；合约为虚值的行权委托；备兑开仓委托时标的证券不足；其他本所或期货公司认为有必要向投资者进行提醒的事项。</w:t>
      </w:r>
    </w:p>
    <w:p>
      <w:pPr>
        <w:spacing w:line="560" w:lineRule="exact"/>
        <w:ind w:firstLine="600" w:firstLineChars="200"/>
        <w:rPr>
          <w:rFonts w:eastAsia="方正仿宋简体"/>
          <w:sz w:val="30"/>
          <w:szCs w:val="30"/>
        </w:rPr>
      </w:pPr>
      <w:r>
        <w:rPr>
          <w:rFonts w:eastAsia="方正仿宋简体"/>
          <w:sz w:val="30"/>
          <w:szCs w:val="30"/>
        </w:rPr>
        <w:t>4.期货公司应当根据投资者的资金状况、交易活跃程度、异常交易结算行为发生频率、收到本所警示次数以及是否为本所重点监控账户等情况，对投资者进行分类管理，在市场出现期权价格大幅波动时，及时向投资者提示投资风险。</w:t>
      </w:r>
    </w:p>
    <w:p>
      <w:pPr>
        <w:spacing w:line="560" w:lineRule="exact"/>
        <w:ind w:firstLine="600" w:firstLineChars="200"/>
        <w:rPr>
          <w:rFonts w:eastAsia="方正仿宋简体"/>
          <w:sz w:val="30"/>
          <w:szCs w:val="30"/>
        </w:rPr>
      </w:pPr>
      <w:r>
        <w:rPr>
          <w:rFonts w:eastAsia="方正仿宋简体"/>
          <w:sz w:val="30"/>
          <w:szCs w:val="30"/>
        </w:rPr>
        <w:t>5.建议期货公司在信息技术系统突发事件应急处置方案中制定股票期权合约信息相关突发故障的处理措施，确保投资者在突发事件时能够及时知晓股票期权交易与提醒信息。</w:t>
      </w:r>
      <w:bookmarkStart w:id="226" w:name="_Toc406439139"/>
      <w:bookmarkStart w:id="227" w:name="_Toc406438916"/>
      <w:bookmarkStart w:id="228" w:name="_Toc406438954"/>
      <w:bookmarkStart w:id="229" w:name="_Toc403729936"/>
      <w:bookmarkStart w:id="230" w:name="_Toc408301003"/>
      <w:bookmarkStart w:id="231" w:name="_Toc406436505"/>
    </w:p>
    <w:p>
      <w:pPr>
        <w:keepNext w:val="0"/>
        <w:keepLines w:val="0"/>
        <w:pageBreakBefore w:val="0"/>
        <w:widowControl w:val="0"/>
        <w:numPr>
          <w:ilvl w:val="0"/>
          <w:numId w:val="111"/>
        </w:numPr>
        <w:kinsoku/>
        <w:wordWrap/>
        <w:overflowPunct/>
        <w:topLinePunct w:val="0"/>
        <w:autoSpaceDE/>
        <w:autoSpaceDN/>
        <w:bidi w:val="0"/>
        <w:adjustRightInd/>
        <w:snapToGrid/>
        <w:spacing w:line="560" w:lineRule="exact"/>
        <w:ind w:left="0" w:firstLine="0" w:firstLineChars="0"/>
        <w:jc w:val="center"/>
        <w:textAlignment w:val="auto"/>
        <w:outlineLvl w:val="0"/>
        <w:rPr>
          <w:rFonts w:ascii="黑体" w:hAnsi="黑体" w:eastAsia="黑体"/>
          <w:bCs/>
          <w:sz w:val="30"/>
          <w:szCs w:val="30"/>
        </w:rPr>
      </w:pPr>
      <w:r>
        <w:rPr>
          <w:rFonts w:eastAsia="方正仿宋简体"/>
          <w:sz w:val="30"/>
          <w:szCs w:val="30"/>
        </w:rPr>
        <w:br w:type="page"/>
      </w:r>
      <w:bookmarkEnd w:id="226"/>
      <w:bookmarkEnd w:id="227"/>
      <w:bookmarkEnd w:id="228"/>
      <w:bookmarkEnd w:id="229"/>
      <w:bookmarkEnd w:id="230"/>
      <w:bookmarkEnd w:id="231"/>
      <w:bookmarkStart w:id="232" w:name="_Toc408301004"/>
      <w:bookmarkStart w:id="233" w:name="_Toc25842045"/>
      <w:r>
        <w:rPr>
          <w:rFonts w:ascii="黑体" w:hAnsi="黑体" w:eastAsia="黑体"/>
          <w:bCs/>
          <w:sz w:val="30"/>
          <w:szCs w:val="30"/>
        </w:rPr>
        <w:t>标的证券监管与保证金监控</w:t>
      </w:r>
      <w:bookmarkEnd w:id="232"/>
      <w:bookmarkEnd w:id="233"/>
    </w:p>
    <w:p>
      <w:pPr>
        <w:numPr>
          <w:ilvl w:val="0"/>
          <w:numId w:val="115"/>
        </w:numPr>
        <w:spacing w:line="560" w:lineRule="exact"/>
        <w:ind w:left="0" w:firstLine="601" w:firstLineChars="200"/>
        <w:outlineLvl w:val="1"/>
        <w:rPr>
          <w:rFonts w:eastAsia="方正仿宋简体"/>
          <w:b/>
          <w:bCs/>
          <w:kern w:val="0"/>
          <w:sz w:val="30"/>
          <w:szCs w:val="30"/>
          <w:lang w:val="zh-CN" w:eastAsia="zh-CN"/>
        </w:rPr>
      </w:pPr>
      <w:bookmarkStart w:id="234" w:name="_Toc25842046"/>
      <w:r>
        <w:rPr>
          <w:rFonts w:eastAsia="方正仿宋简体"/>
          <w:b/>
          <w:bCs/>
          <w:kern w:val="0"/>
          <w:sz w:val="30"/>
          <w:szCs w:val="30"/>
          <w:lang w:val="zh-CN" w:eastAsia="zh-CN"/>
        </w:rPr>
        <w:t>标的证券监管</w:t>
      </w:r>
      <w:bookmarkEnd w:id="234"/>
    </w:p>
    <w:p>
      <w:pPr>
        <w:spacing w:line="560" w:lineRule="exact"/>
        <w:ind w:firstLine="600" w:firstLineChars="200"/>
        <w:rPr>
          <w:rFonts w:eastAsia="方正仿宋简体"/>
          <w:sz w:val="30"/>
          <w:szCs w:val="30"/>
        </w:rPr>
      </w:pPr>
      <w:r>
        <w:rPr>
          <w:rFonts w:eastAsia="方正仿宋简体"/>
          <w:sz w:val="30"/>
          <w:szCs w:val="30"/>
        </w:rPr>
        <w:t>期货公司从事股票期权及其标的证券业务，应满足证监会和本所的有关监管及风控要求。</w:t>
      </w:r>
    </w:p>
    <w:p>
      <w:pPr>
        <w:spacing w:line="560" w:lineRule="exact"/>
        <w:ind w:firstLine="600" w:firstLineChars="200"/>
        <w:rPr>
          <w:rFonts w:eastAsia="方正仿宋简体"/>
          <w:sz w:val="30"/>
          <w:szCs w:val="30"/>
        </w:rPr>
      </w:pPr>
      <w:r>
        <w:rPr>
          <w:rFonts w:eastAsia="方正仿宋简体"/>
          <w:sz w:val="30"/>
          <w:szCs w:val="30"/>
        </w:rPr>
        <w:t>期货公司必须通过前端控制，确保其股票期权客户只能从事与股票期权备兑开仓以及行权相关的标的证券业务。本所将通过风险监控、抽查等方式，加强对期货公司开展证券现货业务的监管。一旦发现期货公司客户现货交易超出上述范围，经查实后，按相关规定进行处理。</w:t>
      </w:r>
    </w:p>
    <w:p>
      <w:pPr>
        <w:numPr>
          <w:ilvl w:val="0"/>
          <w:numId w:val="115"/>
        </w:numPr>
        <w:spacing w:line="560" w:lineRule="exact"/>
        <w:ind w:left="0" w:firstLine="601" w:firstLineChars="200"/>
        <w:outlineLvl w:val="1"/>
        <w:rPr>
          <w:rFonts w:eastAsia="方正仿宋简体"/>
          <w:b/>
          <w:bCs/>
          <w:kern w:val="0"/>
          <w:sz w:val="30"/>
          <w:szCs w:val="30"/>
          <w:lang w:val="zh-CN" w:eastAsia="zh-CN"/>
        </w:rPr>
      </w:pPr>
      <w:bookmarkStart w:id="235" w:name="_Toc25842047"/>
      <w:r>
        <w:rPr>
          <w:rFonts w:eastAsia="方正仿宋简体"/>
          <w:b/>
          <w:bCs/>
          <w:kern w:val="0"/>
          <w:sz w:val="30"/>
          <w:szCs w:val="30"/>
          <w:lang w:val="zh-CN" w:eastAsia="zh-CN"/>
        </w:rPr>
        <w:t>保证金监控</w:t>
      </w:r>
      <w:bookmarkEnd w:id="235"/>
    </w:p>
    <w:p>
      <w:pPr>
        <w:spacing w:line="560" w:lineRule="exact"/>
        <w:ind w:firstLine="600" w:firstLineChars="200"/>
        <w:rPr>
          <w:rFonts w:eastAsia="方正仿宋简体"/>
          <w:sz w:val="30"/>
          <w:szCs w:val="30"/>
        </w:rPr>
      </w:pPr>
      <w:r>
        <w:rPr>
          <w:rFonts w:eastAsia="方正仿宋简体"/>
          <w:sz w:val="30"/>
          <w:szCs w:val="30"/>
        </w:rPr>
        <w:t>中国期货市场监控中心负责对期货公司开展股票期权经纪业务涉及的客户保证金以及相应的证券交易结算资金的安全进行监控。期货公司应当根据中国期货市场监控中心的要求报送客户保证金安全存管相关信息。</w:t>
      </w:r>
    </w:p>
    <w:p>
      <w:pPr>
        <w:keepNext w:val="0"/>
        <w:keepLines w:val="0"/>
        <w:pageBreakBefore w:val="0"/>
        <w:widowControl w:val="0"/>
        <w:numPr>
          <w:ilvl w:val="0"/>
          <w:numId w:val="111"/>
        </w:numPr>
        <w:kinsoku/>
        <w:wordWrap/>
        <w:overflowPunct/>
        <w:topLinePunct w:val="0"/>
        <w:autoSpaceDE/>
        <w:autoSpaceDN/>
        <w:bidi w:val="0"/>
        <w:adjustRightInd/>
        <w:snapToGrid/>
        <w:spacing w:line="560" w:lineRule="exact"/>
        <w:ind w:left="0" w:firstLine="0" w:firstLineChars="0"/>
        <w:jc w:val="center"/>
        <w:textAlignment w:val="auto"/>
        <w:outlineLvl w:val="0"/>
        <w:rPr>
          <w:rFonts w:ascii="黑体" w:hAnsi="黑体" w:eastAsia="黑体"/>
          <w:bCs/>
          <w:sz w:val="30"/>
          <w:szCs w:val="30"/>
        </w:rPr>
      </w:pPr>
      <w:bookmarkStart w:id="236" w:name="_Toc408301005"/>
      <w:r>
        <w:rPr>
          <w:rFonts w:eastAsia="方正仿宋简体"/>
          <w:b/>
          <w:bCs/>
          <w:sz w:val="30"/>
          <w:szCs w:val="30"/>
        </w:rPr>
        <w:br w:type="page"/>
      </w:r>
      <w:bookmarkStart w:id="237" w:name="_Toc25842048"/>
      <w:r>
        <w:rPr>
          <w:rFonts w:ascii="黑体" w:hAnsi="黑体" w:eastAsia="黑体"/>
          <w:bCs/>
          <w:sz w:val="30"/>
          <w:szCs w:val="30"/>
        </w:rPr>
        <w:t>投资者教育与客户投诉处理</w:t>
      </w:r>
      <w:bookmarkEnd w:id="236"/>
      <w:bookmarkEnd w:id="237"/>
    </w:p>
    <w:p>
      <w:pPr>
        <w:numPr>
          <w:ilvl w:val="0"/>
          <w:numId w:val="116"/>
        </w:numPr>
        <w:spacing w:line="560" w:lineRule="exact"/>
        <w:ind w:left="0" w:firstLine="601" w:firstLineChars="200"/>
        <w:outlineLvl w:val="1"/>
        <w:rPr>
          <w:rFonts w:eastAsia="方正仿宋简体"/>
          <w:b/>
          <w:bCs/>
          <w:kern w:val="0"/>
          <w:sz w:val="30"/>
          <w:szCs w:val="30"/>
          <w:lang w:val="zh-CN" w:eastAsia="zh-CN"/>
        </w:rPr>
      </w:pPr>
      <w:bookmarkStart w:id="238" w:name="_Toc25842049"/>
      <w:r>
        <w:rPr>
          <w:rFonts w:eastAsia="方正仿宋简体"/>
          <w:b/>
          <w:bCs/>
          <w:kern w:val="0"/>
          <w:sz w:val="30"/>
          <w:szCs w:val="30"/>
          <w:lang w:val="zh-CN" w:eastAsia="zh-CN"/>
        </w:rPr>
        <w:t>投资者教育</w:t>
      </w:r>
      <w:bookmarkEnd w:id="238"/>
    </w:p>
    <w:p>
      <w:pPr>
        <w:spacing w:line="560" w:lineRule="exact"/>
        <w:ind w:firstLine="600" w:firstLineChars="200"/>
        <w:rPr>
          <w:rFonts w:eastAsia="方正仿宋简体"/>
          <w:sz w:val="30"/>
          <w:szCs w:val="30"/>
        </w:rPr>
      </w:pPr>
      <w:r>
        <w:rPr>
          <w:rFonts w:eastAsia="方正仿宋简体"/>
          <w:sz w:val="30"/>
          <w:szCs w:val="30"/>
        </w:rPr>
        <w:t>股票期权业务投资者教育工作的目的是使客户掌握股票期权业务知识、交易规则，了解股票期权业务风险，树立正确的投资理念，理性参与股票期权交易，增强风险防范意识，依法维护自身权益，自觉维护市场秩序，促进股票期权市场的规范发展。</w:t>
      </w:r>
    </w:p>
    <w:p>
      <w:pPr>
        <w:keepNext/>
        <w:keepLines/>
        <w:numPr>
          <w:ilvl w:val="0"/>
          <w:numId w:val="117"/>
        </w:numPr>
        <w:spacing w:line="560" w:lineRule="exact"/>
        <w:ind w:left="0" w:firstLine="601" w:firstLineChars="200"/>
        <w:outlineLvl w:val="2"/>
        <w:rPr>
          <w:rFonts w:eastAsia="方正仿宋简体"/>
          <w:b/>
          <w:sz w:val="30"/>
          <w:szCs w:val="30"/>
        </w:rPr>
      </w:pPr>
      <w:r>
        <w:rPr>
          <w:rFonts w:eastAsia="方正仿宋简体"/>
          <w:b/>
          <w:sz w:val="30"/>
          <w:szCs w:val="30"/>
        </w:rPr>
        <w:t>投资者教育工作内容</w:t>
      </w:r>
    </w:p>
    <w:p>
      <w:pPr>
        <w:spacing w:line="560" w:lineRule="exact"/>
        <w:ind w:firstLine="600" w:firstLineChars="200"/>
        <w:rPr>
          <w:rFonts w:eastAsia="方正仿宋简体"/>
          <w:sz w:val="30"/>
          <w:szCs w:val="30"/>
        </w:rPr>
      </w:pPr>
      <w:r>
        <w:rPr>
          <w:rFonts w:eastAsia="方正仿宋简体"/>
          <w:sz w:val="30"/>
          <w:szCs w:val="30"/>
        </w:rPr>
        <w:t>股票期权业务投资者教育的主要内容包括股票期权业务基础知识、证券现货基础知识、相关法律法规、股票期权业务规则、股票期权业务风险、投资者适当性管理标准、股票期权经纪合同的主要条款、股票期权开户流程等。</w:t>
      </w:r>
    </w:p>
    <w:p>
      <w:pPr>
        <w:keepNext/>
        <w:keepLines/>
        <w:numPr>
          <w:ilvl w:val="0"/>
          <w:numId w:val="117"/>
        </w:numPr>
        <w:spacing w:line="560" w:lineRule="exact"/>
        <w:ind w:left="0" w:firstLine="601" w:firstLineChars="200"/>
        <w:outlineLvl w:val="2"/>
        <w:rPr>
          <w:rFonts w:eastAsia="方正仿宋简体"/>
          <w:b/>
          <w:sz w:val="30"/>
          <w:szCs w:val="30"/>
        </w:rPr>
      </w:pPr>
      <w:r>
        <w:rPr>
          <w:rFonts w:eastAsia="方正仿宋简体"/>
          <w:b/>
          <w:sz w:val="30"/>
          <w:szCs w:val="30"/>
        </w:rPr>
        <w:t>投资者教育工作要求及工作形式</w:t>
      </w:r>
    </w:p>
    <w:p>
      <w:pPr>
        <w:numPr>
          <w:ilvl w:val="2"/>
          <w:numId w:val="118"/>
        </w:numPr>
        <w:spacing w:line="560" w:lineRule="exact"/>
        <w:ind w:left="0" w:firstLine="600" w:firstLineChars="200"/>
        <w:rPr>
          <w:rFonts w:eastAsia="方正仿宋简体"/>
          <w:sz w:val="30"/>
          <w:szCs w:val="30"/>
        </w:rPr>
      </w:pPr>
      <w:r>
        <w:rPr>
          <w:rFonts w:eastAsia="方正仿宋简体"/>
          <w:sz w:val="30"/>
          <w:szCs w:val="30"/>
        </w:rPr>
        <w:t>股票期权经纪业务部门应制定本公司股票期权投资者教育工作制度，设置股票期权投资者教育专岗，制定并落实股票期权投资者教育工作方案的各项内容。股票期权经纪业务部门可以采取如下形式开展投资者教育活动：集中授课、制作和发放投资者教育材料、设置公司网站投资者教育专栏、利用行情交易系统等揭示股票期权交易风险、组织开展股票期权模拟交易、与监管部门及宣传机构等合作开展投资者教育活动等。</w:t>
      </w:r>
    </w:p>
    <w:p>
      <w:pPr>
        <w:spacing w:line="560" w:lineRule="exact"/>
        <w:ind w:firstLine="600" w:firstLineChars="200"/>
        <w:rPr>
          <w:rFonts w:eastAsia="方正仿宋简体"/>
          <w:sz w:val="30"/>
          <w:szCs w:val="30"/>
        </w:rPr>
      </w:pPr>
      <w:r>
        <w:rPr>
          <w:rFonts w:eastAsia="方正仿宋简体"/>
          <w:sz w:val="30"/>
          <w:szCs w:val="30"/>
        </w:rPr>
        <w:t>期货公司应当在公司网站建立与本所期权子网站(http:// http://www.szse.cn/option/)的链接，并根据需要或本所要求，及时向客户发布本所提供的有关股票期权投资者教育的资料。建议期货公司有效利用微信、微博等新媒体开展股票期权投教工作，比如设立微信公众号、服务号等。</w:t>
      </w:r>
    </w:p>
    <w:p>
      <w:pPr>
        <w:numPr>
          <w:ilvl w:val="2"/>
          <w:numId w:val="118"/>
        </w:numPr>
        <w:spacing w:line="560" w:lineRule="exact"/>
        <w:ind w:left="0" w:firstLine="600" w:firstLineChars="200"/>
        <w:rPr>
          <w:rFonts w:eastAsia="方正仿宋简体"/>
          <w:sz w:val="30"/>
          <w:szCs w:val="30"/>
        </w:rPr>
      </w:pPr>
      <w:r>
        <w:rPr>
          <w:rFonts w:eastAsia="方正仿宋简体"/>
          <w:sz w:val="30"/>
          <w:szCs w:val="30"/>
        </w:rPr>
        <w:t>分支机构在总部统一部署下开展股票期权投资者教育工作，也可根据自身实际情况，适时开展投资者教育工作，形式包括集中授课、分发股票期权业务投资者教育资料、设立股票期权业务投资者教育专栏、组织客户参加股票期权模拟交易等。</w:t>
      </w:r>
    </w:p>
    <w:p>
      <w:pPr>
        <w:spacing w:line="560" w:lineRule="exact"/>
        <w:ind w:firstLine="600" w:firstLineChars="200"/>
        <w:rPr>
          <w:rFonts w:eastAsia="方正仿宋简体"/>
          <w:sz w:val="30"/>
          <w:szCs w:val="30"/>
        </w:rPr>
      </w:pPr>
      <w:r>
        <w:rPr>
          <w:rFonts w:eastAsia="方正仿宋简体"/>
          <w:sz w:val="30"/>
          <w:szCs w:val="30"/>
        </w:rPr>
        <w:t>开展股票期权业务的分支机构应当在营业场所设置股票期权业务宣传专栏，展示内容可以包括：股票期权风险揭示书、股票期权业务法律及行政法规知识、证券现货基础知识、股票期权业务基础知识、股票期权风险收益特点、股票期权交易流程、股票期权知识测试流程及安排等。</w:t>
      </w:r>
    </w:p>
    <w:p>
      <w:pPr>
        <w:spacing w:line="560" w:lineRule="exact"/>
        <w:ind w:firstLine="600" w:firstLineChars="200"/>
        <w:rPr>
          <w:rFonts w:eastAsia="方正仿宋简体"/>
          <w:sz w:val="30"/>
          <w:szCs w:val="30"/>
        </w:rPr>
      </w:pPr>
      <w:r>
        <w:rPr>
          <w:rFonts w:eastAsia="方正仿宋简体"/>
          <w:sz w:val="30"/>
          <w:szCs w:val="30"/>
        </w:rPr>
        <w:t>分支机构应当配备具备股票期权业务相关知识的工作人员，持续开展股票期权投资者培训，向申请开展股票期权业务的客户讲解股票期权业务规则、合同主要条款并提示交易风险，向客户告知股票期权标的证券名单、开仓保证金比例、维持保证金比例、股票期权交易合约收费标准等，并及时为客户解答常见问题。</w:t>
      </w:r>
    </w:p>
    <w:p>
      <w:pPr>
        <w:numPr>
          <w:ilvl w:val="0"/>
          <w:numId w:val="116"/>
        </w:numPr>
        <w:spacing w:line="560" w:lineRule="exact"/>
        <w:ind w:left="0" w:firstLine="601" w:firstLineChars="200"/>
        <w:outlineLvl w:val="1"/>
        <w:rPr>
          <w:rFonts w:eastAsia="方正仿宋简体"/>
          <w:b/>
          <w:bCs/>
          <w:kern w:val="0"/>
          <w:sz w:val="30"/>
          <w:szCs w:val="30"/>
          <w:lang w:val="zh-CN" w:eastAsia="zh-CN"/>
        </w:rPr>
      </w:pPr>
      <w:bookmarkStart w:id="239" w:name="_Toc25842050"/>
      <w:r>
        <w:rPr>
          <w:rFonts w:eastAsia="方正仿宋简体"/>
          <w:b/>
          <w:bCs/>
          <w:kern w:val="0"/>
          <w:sz w:val="30"/>
          <w:szCs w:val="30"/>
          <w:lang w:val="zh-CN" w:eastAsia="zh-CN"/>
        </w:rPr>
        <w:t>客户投诉处理</w:t>
      </w:r>
      <w:bookmarkEnd w:id="239"/>
    </w:p>
    <w:p>
      <w:pPr>
        <w:spacing w:line="560" w:lineRule="exact"/>
        <w:ind w:firstLine="600" w:firstLineChars="200"/>
        <w:rPr>
          <w:rFonts w:eastAsia="方正仿宋简体"/>
          <w:sz w:val="30"/>
          <w:szCs w:val="30"/>
        </w:rPr>
      </w:pPr>
      <w:r>
        <w:rPr>
          <w:rFonts w:eastAsia="方正仿宋简体"/>
          <w:sz w:val="30"/>
          <w:szCs w:val="30"/>
        </w:rPr>
        <w:t>为保护投资者合法权益，及时消除或化解客户因股票期权业务而发生的矛盾纠纷，保证股票期权业务有序开展。期货公司应当建立健全投诉处理制度，通过官方网站、APP、营业场所的投资者园地或公告栏等多种渠道对外公示投诉受理渠道和处理流程。期货公司应当建立投诉处理书面或电子档案，保存期限不少于3年。</w:t>
      </w:r>
    </w:p>
    <w:p>
      <w:pPr>
        <w:keepNext w:val="0"/>
        <w:keepLines w:val="0"/>
        <w:pageBreakBefore w:val="0"/>
        <w:widowControl w:val="0"/>
        <w:numPr>
          <w:ilvl w:val="0"/>
          <w:numId w:val="111"/>
        </w:numPr>
        <w:kinsoku/>
        <w:wordWrap/>
        <w:overflowPunct/>
        <w:topLinePunct w:val="0"/>
        <w:autoSpaceDE/>
        <w:autoSpaceDN/>
        <w:bidi w:val="0"/>
        <w:adjustRightInd/>
        <w:snapToGrid/>
        <w:spacing w:line="560" w:lineRule="exact"/>
        <w:ind w:left="0" w:firstLine="0" w:firstLineChars="0"/>
        <w:jc w:val="center"/>
        <w:textAlignment w:val="auto"/>
        <w:outlineLvl w:val="0"/>
        <w:rPr>
          <w:rFonts w:ascii="黑体" w:hAnsi="黑体" w:eastAsia="黑体"/>
          <w:bCs/>
          <w:sz w:val="30"/>
          <w:szCs w:val="30"/>
        </w:rPr>
      </w:pPr>
      <w:bookmarkStart w:id="240" w:name="_Toc408301006"/>
      <w:r>
        <w:rPr>
          <w:rFonts w:eastAsia="方正仿宋简体"/>
          <w:b/>
          <w:bCs/>
          <w:sz w:val="30"/>
          <w:szCs w:val="30"/>
        </w:rPr>
        <w:br w:type="page"/>
      </w:r>
      <w:bookmarkStart w:id="241" w:name="_Toc25842051"/>
      <w:r>
        <w:rPr>
          <w:rFonts w:ascii="黑体" w:hAnsi="黑体" w:eastAsia="黑体"/>
          <w:bCs/>
          <w:sz w:val="30"/>
          <w:szCs w:val="30"/>
        </w:rPr>
        <w:t>股票期权介绍业务</w:t>
      </w:r>
      <w:bookmarkEnd w:id="240"/>
      <w:bookmarkEnd w:id="241"/>
    </w:p>
    <w:p>
      <w:pPr>
        <w:spacing w:line="560" w:lineRule="exact"/>
        <w:ind w:firstLine="600" w:firstLineChars="200"/>
        <w:rPr>
          <w:rFonts w:eastAsia="方正仿宋简体"/>
          <w:sz w:val="30"/>
          <w:szCs w:val="30"/>
        </w:rPr>
      </w:pPr>
      <w:r>
        <w:rPr>
          <w:rFonts w:eastAsia="方正仿宋简体"/>
          <w:sz w:val="30"/>
          <w:szCs w:val="30"/>
        </w:rPr>
        <w:t>期货公司可以接受一家或者多家证券公司或期货公司的委托，为其介绍客户参与股票期权交易，并提供其他相关服务。</w:t>
      </w:r>
    </w:p>
    <w:p>
      <w:pPr>
        <w:numPr>
          <w:ilvl w:val="0"/>
          <w:numId w:val="119"/>
        </w:numPr>
        <w:spacing w:line="560" w:lineRule="exact"/>
        <w:ind w:left="0" w:firstLine="601" w:firstLineChars="200"/>
        <w:outlineLvl w:val="1"/>
        <w:rPr>
          <w:rFonts w:eastAsia="方正仿宋简体"/>
          <w:b/>
          <w:bCs/>
          <w:kern w:val="0"/>
          <w:sz w:val="30"/>
          <w:szCs w:val="30"/>
          <w:lang w:val="zh-CN" w:eastAsia="zh-CN"/>
        </w:rPr>
      </w:pPr>
      <w:bookmarkStart w:id="242" w:name="_Toc25842052"/>
      <w:bookmarkStart w:id="243" w:name="_Toc408743800"/>
      <w:r>
        <w:rPr>
          <w:rFonts w:eastAsia="方正仿宋简体"/>
          <w:b/>
          <w:bCs/>
          <w:kern w:val="0"/>
          <w:sz w:val="30"/>
          <w:szCs w:val="30"/>
          <w:lang w:val="zh-CN" w:eastAsia="zh-CN"/>
        </w:rPr>
        <w:t>基本要求</w:t>
      </w:r>
      <w:bookmarkEnd w:id="242"/>
      <w:bookmarkEnd w:id="243"/>
    </w:p>
    <w:p>
      <w:pPr>
        <w:widowControl/>
        <w:numPr>
          <w:ilvl w:val="1"/>
          <w:numId w:val="120"/>
        </w:numPr>
        <w:spacing w:line="560" w:lineRule="exact"/>
        <w:ind w:left="0" w:firstLine="600" w:firstLineChars="200"/>
        <w:rPr>
          <w:rFonts w:eastAsia="方正仿宋简体"/>
          <w:bCs/>
          <w:sz w:val="30"/>
          <w:szCs w:val="30"/>
        </w:rPr>
      </w:pPr>
      <w:r>
        <w:rPr>
          <w:rFonts w:eastAsia="方正仿宋简体"/>
          <w:bCs/>
          <w:sz w:val="30"/>
          <w:szCs w:val="30"/>
        </w:rPr>
        <w:t>完成向公司住所的中国证监会派出机构备案；</w:t>
      </w:r>
    </w:p>
    <w:p>
      <w:pPr>
        <w:widowControl/>
        <w:numPr>
          <w:ilvl w:val="1"/>
          <w:numId w:val="120"/>
        </w:numPr>
        <w:spacing w:line="560" w:lineRule="exact"/>
        <w:ind w:left="0" w:firstLine="600" w:firstLineChars="200"/>
        <w:rPr>
          <w:rFonts w:eastAsia="方正仿宋简体"/>
          <w:bCs/>
          <w:sz w:val="30"/>
          <w:szCs w:val="30"/>
        </w:rPr>
      </w:pPr>
      <w:r>
        <w:rPr>
          <w:rFonts w:eastAsia="方正仿宋简体"/>
          <w:bCs/>
          <w:sz w:val="30"/>
          <w:szCs w:val="30"/>
        </w:rPr>
        <w:t>配备必要的业务人员，公司总部至少有5名、拟开展介绍业务的营业部至少有2名具有证券从业人员资格的业务人员；</w:t>
      </w:r>
    </w:p>
    <w:p>
      <w:pPr>
        <w:widowControl/>
        <w:numPr>
          <w:ilvl w:val="1"/>
          <w:numId w:val="120"/>
        </w:numPr>
        <w:spacing w:line="560" w:lineRule="exact"/>
        <w:ind w:left="0" w:firstLine="600" w:firstLineChars="200"/>
        <w:rPr>
          <w:rFonts w:eastAsia="方正仿宋简体"/>
          <w:bCs/>
          <w:sz w:val="30"/>
          <w:szCs w:val="30"/>
        </w:rPr>
      </w:pPr>
      <w:r>
        <w:rPr>
          <w:rFonts w:eastAsia="方正仿宋简体"/>
          <w:bCs/>
          <w:sz w:val="30"/>
          <w:szCs w:val="30"/>
        </w:rPr>
        <w:t>已按规定建立健全与介绍业务相关的业务规则、内部控制、风险隔离及合规检查等制度；</w:t>
      </w:r>
    </w:p>
    <w:p>
      <w:pPr>
        <w:widowControl/>
        <w:numPr>
          <w:ilvl w:val="1"/>
          <w:numId w:val="120"/>
        </w:numPr>
        <w:spacing w:line="560" w:lineRule="exact"/>
        <w:ind w:left="0" w:firstLine="600" w:firstLineChars="200"/>
        <w:rPr>
          <w:rFonts w:eastAsia="方正仿宋简体"/>
          <w:bCs/>
          <w:sz w:val="30"/>
          <w:szCs w:val="30"/>
        </w:rPr>
      </w:pPr>
      <w:r>
        <w:rPr>
          <w:rFonts w:eastAsia="方正仿宋简体"/>
          <w:bCs/>
          <w:sz w:val="30"/>
          <w:szCs w:val="30"/>
        </w:rPr>
        <w:t>期货公司与证券公司或其他期货公司签订的书面介绍业务协议内容完整；</w:t>
      </w:r>
    </w:p>
    <w:p>
      <w:pPr>
        <w:numPr>
          <w:ilvl w:val="0"/>
          <w:numId w:val="119"/>
        </w:numPr>
        <w:spacing w:line="560" w:lineRule="exact"/>
        <w:ind w:left="0" w:firstLine="601" w:firstLineChars="200"/>
        <w:outlineLvl w:val="1"/>
        <w:rPr>
          <w:rFonts w:eastAsia="方正仿宋简体"/>
          <w:b/>
          <w:bCs/>
          <w:kern w:val="0"/>
          <w:sz w:val="30"/>
          <w:szCs w:val="30"/>
          <w:lang w:val="zh-CN" w:eastAsia="zh-CN"/>
        </w:rPr>
      </w:pPr>
      <w:bookmarkStart w:id="244" w:name="_Toc408743801"/>
      <w:bookmarkStart w:id="245" w:name="_Toc25842053"/>
      <w:r>
        <w:rPr>
          <w:rFonts w:eastAsia="方正仿宋简体"/>
          <w:b/>
          <w:bCs/>
          <w:kern w:val="0"/>
          <w:sz w:val="30"/>
          <w:szCs w:val="30"/>
          <w:lang w:val="zh-CN" w:eastAsia="zh-CN"/>
        </w:rPr>
        <w:t>介绍业务协议</w:t>
      </w:r>
      <w:bookmarkEnd w:id="244"/>
      <w:bookmarkEnd w:id="245"/>
    </w:p>
    <w:p>
      <w:pPr>
        <w:widowControl/>
        <w:spacing w:line="560" w:lineRule="exact"/>
        <w:ind w:firstLine="600" w:firstLineChars="200"/>
        <w:rPr>
          <w:rFonts w:eastAsia="方正仿宋简体"/>
          <w:bCs/>
          <w:sz w:val="30"/>
          <w:szCs w:val="30"/>
        </w:rPr>
      </w:pPr>
      <w:r>
        <w:rPr>
          <w:rFonts w:eastAsia="方正仿宋简体"/>
          <w:bCs/>
          <w:sz w:val="30"/>
          <w:szCs w:val="30"/>
        </w:rPr>
        <w:t>期货公司从事中间介绍业务，应当签订书面介绍业务协议，期货公司与证券公司或其他期货公司签订的书面介绍业务协议内容应当至少包括以下事项：</w:t>
      </w:r>
    </w:p>
    <w:p>
      <w:pPr>
        <w:widowControl/>
        <w:numPr>
          <w:ilvl w:val="0"/>
          <w:numId w:val="121"/>
        </w:numPr>
        <w:spacing w:line="560" w:lineRule="exact"/>
        <w:ind w:left="0" w:firstLine="600" w:firstLineChars="200"/>
        <w:rPr>
          <w:rFonts w:eastAsia="方正仿宋简体"/>
          <w:bCs/>
          <w:sz w:val="30"/>
          <w:szCs w:val="30"/>
        </w:rPr>
      </w:pPr>
      <w:r>
        <w:rPr>
          <w:rFonts w:eastAsia="方正仿宋简体"/>
          <w:bCs/>
          <w:sz w:val="30"/>
          <w:szCs w:val="30"/>
        </w:rPr>
        <w:t>介绍业务的范围和内容；</w:t>
      </w:r>
    </w:p>
    <w:p>
      <w:pPr>
        <w:widowControl/>
        <w:numPr>
          <w:ilvl w:val="0"/>
          <w:numId w:val="121"/>
        </w:numPr>
        <w:spacing w:line="560" w:lineRule="exact"/>
        <w:ind w:left="0" w:firstLine="600" w:firstLineChars="200"/>
        <w:rPr>
          <w:rFonts w:eastAsia="方正仿宋简体"/>
          <w:bCs/>
          <w:sz w:val="30"/>
          <w:szCs w:val="30"/>
        </w:rPr>
      </w:pPr>
      <w:r>
        <w:rPr>
          <w:rFonts w:eastAsia="方正仿宋简体"/>
          <w:bCs/>
          <w:sz w:val="30"/>
          <w:szCs w:val="30"/>
        </w:rPr>
        <w:t>是否提供协助办理股票期权开户等服务；</w:t>
      </w:r>
    </w:p>
    <w:p>
      <w:pPr>
        <w:widowControl/>
        <w:numPr>
          <w:ilvl w:val="0"/>
          <w:numId w:val="121"/>
        </w:numPr>
        <w:spacing w:line="560" w:lineRule="exact"/>
        <w:ind w:left="0" w:firstLine="600" w:firstLineChars="200"/>
        <w:rPr>
          <w:rFonts w:eastAsia="方正仿宋简体"/>
          <w:bCs/>
          <w:sz w:val="30"/>
          <w:szCs w:val="30"/>
        </w:rPr>
      </w:pPr>
      <w:r>
        <w:rPr>
          <w:rFonts w:eastAsia="方正仿宋简体"/>
          <w:bCs/>
          <w:sz w:val="30"/>
          <w:szCs w:val="30"/>
        </w:rPr>
        <w:t>介绍业务如何对接和管理；</w:t>
      </w:r>
    </w:p>
    <w:p>
      <w:pPr>
        <w:widowControl/>
        <w:numPr>
          <w:ilvl w:val="0"/>
          <w:numId w:val="121"/>
        </w:numPr>
        <w:spacing w:line="560" w:lineRule="exact"/>
        <w:ind w:left="0" w:firstLine="600" w:firstLineChars="200"/>
        <w:rPr>
          <w:rFonts w:eastAsia="方正仿宋简体"/>
          <w:bCs/>
          <w:sz w:val="30"/>
          <w:szCs w:val="30"/>
        </w:rPr>
      </w:pPr>
      <w:r>
        <w:rPr>
          <w:rFonts w:eastAsia="方正仿宋简体"/>
          <w:bCs/>
          <w:sz w:val="30"/>
          <w:szCs w:val="30"/>
        </w:rPr>
        <w:t>客户投诉的接待处理方式；</w:t>
      </w:r>
    </w:p>
    <w:p>
      <w:pPr>
        <w:widowControl/>
        <w:numPr>
          <w:ilvl w:val="0"/>
          <w:numId w:val="121"/>
        </w:numPr>
        <w:spacing w:line="560" w:lineRule="exact"/>
        <w:ind w:left="0" w:firstLine="600" w:firstLineChars="200"/>
        <w:rPr>
          <w:rFonts w:eastAsia="方正仿宋简体"/>
          <w:bCs/>
          <w:sz w:val="30"/>
          <w:szCs w:val="30"/>
        </w:rPr>
      </w:pPr>
      <w:r>
        <w:rPr>
          <w:rFonts w:eastAsia="方正仿宋简体"/>
          <w:bCs/>
          <w:sz w:val="30"/>
          <w:szCs w:val="30"/>
        </w:rPr>
        <w:t>报酬支付及相关费用的分担方式；</w:t>
      </w:r>
    </w:p>
    <w:p>
      <w:pPr>
        <w:widowControl/>
        <w:numPr>
          <w:ilvl w:val="0"/>
          <w:numId w:val="121"/>
        </w:numPr>
        <w:spacing w:line="560" w:lineRule="exact"/>
        <w:ind w:left="0" w:firstLine="600" w:firstLineChars="200"/>
        <w:rPr>
          <w:rFonts w:eastAsia="方正仿宋简体"/>
          <w:bCs/>
          <w:sz w:val="30"/>
          <w:szCs w:val="30"/>
        </w:rPr>
      </w:pPr>
      <w:r>
        <w:rPr>
          <w:rFonts w:eastAsia="方正仿宋简体"/>
          <w:bCs/>
          <w:sz w:val="30"/>
          <w:szCs w:val="30"/>
        </w:rPr>
        <w:t>介绍业务的责任界定和追究机制。</w:t>
      </w:r>
    </w:p>
    <w:p>
      <w:pPr>
        <w:widowControl/>
        <w:spacing w:line="560" w:lineRule="exact"/>
        <w:ind w:firstLine="600" w:firstLineChars="200"/>
        <w:rPr>
          <w:rFonts w:eastAsia="方正仿宋简体"/>
          <w:bCs/>
          <w:sz w:val="30"/>
          <w:szCs w:val="30"/>
        </w:rPr>
      </w:pPr>
      <w:r>
        <w:rPr>
          <w:rFonts w:eastAsia="方正仿宋简体"/>
          <w:kern w:val="0"/>
          <w:sz w:val="30"/>
          <w:szCs w:val="30"/>
        </w:rPr>
        <w:t>期货公司按照介绍业务协议对证券公司或其他期货公司承担相应的受托责任。</w:t>
      </w:r>
    </w:p>
    <w:p>
      <w:pPr>
        <w:widowControl/>
        <w:spacing w:line="560" w:lineRule="exact"/>
        <w:ind w:firstLine="600" w:firstLineChars="200"/>
        <w:rPr>
          <w:rFonts w:eastAsia="方正仿宋简体"/>
          <w:bCs/>
          <w:sz w:val="30"/>
          <w:szCs w:val="30"/>
        </w:rPr>
      </w:pPr>
      <w:r>
        <w:rPr>
          <w:rFonts w:eastAsia="方正仿宋简体"/>
          <w:bCs/>
          <w:sz w:val="30"/>
          <w:szCs w:val="30"/>
        </w:rPr>
        <w:t>双方可以在介绍业务协议中约定前款规定以外的其他事项，但不得损害客户的合法权益。</w:t>
      </w:r>
    </w:p>
    <w:p>
      <w:pPr>
        <w:widowControl/>
        <w:spacing w:line="560" w:lineRule="exact"/>
        <w:ind w:firstLine="600" w:firstLineChars="200"/>
        <w:rPr>
          <w:rFonts w:eastAsia="方正仿宋简体"/>
          <w:bCs/>
          <w:sz w:val="30"/>
          <w:szCs w:val="30"/>
        </w:rPr>
      </w:pPr>
      <w:r>
        <w:rPr>
          <w:rFonts w:eastAsia="方正仿宋简体"/>
          <w:bCs/>
          <w:sz w:val="30"/>
          <w:szCs w:val="30"/>
        </w:rPr>
        <w:t>期货公司按照介绍业务协议对证券公司或其他期货公司承担介绍业务受托责任。基于股票期权业务经纪合同的责任由证券公司或其他期货公司直接对客户承担。</w:t>
      </w:r>
    </w:p>
    <w:p>
      <w:pPr>
        <w:numPr>
          <w:ilvl w:val="0"/>
          <w:numId w:val="119"/>
        </w:numPr>
        <w:spacing w:line="560" w:lineRule="exact"/>
        <w:ind w:left="0" w:firstLine="601" w:firstLineChars="200"/>
        <w:outlineLvl w:val="1"/>
        <w:rPr>
          <w:rFonts w:eastAsia="方正仿宋简体"/>
          <w:b/>
          <w:bCs/>
          <w:kern w:val="0"/>
          <w:sz w:val="30"/>
          <w:szCs w:val="30"/>
          <w:lang w:val="zh-CN" w:eastAsia="zh-CN"/>
        </w:rPr>
      </w:pPr>
      <w:bookmarkStart w:id="246" w:name="_Toc25842054"/>
      <w:bookmarkStart w:id="247" w:name="_Toc408743802"/>
      <w:r>
        <w:rPr>
          <w:rFonts w:eastAsia="方正仿宋简体"/>
          <w:b/>
          <w:bCs/>
          <w:kern w:val="0"/>
          <w:sz w:val="30"/>
          <w:szCs w:val="30"/>
          <w:lang w:val="zh-CN" w:eastAsia="zh-CN"/>
        </w:rPr>
        <w:t>介绍业务规则</w:t>
      </w:r>
      <w:bookmarkEnd w:id="246"/>
      <w:bookmarkEnd w:id="247"/>
    </w:p>
    <w:p>
      <w:pPr>
        <w:widowControl/>
        <w:spacing w:line="560" w:lineRule="exact"/>
        <w:ind w:firstLine="600" w:firstLineChars="200"/>
        <w:rPr>
          <w:rFonts w:eastAsia="方正仿宋简体"/>
          <w:bCs/>
          <w:sz w:val="30"/>
          <w:szCs w:val="30"/>
        </w:rPr>
      </w:pPr>
      <w:r>
        <w:rPr>
          <w:rFonts w:eastAsia="方正仿宋简体"/>
          <w:bCs/>
          <w:sz w:val="30"/>
          <w:szCs w:val="30"/>
        </w:rPr>
        <w:t>期货公司不得代理客户进行股票期权的交易、结算，不得代客户接收、保管或者修改交易密码，也不得利用客户的衍生品合约账户、股票期权保证金账户进行股票期权交易；不得代乙方、客户收付股票期权保证金；不得直接或者间接为客户从事股票期权交易提供融资或担保。</w:t>
      </w:r>
    </w:p>
    <w:p>
      <w:pPr>
        <w:widowControl/>
        <w:spacing w:line="560" w:lineRule="exact"/>
        <w:ind w:firstLine="600" w:firstLineChars="200"/>
        <w:rPr>
          <w:rFonts w:eastAsia="方正仿宋简体"/>
          <w:bCs/>
          <w:sz w:val="30"/>
          <w:szCs w:val="30"/>
        </w:rPr>
      </w:pPr>
      <w:r>
        <w:rPr>
          <w:rFonts w:eastAsia="方正仿宋简体"/>
          <w:bCs/>
          <w:sz w:val="30"/>
          <w:szCs w:val="30"/>
        </w:rPr>
        <w:t>期货公司具有相应的人员、经营场所、设备和信息系统，能够为介绍业务提供必要的条件。</w:t>
      </w:r>
    </w:p>
    <w:p>
      <w:pPr>
        <w:widowControl/>
        <w:spacing w:line="560" w:lineRule="exact"/>
        <w:ind w:firstLine="600" w:firstLineChars="200"/>
        <w:rPr>
          <w:rFonts w:eastAsia="方正仿宋简体"/>
          <w:bCs/>
          <w:sz w:val="30"/>
          <w:szCs w:val="30"/>
        </w:rPr>
      </w:pPr>
      <w:r>
        <w:rPr>
          <w:rFonts w:eastAsia="方正仿宋简体"/>
          <w:bCs/>
          <w:sz w:val="30"/>
          <w:szCs w:val="30"/>
        </w:rPr>
        <w:t>期货公司为证券公司或其他期货公司介绍客户时，应当向客户明示其与相关证券公司或期货公司的介绍业务委托关系。</w:t>
      </w:r>
    </w:p>
    <w:p>
      <w:pPr>
        <w:widowControl/>
        <w:spacing w:line="560" w:lineRule="exact"/>
        <w:ind w:firstLine="600" w:firstLineChars="200"/>
        <w:rPr>
          <w:rFonts w:eastAsia="方正仿宋简体"/>
          <w:bCs/>
          <w:sz w:val="30"/>
          <w:szCs w:val="30"/>
        </w:rPr>
      </w:pPr>
      <w:r>
        <w:rPr>
          <w:rFonts w:eastAsia="方正仿宋简体"/>
          <w:bCs/>
          <w:sz w:val="30"/>
          <w:szCs w:val="30"/>
        </w:rPr>
        <w:t>期货公司应当按照合规、审慎经营的原则，制定并有效执行介绍业务规则、内部控制、合规检查等制度，确保有效防范和隔离介绍业务与其他业务的风险。</w:t>
      </w:r>
    </w:p>
    <w:p>
      <w:pPr>
        <w:widowControl/>
        <w:spacing w:line="560" w:lineRule="exact"/>
        <w:ind w:firstLine="600" w:firstLineChars="200"/>
        <w:rPr>
          <w:rFonts w:eastAsia="方正仿宋简体"/>
          <w:bCs/>
          <w:sz w:val="30"/>
          <w:szCs w:val="30"/>
        </w:rPr>
      </w:pPr>
      <w:r>
        <w:rPr>
          <w:rFonts w:eastAsia="方正仿宋简体"/>
          <w:bCs/>
          <w:sz w:val="30"/>
          <w:szCs w:val="30"/>
        </w:rPr>
        <w:t>期货公司在开发客户过程中，应当向客户解释股票期权交易的方式、流程，充分揭示股票期权交易风险，并不得向客户作获利保证、共担风险等承诺，不得虚假宣传误导客户。</w:t>
      </w:r>
    </w:p>
    <w:p>
      <w:pPr>
        <w:widowControl/>
        <w:spacing w:line="560" w:lineRule="exact"/>
        <w:ind w:firstLine="600" w:firstLineChars="200"/>
        <w:rPr>
          <w:rFonts w:eastAsia="方正仿宋简体"/>
          <w:bCs/>
          <w:sz w:val="30"/>
          <w:szCs w:val="30"/>
        </w:rPr>
      </w:pPr>
      <w:r>
        <w:rPr>
          <w:rFonts w:eastAsia="方正仿宋简体"/>
          <w:bCs/>
          <w:sz w:val="30"/>
          <w:szCs w:val="30"/>
        </w:rPr>
        <w:t>期货公司应当建立并有效执行协助开户制度，对客户的开户资料和身份真实性等进行审查，向客户充分揭示股票期权交易风险，解释期货公司、客户、证券公司或其他期货公司三者之间的权利义务关系。介绍业务双方对客户的股票期权投资者适当性管理承担同等责任和义务。</w:t>
      </w:r>
    </w:p>
    <w:p>
      <w:pPr>
        <w:widowControl/>
        <w:spacing w:line="560" w:lineRule="exact"/>
        <w:ind w:firstLine="600" w:firstLineChars="200"/>
        <w:rPr>
          <w:rFonts w:eastAsia="方正仿宋简体"/>
          <w:bCs/>
          <w:sz w:val="30"/>
          <w:szCs w:val="30"/>
        </w:rPr>
      </w:pPr>
      <w:r>
        <w:rPr>
          <w:rFonts w:eastAsia="方正仿宋简体"/>
          <w:bCs/>
          <w:sz w:val="30"/>
          <w:szCs w:val="30"/>
        </w:rPr>
        <w:t>期货公司应当在营业场所妥善保存有关介绍业务的凭证、单据、合同等资料。期货公司保存上述文件资料的期限不得少于5年。</w:t>
      </w:r>
    </w:p>
    <w:p>
      <w:pPr>
        <w:spacing w:before="156" w:beforeLines="50" w:after="156" w:afterLines="50"/>
        <w:outlineLvl w:val="0"/>
        <w:rPr>
          <w:rFonts w:hint="eastAsia" w:eastAsia="方正仿宋简体"/>
          <w:sz w:val="28"/>
          <w:szCs w:val="28"/>
          <w:lang w:eastAsia="zh-CN"/>
        </w:rPr>
      </w:pPr>
      <w:bookmarkStart w:id="248" w:name="_Toc406436507"/>
      <w:bookmarkStart w:id="249" w:name="_Toc406438932"/>
      <w:bookmarkStart w:id="250" w:name="_Toc406438956"/>
      <w:bookmarkStart w:id="251" w:name="_Toc406439141"/>
      <w:r>
        <w:rPr>
          <w:rFonts w:ascii="Calibri" w:hAnsi="Calibri"/>
          <w:szCs w:val="22"/>
        </w:rPr>
        <w:br w:type="page"/>
      </w:r>
      <w:bookmarkStart w:id="252" w:name="_Toc406438967"/>
      <w:bookmarkStart w:id="253" w:name="_Toc408301007"/>
      <w:bookmarkStart w:id="254" w:name="_Toc406439152"/>
      <w:bookmarkStart w:id="255" w:name="_Toc406436519"/>
      <w:bookmarkStart w:id="256" w:name="_Toc406438989"/>
      <w:bookmarkStart w:id="257" w:name="_Toc406438945"/>
      <w:bookmarkStart w:id="258" w:name="_Toc25842055"/>
      <w:r>
        <w:rPr>
          <w:rFonts w:eastAsia="方正仿宋简体"/>
          <w:bCs/>
          <w:sz w:val="30"/>
          <w:szCs w:val="30"/>
        </w:rPr>
        <w:t>附件1：期货公司股票期权经纪业务人员情况表</w:t>
      </w:r>
      <w:bookmarkEnd w:id="252"/>
      <w:bookmarkEnd w:id="253"/>
      <w:bookmarkEnd w:id="254"/>
      <w:bookmarkEnd w:id="255"/>
      <w:bookmarkEnd w:id="256"/>
      <w:bookmarkEnd w:id="257"/>
      <w:bookmarkEnd w:id="258"/>
      <w:r>
        <w:rPr>
          <w:rFonts w:hint="eastAsia" w:eastAsia="方正仿宋简体"/>
          <w:bCs/>
          <w:sz w:val="30"/>
          <w:szCs w:val="30"/>
          <w:lang w:eastAsia="zh-CN"/>
        </w:rPr>
        <w:t>样表</w:t>
      </w:r>
    </w:p>
    <w:p>
      <w:pPr>
        <w:widowControl/>
        <w:jc w:val="center"/>
        <w:rPr>
          <w:rFonts w:eastAsia="方正仿宋简体"/>
          <w:b/>
          <w:sz w:val="28"/>
          <w:szCs w:val="28"/>
        </w:rPr>
      </w:pPr>
      <w:r>
        <w:rPr>
          <w:rFonts w:eastAsia="方正仿宋简体"/>
          <w:b/>
          <w:sz w:val="28"/>
          <w:szCs w:val="28"/>
        </w:rPr>
        <w:t>期货公司股票期权经纪业务人员情况表</w:t>
      </w:r>
    </w:p>
    <w:tbl>
      <w:tblPr>
        <w:tblStyle w:val="37"/>
        <w:tblW w:w="85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6"/>
        <w:gridCol w:w="567"/>
        <w:gridCol w:w="425"/>
        <w:gridCol w:w="851"/>
        <w:gridCol w:w="774"/>
        <w:gridCol w:w="501"/>
        <w:gridCol w:w="1134"/>
        <w:gridCol w:w="426"/>
        <w:gridCol w:w="23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tcBorders>
              <w:top w:val="single" w:color="auto" w:sz="4" w:space="0"/>
              <w:left w:val="single" w:color="auto" w:sz="4" w:space="0"/>
              <w:bottom w:val="single" w:color="auto" w:sz="4" w:space="0"/>
              <w:right w:val="single" w:color="auto" w:sz="4" w:space="0"/>
            </w:tcBorders>
            <w:vAlign w:val="center"/>
          </w:tcPr>
          <w:p>
            <w:pPr>
              <w:rPr>
                <w:rFonts w:eastAsia="方正仿宋简体"/>
                <w:sz w:val="20"/>
              </w:rPr>
            </w:pPr>
            <w:r>
              <w:rPr>
                <w:rFonts w:eastAsia="方正仿宋简体"/>
                <w:sz w:val="20"/>
              </w:rPr>
              <w:t>公司名称</w:t>
            </w:r>
          </w:p>
        </w:tc>
        <w:tc>
          <w:tcPr>
            <w:tcW w:w="6994" w:type="dxa"/>
            <w:gridSpan w:val="8"/>
            <w:tcBorders>
              <w:top w:val="single" w:color="auto" w:sz="4" w:space="0"/>
              <w:left w:val="single" w:color="auto" w:sz="4" w:space="0"/>
              <w:bottom w:val="single" w:color="auto" w:sz="4" w:space="0"/>
              <w:right w:val="single" w:color="auto" w:sz="4" w:space="0"/>
            </w:tcBorders>
          </w:tcPr>
          <w:p>
            <w:pPr>
              <w:rPr>
                <w:rFonts w:eastAsia="方正仿宋简体"/>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43" w:type="dxa"/>
            <w:gridSpan w:val="5"/>
            <w:tcBorders>
              <w:top w:val="single" w:color="auto" w:sz="4" w:space="0"/>
              <w:left w:val="single" w:color="auto" w:sz="4" w:space="0"/>
              <w:bottom w:val="single" w:color="auto" w:sz="4" w:space="0"/>
              <w:right w:val="single" w:color="auto" w:sz="4" w:space="0"/>
            </w:tcBorders>
            <w:vAlign w:val="center"/>
          </w:tcPr>
          <w:p>
            <w:pPr>
              <w:rPr>
                <w:rFonts w:eastAsia="方正仿宋简体"/>
                <w:sz w:val="20"/>
              </w:rPr>
            </w:pPr>
            <w:r>
              <w:rPr>
                <w:rFonts w:eastAsia="方正仿宋简体"/>
                <w:sz w:val="20"/>
              </w:rPr>
              <w:t>是否具备金融期货经纪业务资格</w:t>
            </w:r>
          </w:p>
        </w:tc>
        <w:tc>
          <w:tcPr>
            <w:tcW w:w="4377" w:type="dxa"/>
            <w:gridSpan w:val="4"/>
            <w:tcBorders>
              <w:top w:val="single" w:color="auto" w:sz="4" w:space="0"/>
              <w:left w:val="single" w:color="auto" w:sz="4" w:space="0"/>
              <w:bottom w:val="single" w:color="auto" w:sz="4" w:space="0"/>
              <w:right w:val="single" w:color="auto" w:sz="4" w:space="0"/>
            </w:tcBorders>
            <w:vAlign w:val="center"/>
          </w:tcPr>
          <w:p>
            <w:pPr>
              <w:rPr>
                <w:rFonts w:eastAsia="方正仿宋简体"/>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1526" w:type="dxa"/>
            <w:vMerge w:val="restart"/>
            <w:tcBorders>
              <w:top w:val="single" w:color="auto" w:sz="4" w:space="0"/>
              <w:left w:val="single" w:color="auto" w:sz="4" w:space="0"/>
              <w:bottom w:val="single" w:color="auto" w:sz="4" w:space="0"/>
              <w:right w:val="single" w:color="auto" w:sz="4" w:space="0"/>
            </w:tcBorders>
          </w:tcPr>
          <w:p>
            <w:pPr>
              <w:rPr>
                <w:rFonts w:eastAsia="方正仿宋简体"/>
                <w:sz w:val="20"/>
              </w:rPr>
            </w:pPr>
            <w:r>
              <w:rPr>
                <w:rFonts w:eastAsia="方正仿宋简体"/>
                <w:sz w:val="20"/>
              </w:rPr>
              <w:t>经纪业务</w:t>
            </w:r>
          </w:p>
          <w:p>
            <w:pPr>
              <w:rPr>
                <w:rFonts w:eastAsia="方正仿宋简体"/>
                <w:sz w:val="20"/>
              </w:rPr>
            </w:pPr>
            <w:r>
              <w:rPr>
                <w:rFonts w:eastAsia="方正仿宋简体"/>
                <w:sz w:val="20"/>
              </w:rPr>
              <w:t>负责人</w:t>
            </w:r>
          </w:p>
        </w:tc>
        <w:tc>
          <w:tcPr>
            <w:tcW w:w="992" w:type="dxa"/>
            <w:gridSpan w:val="2"/>
            <w:tcBorders>
              <w:top w:val="single" w:color="auto" w:sz="4" w:space="0"/>
              <w:left w:val="single" w:color="auto" w:sz="4" w:space="0"/>
              <w:bottom w:val="single" w:color="auto" w:sz="4" w:space="0"/>
              <w:right w:val="single" w:color="auto" w:sz="4" w:space="0"/>
            </w:tcBorders>
          </w:tcPr>
          <w:p>
            <w:pPr>
              <w:rPr>
                <w:rFonts w:eastAsia="方正仿宋简体"/>
                <w:sz w:val="20"/>
              </w:rPr>
            </w:pPr>
            <w:r>
              <w:rPr>
                <w:rFonts w:eastAsia="方正仿宋简体"/>
                <w:sz w:val="20"/>
              </w:rPr>
              <w:t>姓名</w:t>
            </w:r>
          </w:p>
        </w:tc>
        <w:tc>
          <w:tcPr>
            <w:tcW w:w="6002" w:type="dxa"/>
            <w:gridSpan w:val="6"/>
            <w:tcBorders>
              <w:top w:val="single" w:color="auto" w:sz="4" w:space="0"/>
              <w:left w:val="single" w:color="auto" w:sz="4" w:space="0"/>
              <w:bottom w:val="single" w:color="auto" w:sz="4" w:space="0"/>
              <w:right w:val="single" w:color="auto" w:sz="4" w:space="0"/>
            </w:tcBorders>
          </w:tcPr>
          <w:p>
            <w:pPr>
              <w:rPr>
                <w:rFonts w:eastAsia="方正仿宋简体"/>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1526"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eastAsia="方正仿宋简体"/>
                <w:sz w:val="20"/>
              </w:rPr>
            </w:pPr>
          </w:p>
        </w:tc>
        <w:tc>
          <w:tcPr>
            <w:tcW w:w="992" w:type="dxa"/>
            <w:gridSpan w:val="2"/>
            <w:tcBorders>
              <w:top w:val="single" w:color="auto" w:sz="4" w:space="0"/>
              <w:left w:val="single" w:color="auto" w:sz="4" w:space="0"/>
              <w:bottom w:val="single" w:color="auto" w:sz="4" w:space="0"/>
              <w:right w:val="single" w:color="auto" w:sz="4" w:space="0"/>
            </w:tcBorders>
          </w:tcPr>
          <w:p>
            <w:pPr>
              <w:rPr>
                <w:rFonts w:eastAsia="方正仿宋简体"/>
                <w:sz w:val="20"/>
              </w:rPr>
            </w:pPr>
            <w:r>
              <w:rPr>
                <w:rFonts w:eastAsia="方正仿宋简体"/>
                <w:sz w:val="20"/>
              </w:rPr>
              <w:t>部门</w:t>
            </w:r>
          </w:p>
        </w:tc>
        <w:tc>
          <w:tcPr>
            <w:tcW w:w="6002" w:type="dxa"/>
            <w:gridSpan w:val="6"/>
            <w:tcBorders>
              <w:top w:val="single" w:color="auto" w:sz="4" w:space="0"/>
              <w:left w:val="single" w:color="auto" w:sz="4" w:space="0"/>
              <w:bottom w:val="single" w:color="auto" w:sz="4" w:space="0"/>
              <w:right w:val="single" w:color="auto" w:sz="4" w:space="0"/>
            </w:tcBorders>
          </w:tcPr>
          <w:p>
            <w:pPr>
              <w:rPr>
                <w:rFonts w:eastAsia="方正仿宋简体"/>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1526"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eastAsia="方正仿宋简体"/>
                <w:sz w:val="20"/>
              </w:rPr>
            </w:pPr>
          </w:p>
        </w:tc>
        <w:tc>
          <w:tcPr>
            <w:tcW w:w="992" w:type="dxa"/>
            <w:gridSpan w:val="2"/>
            <w:tcBorders>
              <w:top w:val="single" w:color="auto" w:sz="4" w:space="0"/>
              <w:left w:val="single" w:color="auto" w:sz="4" w:space="0"/>
              <w:bottom w:val="single" w:color="auto" w:sz="4" w:space="0"/>
              <w:right w:val="single" w:color="auto" w:sz="4" w:space="0"/>
            </w:tcBorders>
          </w:tcPr>
          <w:p>
            <w:pPr>
              <w:rPr>
                <w:rFonts w:eastAsia="方正仿宋简体"/>
                <w:sz w:val="20"/>
              </w:rPr>
            </w:pPr>
            <w:r>
              <w:rPr>
                <w:rFonts w:eastAsia="方正仿宋简体"/>
                <w:sz w:val="20"/>
              </w:rPr>
              <w:t>电话</w:t>
            </w:r>
          </w:p>
        </w:tc>
        <w:tc>
          <w:tcPr>
            <w:tcW w:w="2126" w:type="dxa"/>
            <w:gridSpan w:val="3"/>
            <w:tcBorders>
              <w:top w:val="single" w:color="auto" w:sz="4" w:space="0"/>
              <w:left w:val="single" w:color="auto" w:sz="4" w:space="0"/>
              <w:bottom w:val="single" w:color="auto" w:sz="4" w:space="0"/>
              <w:right w:val="single" w:color="auto" w:sz="4" w:space="0"/>
            </w:tcBorders>
          </w:tcPr>
          <w:p>
            <w:pPr>
              <w:rPr>
                <w:rFonts w:eastAsia="方正仿宋简体"/>
                <w:sz w:val="20"/>
              </w:rPr>
            </w:pPr>
          </w:p>
        </w:tc>
        <w:tc>
          <w:tcPr>
            <w:tcW w:w="1134" w:type="dxa"/>
            <w:tcBorders>
              <w:top w:val="single" w:color="auto" w:sz="4" w:space="0"/>
              <w:left w:val="single" w:color="auto" w:sz="4" w:space="0"/>
              <w:bottom w:val="single" w:color="auto" w:sz="4" w:space="0"/>
              <w:right w:val="single" w:color="auto" w:sz="4" w:space="0"/>
            </w:tcBorders>
          </w:tcPr>
          <w:p>
            <w:pPr>
              <w:rPr>
                <w:rFonts w:eastAsia="方正仿宋简体"/>
                <w:sz w:val="20"/>
              </w:rPr>
            </w:pPr>
            <w:r>
              <w:rPr>
                <w:rFonts w:eastAsia="方正仿宋简体"/>
                <w:sz w:val="20"/>
              </w:rPr>
              <w:t>邮件地址</w:t>
            </w:r>
          </w:p>
        </w:tc>
        <w:tc>
          <w:tcPr>
            <w:tcW w:w="2742" w:type="dxa"/>
            <w:gridSpan w:val="2"/>
            <w:tcBorders>
              <w:top w:val="single" w:color="auto" w:sz="4" w:space="0"/>
              <w:left w:val="single" w:color="auto" w:sz="4" w:space="0"/>
              <w:bottom w:val="single" w:color="auto" w:sz="4" w:space="0"/>
              <w:right w:val="single" w:color="auto" w:sz="4" w:space="0"/>
            </w:tcBorders>
          </w:tcPr>
          <w:p>
            <w:pPr>
              <w:rPr>
                <w:rFonts w:eastAsia="方正仿宋简体"/>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1526" w:type="dxa"/>
            <w:vMerge w:val="restart"/>
            <w:tcBorders>
              <w:top w:val="single" w:color="auto" w:sz="4" w:space="0"/>
              <w:left w:val="single" w:color="auto" w:sz="4" w:space="0"/>
              <w:bottom w:val="single" w:color="auto" w:sz="4" w:space="0"/>
              <w:right w:val="single" w:color="auto" w:sz="4" w:space="0"/>
            </w:tcBorders>
          </w:tcPr>
          <w:p>
            <w:pPr>
              <w:rPr>
                <w:rFonts w:eastAsia="方正仿宋简体"/>
                <w:sz w:val="20"/>
              </w:rPr>
            </w:pPr>
            <w:r>
              <w:rPr>
                <w:rFonts w:eastAsia="方正仿宋简体"/>
                <w:sz w:val="20"/>
              </w:rPr>
              <w:t>经纪业务</w:t>
            </w:r>
          </w:p>
          <w:p>
            <w:pPr>
              <w:rPr>
                <w:rFonts w:eastAsia="方正仿宋简体"/>
                <w:sz w:val="20"/>
              </w:rPr>
            </w:pPr>
            <w:r>
              <w:rPr>
                <w:rFonts w:eastAsia="方正仿宋简体"/>
                <w:sz w:val="20"/>
              </w:rPr>
              <w:t>联络人</w:t>
            </w:r>
          </w:p>
        </w:tc>
        <w:tc>
          <w:tcPr>
            <w:tcW w:w="992" w:type="dxa"/>
            <w:gridSpan w:val="2"/>
            <w:tcBorders>
              <w:top w:val="single" w:color="auto" w:sz="4" w:space="0"/>
              <w:left w:val="single" w:color="auto" w:sz="4" w:space="0"/>
              <w:bottom w:val="single" w:color="auto" w:sz="4" w:space="0"/>
              <w:right w:val="single" w:color="auto" w:sz="4" w:space="0"/>
            </w:tcBorders>
          </w:tcPr>
          <w:p>
            <w:pPr>
              <w:rPr>
                <w:rFonts w:eastAsia="方正仿宋简体"/>
                <w:sz w:val="20"/>
              </w:rPr>
            </w:pPr>
            <w:r>
              <w:rPr>
                <w:rFonts w:eastAsia="方正仿宋简体"/>
                <w:sz w:val="20"/>
              </w:rPr>
              <w:t>姓名</w:t>
            </w:r>
          </w:p>
        </w:tc>
        <w:tc>
          <w:tcPr>
            <w:tcW w:w="6002" w:type="dxa"/>
            <w:gridSpan w:val="6"/>
            <w:tcBorders>
              <w:top w:val="single" w:color="auto" w:sz="4" w:space="0"/>
              <w:left w:val="single" w:color="auto" w:sz="4" w:space="0"/>
              <w:bottom w:val="single" w:color="auto" w:sz="4" w:space="0"/>
              <w:right w:val="single" w:color="auto" w:sz="4" w:space="0"/>
            </w:tcBorders>
          </w:tcPr>
          <w:p>
            <w:pPr>
              <w:rPr>
                <w:rFonts w:eastAsia="方正仿宋简体"/>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1526"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eastAsia="方正仿宋简体"/>
                <w:sz w:val="20"/>
              </w:rPr>
            </w:pPr>
          </w:p>
        </w:tc>
        <w:tc>
          <w:tcPr>
            <w:tcW w:w="992" w:type="dxa"/>
            <w:gridSpan w:val="2"/>
            <w:tcBorders>
              <w:top w:val="single" w:color="auto" w:sz="4" w:space="0"/>
              <w:left w:val="single" w:color="auto" w:sz="4" w:space="0"/>
              <w:bottom w:val="single" w:color="auto" w:sz="4" w:space="0"/>
              <w:right w:val="single" w:color="auto" w:sz="4" w:space="0"/>
            </w:tcBorders>
          </w:tcPr>
          <w:p>
            <w:pPr>
              <w:rPr>
                <w:rFonts w:eastAsia="方正仿宋简体"/>
                <w:sz w:val="20"/>
              </w:rPr>
            </w:pPr>
            <w:r>
              <w:rPr>
                <w:rFonts w:eastAsia="方正仿宋简体"/>
                <w:sz w:val="20"/>
              </w:rPr>
              <w:t>部门</w:t>
            </w:r>
          </w:p>
        </w:tc>
        <w:tc>
          <w:tcPr>
            <w:tcW w:w="6002" w:type="dxa"/>
            <w:gridSpan w:val="6"/>
            <w:tcBorders>
              <w:top w:val="single" w:color="auto" w:sz="4" w:space="0"/>
              <w:left w:val="single" w:color="auto" w:sz="4" w:space="0"/>
              <w:bottom w:val="single" w:color="auto" w:sz="4" w:space="0"/>
              <w:right w:val="single" w:color="auto" w:sz="4" w:space="0"/>
            </w:tcBorders>
          </w:tcPr>
          <w:p>
            <w:pPr>
              <w:rPr>
                <w:rFonts w:eastAsia="方正仿宋简体"/>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1526"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eastAsia="方正仿宋简体"/>
                <w:sz w:val="20"/>
              </w:rPr>
            </w:pPr>
          </w:p>
        </w:tc>
        <w:tc>
          <w:tcPr>
            <w:tcW w:w="992" w:type="dxa"/>
            <w:gridSpan w:val="2"/>
            <w:tcBorders>
              <w:top w:val="single" w:color="auto" w:sz="4" w:space="0"/>
              <w:left w:val="single" w:color="auto" w:sz="4" w:space="0"/>
              <w:bottom w:val="single" w:color="auto" w:sz="4" w:space="0"/>
              <w:right w:val="single" w:color="auto" w:sz="4" w:space="0"/>
            </w:tcBorders>
          </w:tcPr>
          <w:p>
            <w:pPr>
              <w:rPr>
                <w:rFonts w:eastAsia="方正仿宋简体"/>
                <w:sz w:val="20"/>
              </w:rPr>
            </w:pPr>
            <w:r>
              <w:rPr>
                <w:rFonts w:eastAsia="方正仿宋简体"/>
                <w:sz w:val="20"/>
              </w:rPr>
              <w:t>电话</w:t>
            </w:r>
          </w:p>
        </w:tc>
        <w:tc>
          <w:tcPr>
            <w:tcW w:w="2126" w:type="dxa"/>
            <w:gridSpan w:val="3"/>
            <w:tcBorders>
              <w:top w:val="single" w:color="auto" w:sz="4" w:space="0"/>
              <w:left w:val="single" w:color="auto" w:sz="4" w:space="0"/>
              <w:bottom w:val="single" w:color="auto" w:sz="4" w:space="0"/>
              <w:right w:val="single" w:color="auto" w:sz="4" w:space="0"/>
            </w:tcBorders>
          </w:tcPr>
          <w:p>
            <w:pPr>
              <w:rPr>
                <w:rFonts w:eastAsia="方正仿宋简体"/>
                <w:sz w:val="20"/>
              </w:rPr>
            </w:pPr>
          </w:p>
        </w:tc>
        <w:tc>
          <w:tcPr>
            <w:tcW w:w="1134" w:type="dxa"/>
            <w:tcBorders>
              <w:top w:val="single" w:color="auto" w:sz="4" w:space="0"/>
              <w:left w:val="single" w:color="auto" w:sz="4" w:space="0"/>
              <w:bottom w:val="single" w:color="auto" w:sz="4" w:space="0"/>
              <w:right w:val="single" w:color="auto" w:sz="4" w:space="0"/>
            </w:tcBorders>
          </w:tcPr>
          <w:p>
            <w:pPr>
              <w:rPr>
                <w:rFonts w:eastAsia="方正仿宋简体"/>
                <w:sz w:val="20"/>
              </w:rPr>
            </w:pPr>
            <w:r>
              <w:rPr>
                <w:rFonts w:eastAsia="方正仿宋简体"/>
                <w:sz w:val="20"/>
              </w:rPr>
              <w:t>邮件地址</w:t>
            </w:r>
          </w:p>
        </w:tc>
        <w:tc>
          <w:tcPr>
            <w:tcW w:w="2742" w:type="dxa"/>
            <w:gridSpan w:val="2"/>
            <w:tcBorders>
              <w:top w:val="single" w:color="auto" w:sz="4" w:space="0"/>
              <w:left w:val="single" w:color="auto" w:sz="4" w:space="0"/>
              <w:bottom w:val="single" w:color="auto" w:sz="4" w:space="0"/>
              <w:right w:val="single" w:color="auto" w:sz="4" w:space="0"/>
            </w:tcBorders>
          </w:tcPr>
          <w:p>
            <w:pPr>
              <w:rPr>
                <w:rFonts w:eastAsia="方正仿宋简体"/>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8520" w:type="dxa"/>
            <w:gridSpan w:val="9"/>
            <w:tcBorders>
              <w:top w:val="single" w:color="auto" w:sz="4" w:space="0"/>
              <w:left w:val="single" w:color="auto" w:sz="4" w:space="0"/>
              <w:bottom w:val="single" w:color="auto" w:sz="4" w:space="0"/>
              <w:right w:val="single" w:color="auto" w:sz="4" w:space="0"/>
            </w:tcBorders>
            <w:shd w:val="clear" w:color="auto" w:fill="F2F2F2"/>
            <w:vAlign w:val="center"/>
          </w:tcPr>
          <w:p>
            <w:pPr>
              <w:jc w:val="center"/>
              <w:rPr>
                <w:rFonts w:eastAsia="方正仿宋简体"/>
                <w:b/>
                <w:sz w:val="20"/>
              </w:rPr>
            </w:pPr>
            <w:r>
              <w:rPr>
                <w:rFonts w:eastAsia="方正仿宋简体"/>
                <w:b/>
                <w:sz w:val="20"/>
              </w:rPr>
              <w:t>部门与岗位设置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8520" w:type="dxa"/>
            <w:gridSpan w:val="9"/>
            <w:tcBorders>
              <w:top w:val="single" w:color="auto" w:sz="4" w:space="0"/>
              <w:left w:val="single" w:color="auto" w:sz="4" w:space="0"/>
              <w:bottom w:val="single" w:color="auto" w:sz="4" w:space="0"/>
              <w:right w:val="single" w:color="auto" w:sz="4" w:space="0"/>
            </w:tcBorders>
            <w:vAlign w:val="center"/>
          </w:tcPr>
          <w:p>
            <w:pPr>
              <w:rPr>
                <w:rFonts w:eastAsia="方正仿宋简体"/>
                <w:sz w:val="20"/>
              </w:rPr>
            </w:pPr>
            <w:r>
              <w:rPr>
                <w:rFonts w:eastAsia="方正仿宋简体"/>
                <w:sz w:val="20"/>
              </w:rPr>
              <w:t>（部门名称1）工作职责包括：</w:t>
            </w:r>
          </w:p>
          <w:p>
            <w:pPr>
              <w:rPr>
                <w:rFonts w:eastAsia="方正仿宋简体"/>
                <w:sz w:val="20"/>
              </w:rPr>
            </w:pPr>
            <w:r>
              <w:rPr>
                <w:rFonts w:eastAsia="方正仿宋简体"/>
                <w:sz w:val="20"/>
              </w:rPr>
              <w:t>（1）</w:t>
            </w:r>
          </w:p>
          <w:p>
            <w:pPr>
              <w:rPr>
                <w:rFonts w:eastAsia="方正仿宋简体"/>
                <w:sz w:val="20"/>
              </w:rPr>
            </w:pPr>
            <w:r>
              <w:rPr>
                <w:rFonts w:eastAsia="方正仿宋简体"/>
                <w:sz w:val="20"/>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2093"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eastAsia="方正仿宋简体"/>
                <w:sz w:val="20"/>
              </w:rPr>
            </w:pPr>
            <w:r>
              <w:rPr>
                <w:rFonts w:eastAsia="方正仿宋简体"/>
                <w:sz w:val="20"/>
              </w:rPr>
              <w:t>岗位</w:t>
            </w:r>
          </w:p>
        </w:tc>
        <w:tc>
          <w:tcPr>
            <w:tcW w:w="1276" w:type="dxa"/>
            <w:gridSpan w:val="2"/>
            <w:tcBorders>
              <w:top w:val="single" w:color="auto" w:sz="4" w:space="0"/>
              <w:left w:val="single" w:color="auto" w:sz="4" w:space="0"/>
              <w:bottom w:val="single" w:color="auto" w:sz="4" w:space="0"/>
              <w:right w:val="single" w:color="auto" w:sz="4" w:space="0"/>
            </w:tcBorders>
            <w:vAlign w:val="center"/>
          </w:tcPr>
          <w:p>
            <w:pPr>
              <w:jc w:val="center"/>
              <w:rPr>
                <w:rFonts w:eastAsia="方正仿宋简体"/>
                <w:sz w:val="20"/>
              </w:rPr>
            </w:pPr>
            <w:r>
              <w:rPr>
                <w:rFonts w:eastAsia="方正仿宋简体"/>
                <w:sz w:val="20"/>
              </w:rPr>
              <w:t>人员姓名</w:t>
            </w:r>
          </w:p>
        </w:tc>
        <w:tc>
          <w:tcPr>
            <w:tcW w:w="1275" w:type="dxa"/>
            <w:gridSpan w:val="2"/>
            <w:tcBorders>
              <w:top w:val="single" w:color="auto" w:sz="4" w:space="0"/>
              <w:left w:val="single" w:color="auto" w:sz="4" w:space="0"/>
              <w:bottom w:val="single" w:color="auto" w:sz="4" w:space="0"/>
              <w:right w:val="single" w:color="auto" w:sz="4" w:space="0"/>
            </w:tcBorders>
            <w:vAlign w:val="center"/>
          </w:tcPr>
          <w:p>
            <w:pPr>
              <w:jc w:val="center"/>
              <w:rPr>
                <w:rFonts w:eastAsia="方正仿宋简体"/>
                <w:sz w:val="20"/>
              </w:rPr>
            </w:pPr>
            <w:r>
              <w:rPr>
                <w:rFonts w:eastAsia="方正仿宋简体"/>
                <w:sz w:val="20"/>
              </w:rPr>
              <w:t>职责描述</w:t>
            </w:r>
          </w:p>
        </w:tc>
        <w:tc>
          <w:tcPr>
            <w:tcW w:w="1560" w:type="dxa"/>
            <w:gridSpan w:val="2"/>
            <w:tcBorders>
              <w:top w:val="single" w:color="auto" w:sz="4" w:space="0"/>
              <w:left w:val="single" w:color="auto" w:sz="4" w:space="0"/>
              <w:bottom w:val="single" w:color="auto" w:sz="4" w:space="0"/>
              <w:right w:val="single" w:color="auto" w:sz="4" w:space="0"/>
            </w:tcBorders>
            <w:vAlign w:val="center"/>
          </w:tcPr>
          <w:p>
            <w:pPr>
              <w:jc w:val="center"/>
              <w:rPr>
                <w:rFonts w:eastAsia="方正仿宋简体"/>
                <w:sz w:val="20"/>
              </w:rPr>
            </w:pPr>
            <w:r>
              <w:rPr>
                <w:rFonts w:eastAsia="方正仿宋简体"/>
                <w:sz w:val="20"/>
              </w:rPr>
              <w:t>联系方式</w:t>
            </w:r>
          </w:p>
        </w:tc>
        <w:tc>
          <w:tcPr>
            <w:tcW w:w="2316" w:type="dxa"/>
            <w:tcBorders>
              <w:top w:val="single" w:color="auto" w:sz="4" w:space="0"/>
              <w:left w:val="single" w:color="auto" w:sz="4" w:space="0"/>
              <w:bottom w:val="single" w:color="auto" w:sz="4" w:space="0"/>
              <w:right w:val="single" w:color="auto" w:sz="4" w:space="0"/>
            </w:tcBorders>
            <w:vAlign w:val="center"/>
          </w:tcPr>
          <w:p>
            <w:pPr>
              <w:jc w:val="center"/>
              <w:rPr>
                <w:rFonts w:eastAsia="方正仿宋简体"/>
                <w:sz w:val="20"/>
              </w:rPr>
            </w:pPr>
            <w:r>
              <w:rPr>
                <w:rFonts w:eastAsia="方正仿宋简体"/>
                <w:sz w:val="20"/>
              </w:rPr>
              <w:t>工作履历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2093"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eastAsia="方正仿宋简体"/>
                <w:i/>
                <w:sz w:val="20"/>
              </w:rPr>
            </w:pPr>
            <w:r>
              <w:rPr>
                <w:rFonts w:eastAsia="方正仿宋简体"/>
                <w:i/>
                <w:sz w:val="20"/>
              </w:rPr>
              <w:t>（部门负责人）</w:t>
            </w:r>
          </w:p>
        </w:tc>
        <w:tc>
          <w:tcPr>
            <w:tcW w:w="127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eastAsia="方正仿宋简体"/>
                <w:szCs w:val="22"/>
              </w:rPr>
            </w:pPr>
          </w:p>
        </w:tc>
        <w:tc>
          <w:tcPr>
            <w:tcW w:w="1275" w:type="dxa"/>
            <w:gridSpan w:val="2"/>
            <w:tcBorders>
              <w:top w:val="single" w:color="auto" w:sz="4" w:space="0"/>
              <w:left w:val="single" w:color="auto" w:sz="4" w:space="0"/>
              <w:bottom w:val="single" w:color="auto" w:sz="4" w:space="0"/>
              <w:right w:val="single" w:color="auto" w:sz="4" w:space="0"/>
            </w:tcBorders>
            <w:vAlign w:val="center"/>
          </w:tcPr>
          <w:p>
            <w:pPr>
              <w:jc w:val="center"/>
              <w:rPr>
                <w:rFonts w:eastAsia="方正仿宋简体"/>
                <w:sz w:val="20"/>
              </w:rPr>
            </w:pPr>
          </w:p>
        </w:tc>
        <w:tc>
          <w:tcPr>
            <w:tcW w:w="1560" w:type="dxa"/>
            <w:gridSpan w:val="2"/>
            <w:tcBorders>
              <w:top w:val="single" w:color="auto" w:sz="4" w:space="0"/>
              <w:left w:val="single" w:color="auto" w:sz="4" w:space="0"/>
              <w:bottom w:val="single" w:color="auto" w:sz="4" w:space="0"/>
              <w:right w:val="single" w:color="auto" w:sz="4" w:space="0"/>
            </w:tcBorders>
            <w:vAlign w:val="center"/>
          </w:tcPr>
          <w:p>
            <w:pPr>
              <w:jc w:val="left"/>
              <w:rPr>
                <w:rFonts w:eastAsia="方正仿宋简体"/>
                <w:i/>
                <w:sz w:val="20"/>
              </w:rPr>
            </w:pPr>
            <w:r>
              <w:rPr>
                <w:rFonts w:eastAsia="方正仿宋简体"/>
                <w:i/>
                <w:sz w:val="20"/>
              </w:rPr>
              <w:t>（座机）</w:t>
            </w:r>
          </w:p>
          <w:p>
            <w:pPr>
              <w:jc w:val="left"/>
              <w:rPr>
                <w:rFonts w:eastAsia="方正仿宋简体"/>
                <w:i/>
                <w:sz w:val="20"/>
              </w:rPr>
            </w:pPr>
            <w:r>
              <w:rPr>
                <w:rFonts w:eastAsia="方正仿宋简体"/>
                <w:i/>
                <w:sz w:val="20"/>
              </w:rPr>
              <w:t>（手机）</w:t>
            </w:r>
          </w:p>
          <w:p>
            <w:pPr>
              <w:jc w:val="left"/>
              <w:rPr>
                <w:rFonts w:eastAsia="方正仿宋简体"/>
                <w:sz w:val="20"/>
              </w:rPr>
            </w:pPr>
            <w:r>
              <w:rPr>
                <w:rFonts w:eastAsia="方正仿宋简体"/>
                <w:i/>
                <w:sz w:val="20"/>
              </w:rPr>
              <w:t>（邮件）</w:t>
            </w:r>
          </w:p>
        </w:tc>
        <w:tc>
          <w:tcPr>
            <w:tcW w:w="2316" w:type="dxa"/>
            <w:tcBorders>
              <w:top w:val="single" w:color="auto" w:sz="4" w:space="0"/>
              <w:left w:val="single" w:color="auto" w:sz="4" w:space="0"/>
              <w:bottom w:val="single" w:color="auto" w:sz="4" w:space="0"/>
              <w:right w:val="single" w:color="auto" w:sz="4" w:space="0"/>
            </w:tcBorders>
            <w:vAlign w:val="center"/>
          </w:tcPr>
          <w:p>
            <w:pPr>
              <w:jc w:val="left"/>
              <w:rPr>
                <w:rFonts w:eastAsia="方正仿宋简体"/>
                <w:i/>
                <w:sz w:val="20"/>
              </w:rPr>
            </w:pPr>
            <w:r>
              <w:rPr>
                <w:rFonts w:eastAsia="方正仿宋简体"/>
                <w:i/>
                <w:sz w:val="20"/>
              </w:rPr>
              <w:t>（年份-单位-职责）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209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eastAsia="方正仿宋简体"/>
                <w:szCs w:val="22"/>
              </w:rPr>
            </w:pPr>
          </w:p>
        </w:tc>
        <w:tc>
          <w:tcPr>
            <w:tcW w:w="127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eastAsia="方正仿宋简体"/>
                <w:szCs w:val="22"/>
              </w:rPr>
            </w:pPr>
          </w:p>
        </w:tc>
        <w:tc>
          <w:tcPr>
            <w:tcW w:w="1275" w:type="dxa"/>
            <w:gridSpan w:val="2"/>
            <w:tcBorders>
              <w:top w:val="single" w:color="auto" w:sz="4" w:space="0"/>
              <w:left w:val="single" w:color="auto" w:sz="4" w:space="0"/>
              <w:bottom w:val="single" w:color="auto" w:sz="4" w:space="0"/>
              <w:right w:val="single" w:color="auto" w:sz="4" w:space="0"/>
            </w:tcBorders>
            <w:vAlign w:val="center"/>
          </w:tcPr>
          <w:p>
            <w:pPr>
              <w:jc w:val="center"/>
              <w:rPr>
                <w:rFonts w:eastAsia="方正仿宋简体"/>
                <w:sz w:val="20"/>
              </w:rPr>
            </w:pPr>
          </w:p>
        </w:tc>
        <w:tc>
          <w:tcPr>
            <w:tcW w:w="1560"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eastAsia="方正仿宋简体"/>
                <w:szCs w:val="22"/>
              </w:rPr>
            </w:pPr>
          </w:p>
        </w:tc>
        <w:tc>
          <w:tcPr>
            <w:tcW w:w="2316" w:type="dxa"/>
            <w:tcBorders>
              <w:top w:val="single" w:color="auto" w:sz="4" w:space="0"/>
              <w:left w:val="single" w:color="auto" w:sz="4" w:space="0"/>
              <w:bottom w:val="single" w:color="auto" w:sz="4" w:space="0"/>
              <w:right w:val="single" w:color="auto" w:sz="4" w:space="0"/>
            </w:tcBorders>
            <w:vAlign w:val="center"/>
          </w:tcPr>
          <w:p>
            <w:pPr>
              <w:jc w:val="center"/>
              <w:rPr>
                <w:rFonts w:eastAsia="方正仿宋简体"/>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209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eastAsia="方正仿宋简体"/>
                <w:szCs w:val="22"/>
              </w:rPr>
            </w:pPr>
          </w:p>
        </w:tc>
        <w:tc>
          <w:tcPr>
            <w:tcW w:w="127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eastAsia="方正仿宋简体"/>
                <w:szCs w:val="22"/>
              </w:rPr>
            </w:pPr>
          </w:p>
        </w:tc>
        <w:tc>
          <w:tcPr>
            <w:tcW w:w="1275" w:type="dxa"/>
            <w:gridSpan w:val="2"/>
            <w:tcBorders>
              <w:top w:val="single" w:color="auto" w:sz="4" w:space="0"/>
              <w:left w:val="single" w:color="auto" w:sz="4" w:space="0"/>
              <w:bottom w:val="single" w:color="auto" w:sz="4" w:space="0"/>
              <w:right w:val="single" w:color="auto" w:sz="4" w:space="0"/>
            </w:tcBorders>
            <w:vAlign w:val="center"/>
          </w:tcPr>
          <w:p>
            <w:pPr>
              <w:jc w:val="center"/>
              <w:rPr>
                <w:rFonts w:eastAsia="方正仿宋简体"/>
                <w:sz w:val="20"/>
              </w:rPr>
            </w:pPr>
          </w:p>
        </w:tc>
        <w:tc>
          <w:tcPr>
            <w:tcW w:w="1560"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eastAsia="方正仿宋简体"/>
                <w:szCs w:val="22"/>
              </w:rPr>
            </w:pPr>
          </w:p>
        </w:tc>
        <w:tc>
          <w:tcPr>
            <w:tcW w:w="2316" w:type="dxa"/>
            <w:tcBorders>
              <w:top w:val="single" w:color="auto" w:sz="4" w:space="0"/>
              <w:left w:val="single" w:color="auto" w:sz="4" w:space="0"/>
              <w:bottom w:val="single" w:color="auto" w:sz="4" w:space="0"/>
              <w:right w:val="single" w:color="auto" w:sz="4" w:space="0"/>
            </w:tcBorders>
            <w:vAlign w:val="center"/>
          </w:tcPr>
          <w:p>
            <w:pPr>
              <w:jc w:val="center"/>
              <w:rPr>
                <w:rFonts w:eastAsia="方正仿宋简体"/>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8520" w:type="dxa"/>
            <w:gridSpan w:val="9"/>
            <w:tcBorders>
              <w:top w:val="single" w:color="auto" w:sz="4" w:space="0"/>
              <w:left w:val="single" w:color="auto" w:sz="4" w:space="0"/>
              <w:bottom w:val="single" w:color="auto" w:sz="4" w:space="0"/>
              <w:right w:val="single" w:color="auto" w:sz="4" w:space="0"/>
            </w:tcBorders>
            <w:vAlign w:val="center"/>
          </w:tcPr>
          <w:p>
            <w:pPr>
              <w:rPr>
                <w:rFonts w:eastAsia="方正仿宋简体"/>
                <w:sz w:val="20"/>
              </w:rPr>
            </w:pPr>
            <w:r>
              <w:rPr>
                <w:rFonts w:eastAsia="方正仿宋简体"/>
                <w:sz w:val="20"/>
              </w:rPr>
              <w:t>（部门名称2）工作职责包括：</w:t>
            </w:r>
          </w:p>
          <w:p>
            <w:pPr>
              <w:rPr>
                <w:rFonts w:eastAsia="方正仿宋简体"/>
                <w:sz w:val="20"/>
              </w:rPr>
            </w:pPr>
            <w:r>
              <w:rPr>
                <w:rFonts w:eastAsia="方正仿宋简体"/>
                <w:sz w:val="20"/>
              </w:rPr>
              <w:t>（1）</w:t>
            </w:r>
          </w:p>
          <w:p>
            <w:pPr>
              <w:rPr>
                <w:rFonts w:eastAsia="方正仿宋简体"/>
                <w:sz w:val="20"/>
              </w:rPr>
            </w:pPr>
            <w:r>
              <w:rPr>
                <w:rFonts w:eastAsia="方正仿宋简体"/>
                <w:sz w:val="20"/>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2093"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eastAsia="方正仿宋简体"/>
                <w:sz w:val="20"/>
              </w:rPr>
            </w:pPr>
            <w:r>
              <w:rPr>
                <w:rFonts w:eastAsia="方正仿宋简体"/>
                <w:sz w:val="20"/>
              </w:rPr>
              <w:t>岗位</w:t>
            </w:r>
          </w:p>
        </w:tc>
        <w:tc>
          <w:tcPr>
            <w:tcW w:w="1276" w:type="dxa"/>
            <w:gridSpan w:val="2"/>
            <w:tcBorders>
              <w:top w:val="single" w:color="auto" w:sz="4" w:space="0"/>
              <w:left w:val="single" w:color="auto" w:sz="4" w:space="0"/>
              <w:bottom w:val="single" w:color="auto" w:sz="4" w:space="0"/>
              <w:right w:val="single" w:color="auto" w:sz="4" w:space="0"/>
            </w:tcBorders>
            <w:vAlign w:val="center"/>
          </w:tcPr>
          <w:p>
            <w:pPr>
              <w:jc w:val="center"/>
              <w:rPr>
                <w:rFonts w:eastAsia="方正仿宋简体"/>
                <w:sz w:val="20"/>
              </w:rPr>
            </w:pPr>
            <w:r>
              <w:rPr>
                <w:rFonts w:eastAsia="方正仿宋简体"/>
                <w:sz w:val="20"/>
              </w:rPr>
              <w:t>人员姓名</w:t>
            </w:r>
          </w:p>
        </w:tc>
        <w:tc>
          <w:tcPr>
            <w:tcW w:w="1275" w:type="dxa"/>
            <w:gridSpan w:val="2"/>
            <w:tcBorders>
              <w:top w:val="single" w:color="auto" w:sz="4" w:space="0"/>
              <w:left w:val="single" w:color="auto" w:sz="4" w:space="0"/>
              <w:bottom w:val="single" w:color="auto" w:sz="4" w:space="0"/>
              <w:right w:val="single" w:color="auto" w:sz="4" w:space="0"/>
            </w:tcBorders>
            <w:vAlign w:val="center"/>
          </w:tcPr>
          <w:p>
            <w:pPr>
              <w:jc w:val="center"/>
              <w:rPr>
                <w:rFonts w:eastAsia="方正仿宋简体"/>
                <w:sz w:val="20"/>
              </w:rPr>
            </w:pPr>
            <w:r>
              <w:rPr>
                <w:rFonts w:eastAsia="方正仿宋简体"/>
                <w:sz w:val="20"/>
              </w:rPr>
              <w:t>职责描述</w:t>
            </w:r>
          </w:p>
        </w:tc>
        <w:tc>
          <w:tcPr>
            <w:tcW w:w="1560" w:type="dxa"/>
            <w:gridSpan w:val="2"/>
            <w:tcBorders>
              <w:top w:val="single" w:color="auto" w:sz="4" w:space="0"/>
              <w:left w:val="single" w:color="auto" w:sz="4" w:space="0"/>
              <w:bottom w:val="single" w:color="auto" w:sz="4" w:space="0"/>
              <w:right w:val="single" w:color="auto" w:sz="4" w:space="0"/>
            </w:tcBorders>
            <w:vAlign w:val="center"/>
          </w:tcPr>
          <w:p>
            <w:pPr>
              <w:jc w:val="center"/>
              <w:rPr>
                <w:rFonts w:eastAsia="方正仿宋简体"/>
                <w:sz w:val="20"/>
              </w:rPr>
            </w:pPr>
            <w:r>
              <w:rPr>
                <w:rFonts w:eastAsia="方正仿宋简体"/>
                <w:sz w:val="20"/>
              </w:rPr>
              <w:t>联系方式</w:t>
            </w:r>
          </w:p>
        </w:tc>
        <w:tc>
          <w:tcPr>
            <w:tcW w:w="2316" w:type="dxa"/>
            <w:tcBorders>
              <w:top w:val="single" w:color="auto" w:sz="4" w:space="0"/>
              <w:left w:val="single" w:color="auto" w:sz="4" w:space="0"/>
              <w:bottom w:val="single" w:color="auto" w:sz="4" w:space="0"/>
              <w:right w:val="single" w:color="auto" w:sz="4" w:space="0"/>
            </w:tcBorders>
            <w:vAlign w:val="center"/>
          </w:tcPr>
          <w:p>
            <w:pPr>
              <w:jc w:val="center"/>
              <w:rPr>
                <w:rFonts w:eastAsia="方正仿宋简体"/>
                <w:sz w:val="20"/>
              </w:rPr>
            </w:pPr>
            <w:r>
              <w:rPr>
                <w:rFonts w:eastAsia="方正仿宋简体"/>
                <w:sz w:val="20"/>
              </w:rPr>
              <w:t>工作履历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209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eastAsia="方正仿宋简体"/>
                <w:szCs w:val="22"/>
              </w:rPr>
            </w:pPr>
          </w:p>
        </w:tc>
        <w:tc>
          <w:tcPr>
            <w:tcW w:w="127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eastAsia="方正仿宋简体"/>
                <w:szCs w:val="22"/>
              </w:rPr>
            </w:pPr>
          </w:p>
        </w:tc>
        <w:tc>
          <w:tcPr>
            <w:tcW w:w="1275" w:type="dxa"/>
            <w:gridSpan w:val="2"/>
            <w:tcBorders>
              <w:top w:val="single" w:color="auto" w:sz="4" w:space="0"/>
              <w:left w:val="single" w:color="auto" w:sz="4" w:space="0"/>
              <w:bottom w:val="single" w:color="auto" w:sz="4" w:space="0"/>
              <w:right w:val="single" w:color="auto" w:sz="4" w:space="0"/>
            </w:tcBorders>
            <w:vAlign w:val="center"/>
          </w:tcPr>
          <w:p>
            <w:pPr>
              <w:jc w:val="center"/>
              <w:rPr>
                <w:rFonts w:eastAsia="方正仿宋简体"/>
                <w:sz w:val="20"/>
              </w:rPr>
            </w:pPr>
          </w:p>
        </w:tc>
        <w:tc>
          <w:tcPr>
            <w:tcW w:w="1560"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eastAsia="方正仿宋简体"/>
                <w:szCs w:val="22"/>
              </w:rPr>
            </w:pPr>
          </w:p>
        </w:tc>
        <w:tc>
          <w:tcPr>
            <w:tcW w:w="2316" w:type="dxa"/>
            <w:tcBorders>
              <w:top w:val="single" w:color="auto" w:sz="4" w:space="0"/>
              <w:left w:val="single" w:color="auto" w:sz="4" w:space="0"/>
              <w:bottom w:val="single" w:color="auto" w:sz="4" w:space="0"/>
              <w:right w:val="single" w:color="auto" w:sz="4" w:space="0"/>
            </w:tcBorders>
            <w:vAlign w:val="center"/>
          </w:tcPr>
          <w:p>
            <w:pPr>
              <w:jc w:val="center"/>
              <w:rPr>
                <w:rFonts w:eastAsia="方正仿宋简体"/>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8520" w:type="dxa"/>
            <w:gridSpan w:val="9"/>
            <w:tcBorders>
              <w:top w:val="single" w:color="auto" w:sz="4" w:space="0"/>
              <w:left w:val="single" w:color="auto" w:sz="4" w:space="0"/>
              <w:bottom w:val="single" w:color="auto" w:sz="4" w:space="0"/>
              <w:right w:val="single" w:color="auto" w:sz="4" w:space="0"/>
            </w:tcBorders>
            <w:vAlign w:val="center"/>
          </w:tcPr>
          <w:p>
            <w:pPr>
              <w:rPr>
                <w:rFonts w:eastAsia="方正仿宋简体"/>
                <w:sz w:val="20"/>
              </w:rPr>
            </w:pPr>
            <w:r>
              <w:rPr>
                <w:rFonts w:eastAsia="方正仿宋简体"/>
                <w:sz w:val="20"/>
              </w:rPr>
              <w:t>（部门名称3）工作职责包括：</w:t>
            </w:r>
          </w:p>
          <w:p>
            <w:pPr>
              <w:rPr>
                <w:rFonts w:eastAsia="方正仿宋简体"/>
                <w:sz w:val="20"/>
              </w:rPr>
            </w:pPr>
            <w:r>
              <w:rPr>
                <w:rFonts w:eastAsia="方正仿宋简体"/>
                <w:sz w:val="20"/>
              </w:rPr>
              <w:t>（1）</w:t>
            </w:r>
          </w:p>
          <w:p>
            <w:pPr>
              <w:rPr>
                <w:rFonts w:eastAsia="方正仿宋简体"/>
                <w:sz w:val="20"/>
              </w:rPr>
            </w:pPr>
            <w:r>
              <w:rPr>
                <w:rFonts w:eastAsia="方正仿宋简体"/>
                <w:sz w:val="20"/>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2093"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eastAsia="方正仿宋简体"/>
                <w:sz w:val="20"/>
              </w:rPr>
            </w:pPr>
            <w:r>
              <w:rPr>
                <w:rFonts w:eastAsia="方正仿宋简体"/>
                <w:sz w:val="20"/>
              </w:rPr>
              <w:t>岗位</w:t>
            </w:r>
          </w:p>
        </w:tc>
        <w:tc>
          <w:tcPr>
            <w:tcW w:w="1276" w:type="dxa"/>
            <w:gridSpan w:val="2"/>
            <w:tcBorders>
              <w:top w:val="single" w:color="auto" w:sz="4" w:space="0"/>
              <w:left w:val="single" w:color="auto" w:sz="4" w:space="0"/>
              <w:bottom w:val="single" w:color="auto" w:sz="4" w:space="0"/>
              <w:right w:val="single" w:color="auto" w:sz="4" w:space="0"/>
            </w:tcBorders>
            <w:vAlign w:val="center"/>
          </w:tcPr>
          <w:p>
            <w:pPr>
              <w:jc w:val="center"/>
              <w:rPr>
                <w:rFonts w:eastAsia="方正仿宋简体"/>
                <w:sz w:val="20"/>
              </w:rPr>
            </w:pPr>
            <w:r>
              <w:rPr>
                <w:rFonts w:eastAsia="方正仿宋简体"/>
                <w:sz w:val="20"/>
              </w:rPr>
              <w:t>人员姓名</w:t>
            </w:r>
          </w:p>
        </w:tc>
        <w:tc>
          <w:tcPr>
            <w:tcW w:w="1275" w:type="dxa"/>
            <w:gridSpan w:val="2"/>
            <w:tcBorders>
              <w:top w:val="single" w:color="auto" w:sz="4" w:space="0"/>
              <w:left w:val="single" w:color="auto" w:sz="4" w:space="0"/>
              <w:bottom w:val="single" w:color="auto" w:sz="4" w:space="0"/>
              <w:right w:val="single" w:color="auto" w:sz="4" w:space="0"/>
            </w:tcBorders>
            <w:vAlign w:val="center"/>
          </w:tcPr>
          <w:p>
            <w:pPr>
              <w:jc w:val="center"/>
              <w:rPr>
                <w:rFonts w:eastAsia="方正仿宋简体"/>
                <w:sz w:val="20"/>
              </w:rPr>
            </w:pPr>
            <w:r>
              <w:rPr>
                <w:rFonts w:eastAsia="方正仿宋简体"/>
                <w:sz w:val="20"/>
              </w:rPr>
              <w:t>职责描述</w:t>
            </w:r>
          </w:p>
        </w:tc>
        <w:tc>
          <w:tcPr>
            <w:tcW w:w="1560" w:type="dxa"/>
            <w:gridSpan w:val="2"/>
            <w:tcBorders>
              <w:top w:val="single" w:color="auto" w:sz="4" w:space="0"/>
              <w:left w:val="single" w:color="auto" w:sz="4" w:space="0"/>
              <w:bottom w:val="single" w:color="auto" w:sz="4" w:space="0"/>
              <w:right w:val="single" w:color="auto" w:sz="4" w:space="0"/>
            </w:tcBorders>
            <w:vAlign w:val="center"/>
          </w:tcPr>
          <w:p>
            <w:pPr>
              <w:jc w:val="center"/>
              <w:rPr>
                <w:rFonts w:eastAsia="方正仿宋简体"/>
                <w:sz w:val="20"/>
              </w:rPr>
            </w:pPr>
            <w:r>
              <w:rPr>
                <w:rFonts w:eastAsia="方正仿宋简体"/>
                <w:sz w:val="20"/>
              </w:rPr>
              <w:t>联系方式</w:t>
            </w:r>
          </w:p>
        </w:tc>
        <w:tc>
          <w:tcPr>
            <w:tcW w:w="2316" w:type="dxa"/>
            <w:tcBorders>
              <w:top w:val="single" w:color="auto" w:sz="4" w:space="0"/>
              <w:left w:val="single" w:color="auto" w:sz="4" w:space="0"/>
              <w:bottom w:val="single" w:color="auto" w:sz="4" w:space="0"/>
              <w:right w:val="single" w:color="auto" w:sz="4" w:space="0"/>
            </w:tcBorders>
            <w:vAlign w:val="center"/>
          </w:tcPr>
          <w:p>
            <w:pPr>
              <w:jc w:val="center"/>
              <w:rPr>
                <w:rFonts w:eastAsia="方正仿宋简体"/>
                <w:sz w:val="20"/>
              </w:rPr>
            </w:pPr>
            <w:r>
              <w:rPr>
                <w:rFonts w:eastAsia="方正仿宋简体"/>
                <w:sz w:val="20"/>
              </w:rPr>
              <w:t>工作履历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209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eastAsia="方正仿宋简体"/>
                <w:szCs w:val="22"/>
              </w:rPr>
            </w:pPr>
          </w:p>
        </w:tc>
        <w:tc>
          <w:tcPr>
            <w:tcW w:w="127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eastAsia="方正仿宋简体"/>
                <w:szCs w:val="22"/>
              </w:rPr>
            </w:pPr>
          </w:p>
        </w:tc>
        <w:tc>
          <w:tcPr>
            <w:tcW w:w="1275" w:type="dxa"/>
            <w:gridSpan w:val="2"/>
            <w:tcBorders>
              <w:top w:val="single" w:color="auto" w:sz="4" w:space="0"/>
              <w:left w:val="single" w:color="auto" w:sz="4" w:space="0"/>
              <w:bottom w:val="single" w:color="auto" w:sz="4" w:space="0"/>
              <w:right w:val="single" w:color="auto" w:sz="4" w:space="0"/>
            </w:tcBorders>
            <w:vAlign w:val="center"/>
          </w:tcPr>
          <w:p>
            <w:pPr>
              <w:jc w:val="center"/>
              <w:rPr>
                <w:rFonts w:eastAsia="方正仿宋简体"/>
                <w:sz w:val="20"/>
              </w:rPr>
            </w:pPr>
          </w:p>
        </w:tc>
        <w:tc>
          <w:tcPr>
            <w:tcW w:w="1560"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eastAsia="方正仿宋简体"/>
                <w:szCs w:val="22"/>
              </w:rPr>
            </w:pPr>
          </w:p>
        </w:tc>
        <w:tc>
          <w:tcPr>
            <w:tcW w:w="2316" w:type="dxa"/>
            <w:tcBorders>
              <w:top w:val="single" w:color="auto" w:sz="4" w:space="0"/>
              <w:left w:val="single" w:color="auto" w:sz="4" w:space="0"/>
              <w:bottom w:val="single" w:color="auto" w:sz="4" w:space="0"/>
              <w:right w:val="single" w:color="auto" w:sz="4" w:space="0"/>
            </w:tcBorders>
            <w:vAlign w:val="center"/>
          </w:tcPr>
          <w:p>
            <w:pPr>
              <w:jc w:val="center"/>
              <w:rPr>
                <w:rFonts w:eastAsia="方正仿宋简体"/>
                <w:sz w:val="20"/>
              </w:rPr>
            </w:pPr>
          </w:p>
        </w:tc>
      </w:tr>
    </w:tbl>
    <w:p>
      <w:pPr>
        <w:widowControl/>
        <w:jc w:val="left"/>
        <w:rPr>
          <w:rFonts w:eastAsia="方正仿宋简体"/>
          <w:sz w:val="20"/>
        </w:rPr>
      </w:pPr>
      <w:r>
        <w:rPr>
          <w:rFonts w:eastAsia="方正仿宋简体"/>
          <w:sz w:val="20"/>
        </w:rPr>
        <w:t>备注：工作履历一栏中，期权经纪业务部门负责人必须详细填写工作履历。若经纪业务负责人、经纪业务联络人、部门负责人有变更的，须及时向本所报备。</w:t>
      </w:r>
    </w:p>
    <w:bookmarkEnd w:id="248"/>
    <w:bookmarkEnd w:id="249"/>
    <w:bookmarkEnd w:id="250"/>
    <w:bookmarkEnd w:id="251"/>
    <w:p>
      <w:pPr>
        <w:spacing w:before="156" w:beforeLines="50" w:after="156" w:afterLines="50"/>
        <w:jc w:val="left"/>
        <w:outlineLvl w:val="0"/>
        <w:rPr>
          <w:rFonts w:eastAsia="方正仿宋简体"/>
          <w:sz w:val="30"/>
          <w:szCs w:val="30"/>
        </w:rPr>
      </w:pPr>
      <w:r>
        <w:rPr>
          <w:rFonts w:eastAsia="方正仿宋简体"/>
          <w:b/>
          <w:bCs/>
          <w:sz w:val="30"/>
          <w:szCs w:val="30"/>
        </w:rPr>
        <w:br w:type="page"/>
      </w:r>
      <w:bookmarkStart w:id="259" w:name="_Toc25842056"/>
      <w:bookmarkStart w:id="260" w:name="_Toc478722367"/>
      <w:r>
        <w:rPr>
          <w:rFonts w:eastAsia="方正仿宋简体"/>
          <w:bCs/>
          <w:sz w:val="30"/>
          <w:szCs w:val="30"/>
        </w:rPr>
        <w:t>附件2：股票期权投资者适当性综合评估样表</w:t>
      </w:r>
      <w:bookmarkEnd w:id="259"/>
      <w:bookmarkEnd w:id="260"/>
    </w:p>
    <w:p>
      <w:pPr>
        <w:spacing w:line="560" w:lineRule="exact"/>
        <w:ind w:firstLine="600" w:firstLineChars="200"/>
        <w:rPr>
          <w:rFonts w:eastAsia="方正仿宋简体"/>
          <w:sz w:val="30"/>
          <w:szCs w:val="30"/>
        </w:rPr>
      </w:pPr>
      <w:r>
        <w:rPr>
          <w:rFonts w:eastAsia="方正仿宋简体"/>
          <w:sz w:val="30"/>
          <w:szCs w:val="30"/>
        </w:rPr>
        <w:t>本样表仅供各期权经营机构参考，各期权经营机构可以根据自身实际情况和投资者特点，制定各自的适当性综合评估表。</w:t>
      </w:r>
    </w:p>
    <w:tbl>
      <w:tblPr>
        <w:tblStyle w:val="37"/>
        <w:tblW w:w="8600" w:type="dxa"/>
        <w:tblInd w:w="96" w:type="dxa"/>
        <w:tblLayout w:type="autofit"/>
        <w:tblCellMar>
          <w:top w:w="0" w:type="dxa"/>
          <w:left w:w="108" w:type="dxa"/>
          <w:bottom w:w="0" w:type="dxa"/>
          <w:right w:w="108" w:type="dxa"/>
        </w:tblCellMar>
      </w:tblPr>
      <w:tblGrid>
        <w:gridCol w:w="4800"/>
        <w:gridCol w:w="2200"/>
        <w:gridCol w:w="1600"/>
      </w:tblGrid>
      <w:tr>
        <w:tblPrEx>
          <w:tblCellMar>
            <w:top w:w="0" w:type="dxa"/>
            <w:left w:w="108" w:type="dxa"/>
            <w:bottom w:w="0" w:type="dxa"/>
            <w:right w:w="108" w:type="dxa"/>
          </w:tblCellMar>
        </w:tblPrEx>
        <w:trPr>
          <w:trHeight w:val="510" w:hRule="atLeast"/>
        </w:trPr>
        <w:tc>
          <w:tcPr>
            <w:tcW w:w="8600" w:type="dxa"/>
            <w:gridSpan w:val="3"/>
            <w:tcBorders>
              <w:top w:val="single" w:color="auto" w:sz="4" w:space="0"/>
              <w:left w:val="single" w:color="auto" w:sz="4" w:space="0"/>
              <w:bottom w:val="single" w:color="auto" w:sz="4" w:space="0"/>
              <w:right w:val="single" w:color="auto" w:sz="4" w:space="0"/>
            </w:tcBorders>
            <w:vAlign w:val="center"/>
          </w:tcPr>
          <w:p>
            <w:pPr>
              <w:rPr>
                <w:rFonts w:eastAsia="方正仿宋简体"/>
                <w:b/>
                <w:kern w:val="0"/>
                <w:sz w:val="24"/>
                <w:szCs w:val="24"/>
              </w:rPr>
            </w:pPr>
            <w:r>
              <w:rPr>
                <w:rFonts w:eastAsia="方正仿宋简体"/>
                <w:b/>
                <w:kern w:val="0"/>
                <w:sz w:val="24"/>
                <w:szCs w:val="24"/>
              </w:rPr>
              <w:t xml:space="preserve">客户资金帐号：                             客户姓名：                </w:t>
            </w:r>
          </w:p>
        </w:tc>
      </w:tr>
      <w:tr>
        <w:tblPrEx>
          <w:tblCellMar>
            <w:top w:w="0" w:type="dxa"/>
            <w:left w:w="108" w:type="dxa"/>
            <w:bottom w:w="0" w:type="dxa"/>
            <w:right w:w="108" w:type="dxa"/>
          </w:tblCellMar>
        </w:tblPrEx>
        <w:trPr>
          <w:trHeight w:val="510" w:hRule="atLeast"/>
        </w:trPr>
        <w:tc>
          <w:tcPr>
            <w:tcW w:w="7000" w:type="dxa"/>
            <w:gridSpan w:val="2"/>
            <w:tcBorders>
              <w:top w:val="single" w:color="auto" w:sz="4" w:space="0"/>
              <w:left w:val="single" w:color="auto" w:sz="4" w:space="0"/>
              <w:bottom w:val="single" w:color="auto" w:sz="4" w:space="0"/>
              <w:right w:val="single" w:color="000000" w:sz="4" w:space="0"/>
            </w:tcBorders>
            <w:vAlign w:val="center"/>
          </w:tcPr>
          <w:p>
            <w:pPr>
              <w:jc w:val="center"/>
              <w:rPr>
                <w:rFonts w:eastAsia="方正仿宋简体"/>
                <w:b/>
                <w:kern w:val="0"/>
                <w:sz w:val="24"/>
                <w:szCs w:val="24"/>
              </w:rPr>
            </w:pPr>
            <w:r>
              <w:rPr>
                <w:rFonts w:eastAsia="方正仿宋简体"/>
                <w:b/>
                <w:kern w:val="0"/>
                <w:sz w:val="24"/>
                <w:szCs w:val="24"/>
              </w:rPr>
              <w:t>指标项目</w:t>
            </w:r>
          </w:p>
        </w:tc>
        <w:tc>
          <w:tcPr>
            <w:tcW w:w="1600" w:type="dxa"/>
            <w:tcBorders>
              <w:top w:val="single" w:color="auto" w:sz="4" w:space="0"/>
              <w:left w:val="nil"/>
              <w:bottom w:val="single" w:color="auto" w:sz="4" w:space="0"/>
              <w:right w:val="single" w:color="auto" w:sz="4" w:space="0"/>
            </w:tcBorders>
          </w:tcPr>
          <w:p>
            <w:pPr>
              <w:jc w:val="center"/>
              <w:rPr>
                <w:rFonts w:eastAsia="方正仿宋简体"/>
                <w:b/>
                <w:kern w:val="0"/>
                <w:sz w:val="24"/>
                <w:szCs w:val="24"/>
              </w:rPr>
            </w:pPr>
            <w:r>
              <w:rPr>
                <w:rFonts w:eastAsia="方正仿宋简体"/>
                <w:b/>
                <w:kern w:val="0"/>
                <w:sz w:val="24"/>
                <w:szCs w:val="24"/>
              </w:rPr>
              <w:t>是否达到要求（勾选）</w:t>
            </w:r>
          </w:p>
        </w:tc>
      </w:tr>
      <w:tr>
        <w:tblPrEx>
          <w:tblCellMar>
            <w:top w:w="0" w:type="dxa"/>
            <w:left w:w="108" w:type="dxa"/>
            <w:bottom w:w="0" w:type="dxa"/>
            <w:right w:w="108" w:type="dxa"/>
          </w:tblCellMar>
        </w:tblPrEx>
        <w:trPr>
          <w:trHeight w:val="270" w:hRule="atLeast"/>
        </w:trPr>
        <w:tc>
          <w:tcPr>
            <w:tcW w:w="8600" w:type="dxa"/>
            <w:gridSpan w:val="3"/>
            <w:tcBorders>
              <w:top w:val="single" w:color="auto" w:sz="4" w:space="0"/>
              <w:left w:val="single" w:color="auto" w:sz="4" w:space="0"/>
              <w:bottom w:val="single" w:color="auto" w:sz="4" w:space="0"/>
              <w:right w:val="single" w:color="000000" w:sz="4" w:space="0"/>
            </w:tcBorders>
            <w:noWrap/>
            <w:vAlign w:val="center"/>
          </w:tcPr>
          <w:p>
            <w:pPr>
              <w:rPr>
                <w:rFonts w:eastAsia="方正仿宋简体"/>
                <w:b/>
                <w:kern w:val="0"/>
                <w:sz w:val="24"/>
                <w:szCs w:val="24"/>
              </w:rPr>
            </w:pPr>
            <w:r>
              <w:rPr>
                <w:rFonts w:eastAsia="方正仿宋简体"/>
                <w:b/>
                <w:kern w:val="0"/>
                <w:sz w:val="24"/>
                <w:szCs w:val="24"/>
              </w:rPr>
              <w:t>一、相关投资经历</w:t>
            </w:r>
          </w:p>
        </w:tc>
      </w:tr>
      <w:tr>
        <w:tblPrEx>
          <w:tblCellMar>
            <w:top w:w="0" w:type="dxa"/>
            <w:left w:w="108" w:type="dxa"/>
            <w:bottom w:w="0" w:type="dxa"/>
            <w:right w:w="108" w:type="dxa"/>
          </w:tblCellMar>
        </w:tblPrEx>
        <w:trPr>
          <w:trHeight w:val="270" w:hRule="atLeast"/>
        </w:trPr>
        <w:tc>
          <w:tcPr>
            <w:tcW w:w="7000" w:type="dxa"/>
            <w:gridSpan w:val="2"/>
            <w:tcBorders>
              <w:top w:val="single" w:color="auto" w:sz="4" w:space="0"/>
              <w:left w:val="single" w:color="auto" w:sz="4" w:space="0"/>
              <w:bottom w:val="single" w:color="auto" w:sz="4" w:space="0"/>
              <w:right w:val="single" w:color="000000" w:sz="4" w:space="0"/>
            </w:tcBorders>
            <w:vAlign w:val="center"/>
          </w:tcPr>
          <w:p>
            <w:pPr>
              <w:rPr>
                <w:rFonts w:eastAsia="方正仿宋简体"/>
                <w:kern w:val="0"/>
                <w:sz w:val="24"/>
                <w:szCs w:val="24"/>
              </w:rPr>
            </w:pPr>
            <w:r>
              <w:rPr>
                <w:rFonts w:eastAsia="方正仿宋简体"/>
                <w:kern w:val="0"/>
                <w:sz w:val="24"/>
                <w:szCs w:val="24"/>
              </w:rPr>
              <w:t>具备拟申请交易权限要求的期权模拟交易经历</w:t>
            </w:r>
          </w:p>
        </w:tc>
        <w:tc>
          <w:tcPr>
            <w:tcW w:w="1600" w:type="dxa"/>
            <w:tcBorders>
              <w:top w:val="nil"/>
              <w:left w:val="nil"/>
              <w:bottom w:val="single" w:color="auto" w:sz="4" w:space="0"/>
              <w:right w:val="single" w:color="auto" w:sz="4" w:space="0"/>
            </w:tcBorders>
            <w:noWrap/>
            <w:vAlign w:val="center"/>
          </w:tcPr>
          <w:p>
            <w:pPr>
              <w:rPr>
                <w:rFonts w:eastAsia="方正仿宋简体"/>
                <w:kern w:val="0"/>
                <w:sz w:val="24"/>
                <w:szCs w:val="24"/>
              </w:rPr>
            </w:pPr>
            <w:r>
              <w:rPr>
                <w:rFonts w:eastAsia="方正仿宋简体"/>
                <w:kern w:val="0"/>
                <w:sz w:val="24"/>
                <w:szCs w:val="24"/>
              </w:rPr>
              <w:t>　</w:t>
            </w:r>
          </w:p>
        </w:tc>
      </w:tr>
      <w:tr>
        <w:tblPrEx>
          <w:tblCellMar>
            <w:top w:w="0" w:type="dxa"/>
            <w:left w:w="108" w:type="dxa"/>
            <w:bottom w:w="0" w:type="dxa"/>
            <w:right w:w="108" w:type="dxa"/>
          </w:tblCellMar>
        </w:tblPrEx>
        <w:trPr>
          <w:trHeight w:val="270" w:hRule="atLeast"/>
        </w:trPr>
        <w:tc>
          <w:tcPr>
            <w:tcW w:w="7000" w:type="dxa"/>
            <w:gridSpan w:val="2"/>
            <w:tcBorders>
              <w:top w:val="single" w:color="auto" w:sz="4" w:space="0"/>
              <w:left w:val="single" w:color="auto" w:sz="4" w:space="0"/>
              <w:bottom w:val="single" w:color="auto" w:sz="4" w:space="0"/>
              <w:right w:val="single" w:color="000000" w:sz="4" w:space="0"/>
            </w:tcBorders>
            <w:vAlign w:val="center"/>
          </w:tcPr>
          <w:p>
            <w:pPr>
              <w:rPr>
                <w:rFonts w:eastAsia="方正仿宋简体"/>
                <w:kern w:val="0"/>
                <w:sz w:val="24"/>
                <w:szCs w:val="24"/>
              </w:rPr>
            </w:pPr>
            <w:r>
              <w:rPr>
                <w:rFonts w:eastAsia="方正仿宋简体"/>
                <w:kern w:val="0"/>
                <w:sz w:val="24"/>
                <w:szCs w:val="24"/>
              </w:rPr>
              <w:t>深市或沪市A股账户开立6个月以上</w:t>
            </w:r>
          </w:p>
        </w:tc>
        <w:tc>
          <w:tcPr>
            <w:tcW w:w="1600" w:type="dxa"/>
            <w:tcBorders>
              <w:top w:val="nil"/>
              <w:left w:val="nil"/>
              <w:bottom w:val="single" w:color="auto" w:sz="4" w:space="0"/>
              <w:right w:val="single" w:color="auto" w:sz="4" w:space="0"/>
            </w:tcBorders>
            <w:noWrap/>
            <w:vAlign w:val="center"/>
          </w:tcPr>
          <w:p>
            <w:pPr>
              <w:rPr>
                <w:rFonts w:eastAsia="方正仿宋简体"/>
                <w:kern w:val="0"/>
                <w:sz w:val="24"/>
                <w:szCs w:val="24"/>
              </w:rPr>
            </w:pPr>
            <w:r>
              <w:rPr>
                <w:rFonts w:eastAsia="方正仿宋简体"/>
                <w:kern w:val="0"/>
                <w:sz w:val="24"/>
                <w:szCs w:val="24"/>
              </w:rPr>
              <w:t>　</w:t>
            </w:r>
          </w:p>
        </w:tc>
      </w:tr>
      <w:tr>
        <w:tblPrEx>
          <w:tblCellMar>
            <w:top w:w="0" w:type="dxa"/>
            <w:left w:w="108" w:type="dxa"/>
            <w:bottom w:w="0" w:type="dxa"/>
            <w:right w:w="108" w:type="dxa"/>
          </w:tblCellMar>
        </w:tblPrEx>
        <w:trPr>
          <w:trHeight w:val="270" w:hRule="atLeast"/>
        </w:trPr>
        <w:tc>
          <w:tcPr>
            <w:tcW w:w="7000" w:type="dxa"/>
            <w:gridSpan w:val="2"/>
            <w:tcBorders>
              <w:top w:val="single" w:color="auto" w:sz="4" w:space="0"/>
              <w:left w:val="single" w:color="auto" w:sz="4" w:space="0"/>
              <w:bottom w:val="single" w:color="auto" w:sz="4" w:space="0"/>
              <w:right w:val="single" w:color="000000" w:sz="4" w:space="0"/>
            </w:tcBorders>
            <w:vAlign w:val="center"/>
          </w:tcPr>
          <w:p>
            <w:pPr>
              <w:rPr>
                <w:rFonts w:eastAsia="方正仿宋简体"/>
                <w:kern w:val="0"/>
                <w:sz w:val="24"/>
                <w:szCs w:val="24"/>
              </w:rPr>
            </w:pPr>
            <w:r>
              <w:rPr>
                <w:rFonts w:eastAsia="方正仿宋简体"/>
                <w:kern w:val="0"/>
                <w:sz w:val="24"/>
                <w:szCs w:val="24"/>
              </w:rPr>
              <w:t>具备融资融券业务参与资格或者金融期货交易经历</w:t>
            </w:r>
          </w:p>
        </w:tc>
        <w:tc>
          <w:tcPr>
            <w:tcW w:w="1600" w:type="dxa"/>
            <w:tcBorders>
              <w:top w:val="nil"/>
              <w:left w:val="nil"/>
              <w:bottom w:val="single" w:color="auto" w:sz="4" w:space="0"/>
              <w:right w:val="single" w:color="auto" w:sz="4" w:space="0"/>
            </w:tcBorders>
            <w:noWrap/>
            <w:vAlign w:val="center"/>
          </w:tcPr>
          <w:p>
            <w:pPr>
              <w:rPr>
                <w:rFonts w:eastAsia="方正仿宋简体"/>
                <w:kern w:val="0"/>
                <w:sz w:val="24"/>
                <w:szCs w:val="24"/>
              </w:rPr>
            </w:pPr>
            <w:r>
              <w:rPr>
                <w:rFonts w:eastAsia="方正仿宋简体"/>
                <w:kern w:val="0"/>
                <w:sz w:val="24"/>
                <w:szCs w:val="24"/>
              </w:rPr>
              <w:t>　</w:t>
            </w:r>
          </w:p>
        </w:tc>
      </w:tr>
      <w:tr>
        <w:tblPrEx>
          <w:tblCellMar>
            <w:top w:w="0" w:type="dxa"/>
            <w:left w:w="108" w:type="dxa"/>
            <w:bottom w:w="0" w:type="dxa"/>
            <w:right w:w="108" w:type="dxa"/>
          </w:tblCellMar>
        </w:tblPrEx>
        <w:trPr>
          <w:trHeight w:val="270" w:hRule="atLeast"/>
        </w:trPr>
        <w:tc>
          <w:tcPr>
            <w:tcW w:w="8600" w:type="dxa"/>
            <w:gridSpan w:val="3"/>
            <w:tcBorders>
              <w:top w:val="single" w:color="auto" w:sz="4" w:space="0"/>
              <w:left w:val="single" w:color="auto" w:sz="4" w:space="0"/>
              <w:bottom w:val="single" w:color="auto" w:sz="4" w:space="0"/>
              <w:right w:val="single" w:color="000000" w:sz="4" w:space="0"/>
            </w:tcBorders>
            <w:noWrap/>
            <w:vAlign w:val="center"/>
          </w:tcPr>
          <w:p>
            <w:pPr>
              <w:rPr>
                <w:rFonts w:eastAsia="方正仿宋简体"/>
                <w:b/>
                <w:kern w:val="0"/>
                <w:sz w:val="24"/>
                <w:szCs w:val="24"/>
              </w:rPr>
            </w:pPr>
            <w:r>
              <w:rPr>
                <w:rFonts w:eastAsia="方正仿宋简体"/>
                <w:b/>
                <w:kern w:val="0"/>
                <w:sz w:val="24"/>
                <w:szCs w:val="24"/>
              </w:rPr>
              <w:t>二、金融类资产状况</w:t>
            </w:r>
          </w:p>
        </w:tc>
      </w:tr>
      <w:tr>
        <w:tblPrEx>
          <w:tblCellMar>
            <w:top w:w="0" w:type="dxa"/>
            <w:left w:w="108" w:type="dxa"/>
            <w:bottom w:w="0" w:type="dxa"/>
            <w:right w:w="108" w:type="dxa"/>
          </w:tblCellMar>
        </w:tblPrEx>
        <w:trPr>
          <w:trHeight w:val="585" w:hRule="atLeast"/>
        </w:trPr>
        <w:tc>
          <w:tcPr>
            <w:tcW w:w="7000" w:type="dxa"/>
            <w:gridSpan w:val="2"/>
            <w:tcBorders>
              <w:top w:val="single" w:color="auto" w:sz="4" w:space="0"/>
              <w:left w:val="single" w:color="auto" w:sz="4" w:space="0"/>
              <w:bottom w:val="single" w:color="auto" w:sz="4" w:space="0"/>
              <w:right w:val="single" w:color="000000" w:sz="4" w:space="0"/>
            </w:tcBorders>
            <w:vAlign w:val="center"/>
          </w:tcPr>
          <w:p>
            <w:pPr>
              <w:rPr>
                <w:rFonts w:eastAsia="方正仿宋简体"/>
                <w:kern w:val="0"/>
                <w:sz w:val="24"/>
                <w:szCs w:val="24"/>
              </w:rPr>
            </w:pPr>
            <w:r>
              <w:rPr>
                <w:rFonts w:eastAsia="方正仿宋简体"/>
                <w:kern w:val="0"/>
                <w:sz w:val="24"/>
                <w:szCs w:val="24"/>
              </w:rPr>
              <w:t>申请开户前20个交易日证券市值与资金账户日均可用余额（不含融资融券客户信用证券账户内的证券市值和信用资金账户内的资金）人民币50万元以上</w:t>
            </w:r>
          </w:p>
        </w:tc>
        <w:tc>
          <w:tcPr>
            <w:tcW w:w="1600" w:type="dxa"/>
            <w:tcBorders>
              <w:top w:val="nil"/>
              <w:left w:val="nil"/>
              <w:bottom w:val="single" w:color="auto" w:sz="4" w:space="0"/>
              <w:right w:val="single" w:color="auto" w:sz="4" w:space="0"/>
            </w:tcBorders>
            <w:noWrap/>
            <w:vAlign w:val="center"/>
          </w:tcPr>
          <w:p>
            <w:pPr>
              <w:rPr>
                <w:rFonts w:eastAsia="方正仿宋简体"/>
                <w:kern w:val="0"/>
                <w:sz w:val="24"/>
                <w:szCs w:val="24"/>
              </w:rPr>
            </w:pPr>
            <w:r>
              <w:rPr>
                <w:rFonts w:eastAsia="方正仿宋简体"/>
                <w:kern w:val="0"/>
                <w:sz w:val="24"/>
                <w:szCs w:val="24"/>
              </w:rPr>
              <w:t>　</w:t>
            </w:r>
          </w:p>
        </w:tc>
      </w:tr>
      <w:tr>
        <w:tblPrEx>
          <w:tblCellMar>
            <w:top w:w="0" w:type="dxa"/>
            <w:left w:w="108" w:type="dxa"/>
            <w:bottom w:w="0" w:type="dxa"/>
            <w:right w:w="108" w:type="dxa"/>
          </w:tblCellMar>
        </w:tblPrEx>
        <w:trPr>
          <w:trHeight w:val="270" w:hRule="atLeast"/>
        </w:trPr>
        <w:tc>
          <w:tcPr>
            <w:tcW w:w="8600" w:type="dxa"/>
            <w:gridSpan w:val="3"/>
            <w:tcBorders>
              <w:top w:val="single" w:color="auto" w:sz="4" w:space="0"/>
              <w:left w:val="single" w:color="auto" w:sz="4" w:space="0"/>
              <w:bottom w:val="single" w:color="auto" w:sz="4" w:space="0"/>
              <w:right w:val="single" w:color="000000" w:sz="4" w:space="0"/>
            </w:tcBorders>
            <w:noWrap/>
            <w:vAlign w:val="center"/>
          </w:tcPr>
          <w:p>
            <w:pPr>
              <w:rPr>
                <w:rFonts w:eastAsia="方正仿宋简体"/>
                <w:kern w:val="0"/>
                <w:sz w:val="24"/>
                <w:szCs w:val="24"/>
              </w:rPr>
            </w:pPr>
            <w:r>
              <w:rPr>
                <w:rFonts w:eastAsia="方正仿宋简体"/>
                <w:b/>
                <w:kern w:val="0"/>
                <w:sz w:val="24"/>
                <w:szCs w:val="24"/>
              </w:rPr>
              <w:t>三、期权基础知识水平</w:t>
            </w:r>
          </w:p>
        </w:tc>
      </w:tr>
      <w:tr>
        <w:tblPrEx>
          <w:tblCellMar>
            <w:top w:w="0" w:type="dxa"/>
            <w:left w:w="108" w:type="dxa"/>
            <w:bottom w:w="0" w:type="dxa"/>
            <w:right w:w="108" w:type="dxa"/>
          </w:tblCellMar>
        </w:tblPrEx>
        <w:trPr>
          <w:trHeight w:val="270" w:hRule="atLeast"/>
        </w:trPr>
        <w:tc>
          <w:tcPr>
            <w:tcW w:w="4800" w:type="dxa"/>
            <w:vMerge w:val="restart"/>
            <w:tcBorders>
              <w:top w:val="nil"/>
              <w:left w:val="single" w:color="auto" w:sz="4" w:space="0"/>
              <w:bottom w:val="single" w:color="000000" w:sz="4" w:space="0"/>
              <w:right w:val="single" w:color="auto" w:sz="4" w:space="0"/>
            </w:tcBorders>
            <w:vAlign w:val="center"/>
          </w:tcPr>
          <w:p>
            <w:pPr>
              <w:rPr>
                <w:rFonts w:eastAsia="方正仿宋简体"/>
                <w:kern w:val="0"/>
                <w:sz w:val="24"/>
                <w:szCs w:val="24"/>
              </w:rPr>
            </w:pPr>
            <w:r>
              <w:rPr>
                <w:rFonts w:eastAsia="方正仿宋简体"/>
                <w:kern w:val="0"/>
                <w:sz w:val="24"/>
                <w:szCs w:val="24"/>
              </w:rPr>
              <w:t>期权知识测试成绩</w:t>
            </w:r>
          </w:p>
        </w:tc>
        <w:tc>
          <w:tcPr>
            <w:tcW w:w="2200" w:type="dxa"/>
            <w:tcBorders>
              <w:top w:val="nil"/>
              <w:left w:val="nil"/>
              <w:bottom w:val="single" w:color="auto" w:sz="4" w:space="0"/>
              <w:right w:val="single" w:color="auto" w:sz="4" w:space="0"/>
            </w:tcBorders>
            <w:vAlign w:val="center"/>
          </w:tcPr>
          <w:p>
            <w:pPr>
              <w:rPr>
                <w:rFonts w:eastAsia="方正仿宋简体"/>
                <w:kern w:val="0"/>
                <w:sz w:val="24"/>
                <w:szCs w:val="24"/>
              </w:rPr>
            </w:pPr>
            <w:r>
              <w:rPr>
                <w:rFonts w:eastAsia="方正仿宋简体"/>
                <w:kern w:val="0"/>
                <w:sz w:val="24"/>
                <w:szCs w:val="24"/>
              </w:rPr>
              <w:t>一级知识测试通过</w:t>
            </w:r>
          </w:p>
        </w:tc>
        <w:tc>
          <w:tcPr>
            <w:tcW w:w="1600" w:type="dxa"/>
            <w:tcBorders>
              <w:top w:val="nil"/>
              <w:left w:val="nil"/>
              <w:bottom w:val="single" w:color="auto" w:sz="4" w:space="0"/>
              <w:right w:val="single" w:color="auto" w:sz="4" w:space="0"/>
            </w:tcBorders>
            <w:noWrap/>
            <w:vAlign w:val="center"/>
          </w:tcPr>
          <w:p>
            <w:pPr>
              <w:rPr>
                <w:rFonts w:eastAsia="方正仿宋简体"/>
                <w:kern w:val="0"/>
                <w:sz w:val="24"/>
                <w:szCs w:val="24"/>
              </w:rPr>
            </w:pPr>
            <w:r>
              <w:rPr>
                <w:rFonts w:eastAsia="方正仿宋简体"/>
                <w:kern w:val="0"/>
                <w:sz w:val="24"/>
                <w:szCs w:val="24"/>
              </w:rPr>
              <w:t>　</w:t>
            </w:r>
          </w:p>
        </w:tc>
      </w:tr>
      <w:tr>
        <w:tblPrEx>
          <w:tblCellMar>
            <w:top w:w="0" w:type="dxa"/>
            <w:left w:w="108" w:type="dxa"/>
            <w:bottom w:w="0" w:type="dxa"/>
            <w:right w:w="108" w:type="dxa"/>
          </w:tblCellMar>
        </w:tblPrEx>
        <w:trPr>
          <w:trHeight w:val="270" w:hRule="atLeast"/>
        </w:trPr>
        <w:tc>
          <w:tcPr>
            <w:tcW w:w="0" w:type="auto"/>
            <w:vMerge w:val="continue"/>
            <w:tcBorders>
              <w:top w:val="nil"/>
              <w:left w:val="single" w:color="auto" w:sz="4" w:space="0"/>
              <w:bottom w:val="single" w:color="000000" w:sz="4" w:space="0"/>
              <w:right w:val="single" w:color="auto" w:sz="4" w:space="0"/>
            </w:tcBorders>
            <w:vAlign w:val="center"/>
          </w:tcPr>
          <w:p>
            <w:pPr>
              <w:rPr>
                <w:rFonts w:eastAsia="方正仿宋简体"/>
                <w:kern w:val="0"/>
                <w:sz w:val="24"/>
                <w:szCs w:val="24"/>
              </w:rPr>
            </w:pPr>
          </w:p>
        </w:tc>
        <w:tc>
          <w:tcPr>
            <w:tcW w:w="2200" w:type="dxa"/>
            <w:tcBorders>
              <w:top w:val="nil"/>
              <w:left w:val="nil"/>
              <w:bottom w:val="single" w:color="auto" w:sz="4" w:space="0"/>
              <w:right w:val="single" w:color="auto" w:sz="4" w:space="0"/>
            </w:tcBorders>
            <w:vAlign w:val="center"/>
          </w:tcPr>
          <w:p>
            <w:pPr>
              <w:rPr>
                <w:rFonts w:eastAsia="方正仿宋简体"/>
                <w:kern w:val="0"/>
                <w:sz w:val="24"/>
                <w:szCs w:val="24"/>
              </w:rPr>
            </w:pPr>
            <w:r>
              <w:rPr>
                <w:rFonts w:eastAsia="方正仿宋简体"/>
                <w:kern w:val="0"/>
                <w:sz w:val="24"/>
                <w:szCs w:val="24"/>
              </w:rPr>
              <w:t>二级知识测试通过</w:t>
            </w:r>
          </w:p>
        </w:tc>
        <w:tc>
          <w:tcPr>
            <w:tcW w:w="1600" w:type="dxa"/>
            <w:tcBorders>
              <w:top w:val="nil"/>
              <w:left w:val="nil"/>
              <w:bottom w:val="single" w:color="auto" w:sz="4" w:space="0"/>
              <w:right w:val="single" w:color="auto" w:sz="4" w:space="0"/>
            </w:tcBorders>
            <w:noWrap/>
            <w:vAlign w:val="center"/>
          </w:tcPr>
          <w:p>
            <w:pPr>
              <w:rPr>
                <w:rFonts w:eastAsia="方正仿宋简体"/>
                <w:kern w:val="0"/>
                <w:sz w:val="24"/>
                <w:szCs w:val="24"/>
              </w:rPr>
            </w:pPr>
            <w:r>
              <w:rPr>
                <w:rFonts w:eastAsia="方正仿宋简体"/>
                <w:kern w:val="0"/>
                <w:sz w:val="24"/>
                <w:szCs w:val="24"/>
              </w:rPr>
              <w:t>　</w:t>
            </w:r>
          </w:p>
        </w:tc>
      </w:tr>
      <w:tr>
        <w:tblPrEx>
          <w:tblCellMar>
            <w:top w:w="0" w:type="dxa"/>
            <w:left w:w="108" w:type="dxa"/>
            <w:bottom w:w="0" w:type="dxa"/>
            <w:right w:w="108" w:type="dxa"/>
          </w:tblCellMar>
        </w:tblPrEx>
        <w:trPr>
          <w:trHeight w:val="270" w:hRule="atLeast"/>
        </w:trPr>
        <w:tc>
          <w:tcPr>
            <w:tcW w:w="0" w:type="auto"/>
            <w:vMerge w:val="continue"/>
            <w:tcBorders>
              <w:top w:val="nil"/>
              <w:left w:val="single" w:color="auto" w:sz="4" w:space="0"/>
              <w:bottom w:val="single" w:color="000000" w:sz="4" w:space="0"/>
              <w:right w:val="single" w:color="auto" w:sz="4" w:space="0"/>
            </w:tcBorders>
            <w:vAlign w:val="center"/>
          </w:tcPr>
          <w:p>
            <w:pPr>
              <w:rPr>
                <w:rFonts w:eastAsia="方正仿宋简体"/>
                <w:kern w:val="0"/>
                <w:sz w:val="24"/>
                <w:szCs w:val="24"/>
              </w:rPr>
            </w:pPr>
          </w:p>
        </w:tc>
        <w:tc>
          <w:tcPr>
            <w:tcW w:w="2200" w:type="dxa"/>
            <w:tcBorders>
              <w:top w:val="nil"/>
              <w:left w:val="nil"/>
              <w:bottom w:val="single" w:color="auto" w:sz="4" w:space="0"/>
              <w:right w:val="single" w:color="auto" w:sz="4" w:space="0"/>
            </w:tcBorders>
            <w:vAlign w:val="center"/>
          </w:tcPr>
          <w:p>
            <w:pPr>
              <w:rPr>
                <w:rFonts w:eastAsia="方正仿宋简体"/>
                <w:kern w:val="0"/>
                <w:sz w:val="24"/>
                <w:szCs w:val="24"/>
              </w:rPr>
            </w:pPr>
            <w:r>
              <w:rPr>
                <w:rFonts w:eastAsia="方正仿宋简体"/>
                <w:kern w:val="0"/>
                <w:sz w:val="24"/>
                <w:szCs w:val="24"/>
              </w:rPr>
              <w:t>三级知识测试通过</w:t>
            </w:r>
          </w:p>
        </w:tc>
        <w:tc>
          <w:tcPr>
            <w:tcW w:w="1600" w:type="dxa"/>
            <w:tcBorders>
              <w:top w:val="nil"/>
              <w:left w:val="nil"/>
              <w:bottom w:val="single" w:color="auto" w:sz="4" w:space="0"/>
              <w:right w:val="single" w:color="auto" w:sz="4" w:space="0"/>
            </w:tcBorders>
            <w:noWrap/>
            <w:vAlign w:val="center"/>
          </w:tcPr>
          <w:p>
            <w:pPr>
              <w:rPr>
                <w:rFonts w:eastAsia="方正仿宋简体"/>
                <w:kern w:val="0"/>
                <w:sz w:val="24"/>
                <w:szCs w:val="24"/>
              </w:rPr>
            </w:pPr>
            <w:r>
              <w:rPr>
                <w:rFonts w:eastAsia="方正仿宋简体"/>
                <w:kern w:val="0"/>
                <w:sz w:val="24"/>
                <w:szCs w:val="24"/>
              </w:rPr>
              <w:t>　</w:t>
            </w:r>
          </w:p>
        </w:tc>
      </w:tr>
      <w:tr>
        <w:tblPrEx>
          <w:tblCellMar>
            <w:top w:w="0" w:type="dxa"/>
            <w:left w:w="108" w:type="dxa"/>
            <w:bottom w:w="0" w:type="dxa"/>
            <w:right w:w="108" w:type="dxa"/>
          </w:tblCellMar>
        </w:tblPrEx>
        <w:trPr>
          <w:trHeight w:val="270" w:hRule="atLeast"/>
        </w:trPr>
        <w:tc>
          <w:tcPr>
            <w:tcW w:w="0" w:type="auto"/>
            <w:vMerge w:val="continue"/>
            <w:tcBorders>
              <w:top w:val="nil"/>
              <w:left w:val="single" w:color="auto" w:sz="4" w:space="0"/>
              <w:bottom w:val="single" w:color="000000" w:sz="4" w:space="0"/>
              <w:right w:val="single" w:color="auto" w:sz="4" w:space="0"/>
            </w:tcBorders>
            <w:vAlign w:val="center"/>
          </w:tcPr>
          <w:p>
            <w:pPr>
              <w:rPr>
                <w:rFonts w:eastAsia="方正仿宋简体"/>
                <w:kern w:val="0"/>
                <w:sz w:val="24"/>
                <w:szCs w:val="24"/>
              </w:rPr>
            </w:pPr>
          </w:p>
        </w:tc>
        <w:tc>
          <w:tcPr>
            <w:tcW w:w="2200" w:type="dxa"/>
            <w:tcBorders>
              <w:top w:val="nil"/>
              <w:left w:val="nil"/>
              <w:bottom w:val="single" w:color="auto" w:sz="4" w:space="0"/>
              <w:right w:val="single" w:color="auto" w:sz="4" w:space="0"/>
            </w:tcBorders>
            <w:vAlign w:val="center"/>
          </w:tcPr>
          <w:p>
            <w:pPr>
              <w:rPr>
                <w:rFonts w:eastAsia="方正仿宋简体"/>
                <w:kern w:val="0"/>
                <w:sz w:val="24"/>
                <w:szCs w:val="24"/>
              </w:rPr>
            </w:pPr>
            <w:r>
              <w:rPr>
                <w:rFonts w:eastAsia="方正仿宋简体"/>
                <w:kern w:val="0"/>
                <w:sz w:val="24"/>
                <w:szCs w:val="24"/>
              </w:rPr>
              <w:t>综合知识测试通过</w:t>
            </w:r>
          </w:p>
        </w:tc>
        <w:tc>
          <w:tcPr>
            <w:tcW w:w="1600" w:type="dxa"/>
            <w:tcBorders>
              <w:top w:val="nil"/>
              <w:left w:val="nil"/>
              <w:bottom w:val="single" w:color="auto" w:sz="4" w:space="0"/>
              <w:right w:val="single" w:color="auto" w:sz="4" w:space="0"/>
            </w:tcBorders>
            <w:noWrap/>
            <w:vAlign w:val="center"/>
          </w:tcPr>
          <w:p>
            <w:pPr>
              <w:rPr>
                <w:rFonts w:eastAsia="方正仿宋简体"/>
                <w:kern w:val="0"/>
                <w:sz w:val="24"/>
                <w:szCs w:val="24"/>
              </w:rPr>
            </w:pPr>
            <w:r>
              <w:rPr>
                <w:rFonts w:eastAsia="方正仿宋简体"/>
                <w:kern w:val="0"/>
                <w:sz w:val="24"/>
                <w:szCs w:val="24"/>
              </w:rPr>
              <w:t>　</w:t>
            </w:r>
          </w:p>
        </w:tc>
      </w:tr>
      <w:tr>
        <w:tblPrEx>
          <w:tblCellMar>
            <w:top w:w="0" w:type="dxa"/>
            <w:left w:w="108" w:type="dxa"/>
            <w:bottom w:w="0" w:type="dxa"/>
            <w:right w:w="108" w:type="dxa"/>
          </w:tblCellMar>
        </w:tblPrEx>
        <w:trPr>
          <w:trHeight w:val="270" w:hRule="atLeast"/>
        </w:trPr>
        <w:tc>
          <w:tcPr>
            <w:tcW w:w="8600" w:type="dxa"/>
            <w:gridSpan w:val="3"/>
            <w:tcBorders>
              <w:top w:val="single" w:color="auto" w:sz="4" w:space="0"/>
              <w:left w:val="single" w:color="auto" w:sz="4" w:space="0"/>
              <w:bottom w:val="single" w:color="auto" w:sz="4" w:space="0"/>
              <w:right w:val="single" w:color="000000" w:sz="4" w:space="0"/>
            </w:tcBorders>
            <w:noWrap/>
            <w:vAlign w:val="center"/>
          </w:tcPr>
          <w:p>
            <w:pPr>
              <w:rPr>
                <w:rFonts w:eastAsia="方正仿宋简体"/>
                <w:kern w:val="0"/>
                <w:sz w:val="24"/>
                <w:szCs w:val="24"/>
              </w:rPr>
            </w:pPr>
            <w:r>
              <w:rPr>
                <w:rFonts w:eastAsia="方正仿宋简体"/>
                <w:b/>
                <w:kern w:val="0"/>
                <w:sz w:val="24"/>
                <w:szCs w:val="24"/>
              </w:rPr>
              <w:t>四、风险评估</w:t>
            </w:r>
          </w:p>
        </w:tc>
      </w:tr>
      <w:tr>
        <w:tblPrEx>
          <w:tblCellMar>
            <w:top w:w="0" w:type="dxa"/>
            <w:left w:w="108" w:type="dxa"/>
            <w:bottom w:w="0" w:type="dxa"/>
            <w:right w:w="108" w:type="dxa"/>
          </w:tblCellMar>
        </w:tblPrEx>
        <w:trPr>
          <w:trHeight w:val="377" w:hRule="atLeast"/>
        </w:trPr>
        <w:tc>
          <w:tcPr>
            <w:tcW w:w="7000" w:type="dxa"/>
            <w:gridSpan w:val="2"/>
            <w:tcBorders>
              <w:top w:val="nil"/>
              <w:left w:val="single" w:color="auto" w:sz="4" w:space="0"/>
              <w:bottom w:val="nil"/>
              <w:right w:val="single" w:color="auto" w:sz="4" w:space="0"/>
            </w:tcBorders>
            <w:vAlign w:val="center"/>
          </w:tcPr>
          <w:p>
            <w:pPr>
              <w:jc w:val="center"/>
              <w:rPr>
                <w:rFonts w:eastAsia="方正仿宋简体"/>
                <w:kern w:val="0"/>
                <w:sz w:val="24"/>
                <w:szCs w:val="24"/>
              </w:rPr>
            </w:pPr>
            <w:r>
              <w:rPr>
                <w:rFonts w:eastAsia="方正仿宋简体"/>
                <w:kern w:val="0"/>
                <w:sz w:val="24"/>
                <w:szCs w:val="24"/>
              </w:rPr>
              <w:t>通过风险承受能力评估</w:t>
            </w:r>
          </w:p>
        </w:tc>
        <w:tc>
          <w:tcPr>
            <w:tcW w:w="1600" w:type="dxa"/>
            <w:tcBorders>
              <w:top w:val="nil"/>
              <w:left w:val="nil"/>
              <w:bottom w:val="nil"/>
              <w:right w:val="single" w:color="auto" w:sz="4" w:space="0"/>
            </w:tcBorders>
            <w:noWrap/>
            <w:vAlign w:val="center"/>
          </w:tcPr>
          <w:p>
            <w:pPr>
              <w:rPr>
                <w:rFonts w:eastAsia="方正仿宋简体"/>
                <w:kern w:val="0"/>
                <w:sz w:val="24"/>
                <w:szCs w:val="24"/>
              </w:rPr>
            </w:pPr>
            <w:r>
              <w:rPr>
                <w:rFonts w:eastAsia="方正仿宋简体"/>
                <w:kern w:val="0"/>
                <w:sz w:val="24"/>
                <w:szCs w:val="24"/>
              </w:rPr>
              <w:t>　</w:t>
            </w:r>
          </w:p>
        </w:tc>
      </w:tr>
      <w:tr>
        <w:tblPrEx>
          <w:tblCellMar>
            <w:top w:w="0" w:type="dxa"/>
            <w:left w:w="108" w:type="dxa"/>
            <w:bottom w:w="0" w:type="dxa"/>
            <w:right w:w="108" w:type="dxa"/>
          </w:tblCellMar>
        </w:tblPrEx>
        <w:trPr>
          <w:trHeight w:val="270" w:hRule="atLeast"/>
        </w:trPr>
        <w:tc>
          <w:tcPr>
            <w:tcW w:w="8600" w:type="dxa"/>
            <w:gridSpan w:val="3"/>
            <w:tcBorders>
              <w:top w:val="single" w:color="auto" w:sz="4" w:space="0"/>
              <w:left w:val="single" w:color="auto" w:sz="4" w:space="0"/>
              <w:bottom w:val="single" w:color="auto" w:sz="4" w:space="0"/>
              <w:right w:val="single" w:color="000000" w:sz="4" w:space="0"/>
            </w:tcBorders>
            <w:noWrap/>
            <w:vAlign w:val="center"/>
          </w:tcPr>
          <w:p>
            <w:pPr>
              <w:rPr>
                <w:rFonts w:eastAsia="方正仿宋简体"/>
                <w:b/>
                <w:kern w:val="0"/>
                <w:sz w:val="24"/>
                <w:szCs w:val="24"/>
              </w:rPr>
            </w:pPr>
            <w:r>
              <w:rPr>
                <w:rFonts w:eastAsia="方正仿宋简体"/>
                <w:b/>
                <w:kern w:val="0"/>
                <w:sz w:val="24"/>
                <w:szCs w:val="24"/>
              </w:rPr>
              <w:t>五、不良诚信记录</w:t>
            </w:r>
          </w:p>
        </w:tc>
      </w:tr>
      <w:tr>
        <w:tblPrEx>
          <w:tblCellMar>
            <w:top w:w="0" w:type="dxa"/>
            <w:left w:w="108" w:type="dxa"/>
            <w:bottom w:w="0" w:type="dxa"/>
            <w:right w:w="108" w:type="dxa"/>
          </w:tblCellMar>
        </w:tblPrEx>
        <w:trPr>
          <w:trHeight w:val="373" w:hRule="atLeast"/>
        </w:trPr>
        <w:tc>
          <w:tcPr>
            <w:tcW w:w="7000" w:type="dxa"/>
            <w:gridSpan w:val="2"/>
            <w:tcBorders>
              <w:top w:val="nil"/>
              <w:left w:val="single" w:color="auto" w:sz="4" w:space="0"/>
              <w:bottom w:val="nil"/>
              <w:right w:val="single" w:color="auto" w:sz="4" w:space="0"/>
            </w:tcBorders>
            <w:vAlign w:val="center"/>
          </w:tcPr>
          <w:p>
            <w:pPr>
              <w:jc w:val="center"/>
              <w:rPr>
                <w:rFonts w:eastAsia="方正仿宋简体"/>
                <w:kern w:val="0"/>
                <w:sz w:val="24"/>
                <w:szCs w:val="24"/>
              </w:rPr>
            </w:pPr>
            <w:r>
              <w:rPr>
                <w:rFonts w:eastAsia="方正仿宋简体"/>
                <w:kern w:val="0"/>
                <w:sz w:val="24"/>
                <w:szCs w:val="24"/>
              </w:rPr>
              <w:t>无不良诚信记录</w:t>
            </w:r>
          </w:p>
        </w:tc>
        <w:tc>
          <w:tcPr>
            <w:tcW w:w="1600" w:type="dxa"/>
            <w:tcBorders>
              <w:top w:val="nil"/>
              <w:left w:val="nil"/>
              <w:bottom w:val="nil"/>
              <w:right w:val="single" w:color="auto" w:sz="4" w:space="0"/>
            </w:tcBorders>
            <w:noWrap/>
            <w:vAlign w:val="center"/>
          </w:tcPr>
          <w:p>
            <w:pPr>
              <w:rPr>
                <w:rFonts w:eastAsia="方正仿宋简体"/>
                <w:kern w:val="0"/>
                <w:sz w:val="24"/>
                <w:szCs w:val="24"/>
              </w:rPr>
            </w:pPr>
            <w:r>
              <w:rPr>
                <w:rFonts w:eastAsia="方正仿宋简体"/>
                <w:kern w:val="0"/>
                <w:sz w:val="24"/>
                <w:szCs w:val="24"/>
              </w:rPr>
              <w:t>　</w:t>
            </w:r>
          </w:p>
        </w:tc>
      </w:tr>
      <w:tr>
        <w:tblPrEx>
          <w:tblCellMar>
            <w:top w:w="0" w:type="dxa"/>
            <w:left w:w="108" w:type="dxa"/>
            <w:bottom w:w="0" w:type="dxa"/>
            <w:right w:w="108" w:type="dxa"/>
          </w:tblCellMar>
        </w:tblPrEx>
        <w:trPr>
          <w:trHeight w:val="270" w:hRule="atLeast"/>
        </w:trPr>
        <w:tc>
          <w:tcPr>
            <w:tcW w:w="8600" w:type="dxa"/>
            <w:gridSpan w:val="3"/>
            <w:tcBorders>
              <w:top w:val="single" w:color="auto" w:sz="4" w:space="0"/>
              <w:left w:val="single" w:color="auto" w:sz="4" w:space="0"/>
              <w:bottom w:val="single" w:color="auto" w:sz="4" w:space="0"/>
              <w:right w:val="single" w:color="auto" w:sz="4" w:space="0"/>
            </w:tcBorders>
            <w:vAlign w:val="center"/>
          </w:tcPr>
          <w:p>
            <w:pPr>
              <w:jc w:val="center"/>
              <w:rPr>
                <w:rFonts w:eastAsia="方正仿宋简体"/>
                <w:b/>
                <w:kern w:val="0"/>
                <w:sz w:val="24"/>
                <w:szCs w:val="24"/>
              </w:rPr>
            </w:pPr>
            <w:r>
              <w:rPr>
                <w:rFonts w:eastAsia="方正仿宋简体"/>
                <w:b/>
                <w:kern w:val="0"/>
                <w:sz w:val="24"/>
                <w:szCs w:val="24"/>
              </w:rPr>
              <w:t>本人承诺</w:t>
            </w:r>
          </w:p>
        </w:tc>
      </w:tr>
      <w:tr>
        <w:tblPrEx>
          <w:tblCellMar>
            <w:top w:w="0" w:type="dxa"/>
            <w:left w:w="108" w:type="dxa"/>
            <w:bottom w:w="0" w:type="dxa"/>
            <w:right w:w="108" w:type="dxa"/>
          </w:tblCellMar>
        </w:tblPrEx>
        <w:trPr>
          <w:trHeight w:val="270" w:hRule="atLeast"/>
        </w:trPr>
        <w:tc>
          <w:tcPr>
            <w:tcW w:w="8600" w:type="dxa"/>
            <w:gridSpan w:val="3"/>
            <w:tcBorders>
              <w:top w:val="single" w:color="auto" w:sz="4" w:space="0"/>
              <w:left w:val="single" w:color="auto" w:sz="4" w:space="0"/>
              <w:bottom w:val="single" w:color="auto" w:sz="4" w:space="0"/>
              <w:right w:val="single" w:color="000000" w:sz="4" w:space="0"/>
            </w:tcBorders>
            <w:vAlign w:val="center"/>
          </w:tcPr>
          <w:p>
            <w:pPr>
              <w:rPr>
                <w:rFonts w:eastAsia="方正仿宋简体"/>
                <w:kern w:val="0"/>
                <w:sz w:val="24"/>
                <w:szCs w:val="24"/>
              </w:rPr>
            </w:pPr>
            <w:r>
              <w:rPr>
                <w:rFonts w:eastAsia="方正仿宋简体"/>
                <w:kern w:val="0"/>
                <w:sz w:val="24"/>
                <w:szCs w:val="24"/>
              </w:rPr>
              <w:t>1．本人对所提供相关证明材料的真实性负责，并自愿承担因材料不实导致的一切后果。</w:t>
            </w:r>
          </w:p>
        </w:tc>
      </w:tr>
      <w:tr>
        <w:tblPrEx>
          <w:tblCellMar>
            <w:top w:w="0" w:type="dxa"/>
            <w:left w:w="108" w:type="dxa"/>
            <w:bottom w:w="0" w:type="dxa"/>
            <w:right w:w="108" w:type="dxa"/>
          </w:tblCellMar>
        </w:tblPrEx>
        <w:trPr>
          <w:trHeight w:val="270" w:hRule="atLeast"/>
        </w:trPr>
        <w:tc>
          <w:tcPr>
            <w:tcW w:w="8600" w:type="dxa"/>
            <w:gridSpan w:val="3"/>
            <w:tcBorders>
              <w:top w:val="single" w:color="auto" w:sz="4" w:space="0"/>
              <w:left w:val="single" w:color="auto" w:sz="4" w:space="0"/>
              <w:bottom w:val="single" w:color="auto" w:sz="4" w:space="0"/>
              <w:right w:val="single" w:color="auto" w:sz="4" w:space="0"/>
            </w:tcBorders>
            <w:noWrap/>
            <w:vAlign w:val="center"/>
          </w:tcPr>
          <w:p>
            <w:pPr>
              <w:rPr>
                <w:rFonts w:eastAsia="方正仿宋简体"/>
                <w:kern w:val="0"/>
                <w:sz w:val="24"/>
                <w:szCs w:val="24"/>
              </w:rPr>
            </w:pPr>
            <w:r>
              <w:rPr>
                <w:rFonts w:eastAsia="方正仿宋简体"/>
                <w:kern w:val="0"/>
                <w:sz w:val="24"/>
                <w:szCs w:val="24"/>
              </w:rPr>
              <w:t>2．本人不存在重大未申报的不良信用记录。</w:t>
            </w:r>
          </w:p>
        </w:tc>
      </w:tr>
      <w:tr>
        <w:tblPrEx>
          <w:tblCellMar>
            <w:top w:w="0" w:type="dxa"/>
            <w:left w:w="108" w:type="dxa"/>
            <w:bottom w:w="0" w:type="dxa"/>
            <w:right w:w="108" w:type="dxa"/>
          </w:tblCellMar>
        </w:tblPrEx>
        <w:trPr>
          <w:trHeight w:val="270" w:hRule="atLeast"/>
        </w:trPr>
        <w:tc>
          <w:tcPr>
            <w:tcW w:w="8600" w:type="dxa"/>
            <w:gridSpan w:val="3"/>
            <w:tcBorders>
              <w:top w:val="single" w:color="auto" w:sz="4" w:space="0"/>
              <w:left w:val="single" w:color="auto" w:sz="4" w:space="0"/>
              <w:bottom w:val="single" w:color="auto" w:sz="4" w:space="0"/>
              <w:right w:val="single" w:color="auto" w:sz="4" w:space="0"/>
            </w:tcBorders>
            <w:vAlign w:val="center"/>
          </w:tcPr>
          <w:p>
            <w:pPr>
              <w:rPr>
                <w:rFonts w:eastAsia="方正仿宋简体"/>
                <w:kern w:val="0"/>
                <w:sz w:val="24"/>
                <w:szCs w:val="24"/>
              </w:rPr>
            </w:pPr>
            <w:r>
              <w:rPr>
                <w:rFonts w:eastAsia="方正仿宋简体"/>
                <w:kern w:val="0"/>
                <w:sz w:val="24"/>
                <w:szCs w:val="24"/>
              </w:rPr>
              <w:t>3．本人不存在证券市场禁入以及法律、行政法规、规章和深圳证券交易所业务规则禁止从事期权交易的情形。</w:t>
            </w:r>
          </w:p>
        </w:tc>
      </w:tr>
      <w:tr>
        <w:tblPrEx>
          <w:tblCellMar>
            <w:top w:w="0" w:type="dxa"/>
            <w:left w:w="108" w:type="dxa"/>
            <w:bottom w:w="0" w:type="dxa"/>
            <w:right w:w="108" w:type="dxa"/>
          </w:tblCellMar>
        </w:tblPrEx>
        <w:trPr>
          <w:trHeight w:val="270" w:hRule="atLeast"/>
        </w:trPr>
        <w:tc>
          <w:tcPr>
            <w:tcW w:w="8600" w:type="dxa"/>
            <w:gridSpan w:val="3"/>
            <w:tcBorders>
              <w:top w:val="single" w:color="auto" w:sz="4" w:space="0"/>
              <w:left w:val="single" w:color="auto" w:sz="4" w:space="0"/>
              <w:bottom w:val="single" w:color="auto" w:sz="4" w:space="0"/>
              <w:right w:val="single" w:color="auto" w:sz="4" w:space="0"/>
            </w:tcBorders>
            <w:noWrap/>
            <w:vAlign w:val="center"/>
          </w:tcPr>
          <w:p>
            <w:pPr>
              <w:rPr>
                <w:rFonts w:eastAsia="方正仿宋简体"/>
                <w:kern w:val="0"/>
                <w:sz w:val="24"/>
                <w:szCs w:val="24"/>
              </w:rPr>
            </w:pPr>
            <w:r>
              <w:rPr>
                <w:rFonts w:eastAsia="方正仿宋简体"/>
                <w:kern w:val="0"/>
                <w:sz w:val="24"/>
                <w:szCs w:val="24"/>
              </w:rPr>
              <w:t>4．本人身体健康，不存在不适宜从事期权交易的情形。</w:t>
            </w:r>
          </w:p>
        </w:tc>
      </w:tr>
      <w:tr>
        <w:tblPrEx>
          <w:tblCellMar>
            <w:top w:w="0" w:type="dxa"/>
            <w:left w:w="108" w:type="dxa"/>
            <w:bottom w:w="0" w:type="dxa"/>
            <w:right w:w="108" w:type="dxa"/>
          </w:tblCellMar>
        </w:tblPrEx>
        <w:trPr>
          <w:trHeight w:val="270" w:hRule="atLeast"/>
        </w:trPr>
        <w:tc>
          <w:tcPr>
            <w:tcW w:w="8600" w:type="dxa"/>
            <w:gridSpan w:val="3"/>
            <w:tcBorders>
              <w:top w:val="single" w:color="auto" w:sz="4" w:space="0"/>
              <w:left w:val="single" w:color="auto" w:sz="4" w:space="0"/>
              <w:bottom w:val="single" w:color="auto" w:sz="4" w:space="0"/>
              <w:right w:val="single" w:color="auto" w:sz="4" w:space="0"/>
            </w:tcBorders>
            <w:noWrap/>
            <w:vAlign w:val="center"/>
          </w:tcPr>
          <w:p>
            <w:pPr>
              <w:rPr>
                <w:rFonts w:eastAsia="方正仿宋简体"/>
                <w:kern w:val="0"/>
                <w:sz w:val="24"/>
                <w:szCs w:val="24"/>
              </w:rPr>
            </w:pPr>
            <w:r>
              <w:rPr>
                <w:rFonts w:eastAsia="方正仿宋简体"/>
                <w:kern w:val="0"/>
                <w:sz w:val="24"/>
                <w:szCs w:val="24"/>
              </w:rPr>
              <w:t>*5.（对于已开立沪市衍生品合约账户的投资者）本人已了解深沪两市股票期权交易制度的区别。</w:t>
            </w:r>
          </w:p>
        </w:tc>
      </w:tr>
      <w:tr>
        <w:tblPrEx>
          <w:tblCellMar>
            <w:top w:w="0" w:type="dxa"/>
            <w:left w:w="108" w:type="dxa"/>
            <w:bottom w:w="0" w:type="dxa"/>
            <w:right w:w="108" w:type="dxa"/>
          </w:tblCellMar>
        </w:tblPrEx>
        <w:trPr>
          <w:trHeight w:val="285" w:hRule="atLeast"/>
        </w:trPr>
        <w:tc>
          <w:tcPr>
            <w:tcW w:w="8600" w:type="dxa"/>
            <w:gridSpan w:val="3"/>
            <w:tcBorders>
              <w:top w:val="single" w:color="auto" w:sz="4" w:space="0"/>
              <w:left w:val="single" w:color="auto" w:sz="4" w:space="0"/>
              <w:bottom w:val="single" w:color="auto" w:sz="4" w:space="0"/>
              <w:right w:val="single" w:color="auto" w:sz="4" w:space="0"/>
            </w:tcBorders>
            <w:vAlign w:val="center"/>
          </w:tcPr>
          <w:p>
            <w:pPr>
              <w:rPr>
                <w:rFonts w:eastAsia="方正仿宋简体"/>
                <w:b/>
                <w:kern w:val="0"/>
                <w:sz w:val="24"/>
                <w:szCs w:val="24"/>
              </w:rPr>
            </w:pPr>
            <w:r>
              <w:rPr>
                <w:rFonts w:eastAsia="方正仿宋简体"/>
                <w:b/>
                <w:kern w:val="0"/>
                <w:sz w:val="24"/>
                <w:szCs w:val="24"/>
              </w:rPr>
              <w:t>投资者（签字）：                             日期：</w:t>
            </w:r>
          </w:p>
        </w:tc>
      </w:tr>
      <w:tr>
        <w:tblPrEx>
          <w:tblCellMar>
            <w:top w:w="0" w:type="dxa"/>
            <w:left w:w="108" w:type="dxa"/>
            <w:bottom w:w="0" w:type="dxa"/>
            <w:right w:w="108" w:type="dxa"/>
          </w:tblCellMar>
        </w:tblPrEx>
        <w:trPr>
          <w:trHeight w:val="270" w:hRule="atLeast"/>
        </w:trPr>
        <w:tc>
          <w:tcPr>
            <w:tcW w:w="8600" w:type="dxa"/>
            <w:gridSpan w:val="3"/>
            <w:tcBorders>
              <w:top w:val="single" w:color="auto" w:sz="4" w:space="0"/>
              <w:left w:val="single" w:color="auto" w:sz="4" w:space="0"/>
              <w:bottom w:val="single" w:color="auto" w:sz="4" w:space="0"/>
              <w:right w:val="single" w:color="auto" w:sz="4" w:space="0"/>
            </w:tcBorders>
            <w:vAlign w:val="center"/>
          </w:tcPr>
          <w:p>
            <w:pPr>
              <w:rPr>
                <w:rFonts w:eastAsia="方正仿宋简体"/>
                <w:b/>
                <w:kern w:val="0"/>
                <w:sz w:val="24"/>
                <w:szCs w:val="24"/>
              </w:rPr>
            </w:pPr>
            <w:r>
              <w:rPr>
                <w:rFonts w:eastAsia="方正仿宋简体"/>
                <w:b/>
                <w:kern w:val="0"/>
                <w:sz w:val="24"/>
                <w:szCs w:val="24"/>
              </w:rPr>
              <w:t xml:space="preserve">分支机构开户经办人（签字）：              </w:t>
            </w:r>
          </w:p>
        </w:tc>
      </w:tr>
      <w:tr>
        <w:tblPrEx>
          <w:tblCellMar>
            <w:top w:w="0" w:type="dxa"/>
            <w:left w:w="108" w:type="dxa"/>
            <w:bottom w:w="0" w:type="dxa"/>
            <w:right w:w="108" w:type="dxa"/>
          </w:tblCellMar>
        </w:tblPrEx>
        <w:trPr>
          <w:trHeight w:val="270" w:hRule="atLeast"/>
        </w:trPr>
        <w:tc>
          <w:tcPr>
            <w:tcW w:w="8600" w:type="dxa"/>
            <w:gridSpan w:val="3"/>
            <w:tcBorders>
              <w:top w:val="single" w:color="auto" w:sz="4" w:space="0"/>
              <w:left w:val="single" w:color="auto" w:sz="4" w:space="0"/>
              <w:bottom w:val="single" w:color="auto" w:sz="4" w:space="0"/>
              <w:right w:val="single" w:color="auto" w:sz="4" w:space="0"/>
            </w:tcBorders>
            <w:vAlign w:val="center"/>
          </w:tcPr>
          <w:p>
            <w:pPr>
              <w:rPr>
                <w:rFonts w:eastAsia="方正仿宋简体"/>
                <w:b/>
                <w:kern w:val="0"/>
                <w:sz w:val="24"/>
                <w:szCs w:val="24"/>
              </w:rPr>
            </w:pPr>
            <w:r>
              <w:rPr>
                <w:rFonts w:eastAsia="方正仿宋简体"/>
                <w:b/>
                <w:kern w:val="0"/>
                <w:sz w:val="24"/>
                <w:szCs w:val="24"/>
              </w:rPr>
              <w:t>日期：</w:t>
            </w:r>
          </w:p>
        </w:tc>
      </w:tr>
      <w:tr>
        <w:tblPrEx>
          <w:tblCellMar>
            <w:top w:w="0" w:type="dxa"/>
            <w:left w:w="108" w:type="dxa"/>
            <w:bottom w:w="0" w:type="dxa"/>
            <w:right w:w="108" w:type="dxa"/>
          </w:tblCellMar>
        </w:tblPrEx>
        <w:trPr>
          <w:trHeight w:val="270" w:hRule="atLeast"/>
        </w:trPr>
        <w:tc>
          <w:tcPr>
            <w:tcW w:w="8600" w:type="dxa"/>
            <w:gridSpan w:val="3"/>
            <w:tcBorders>
              <w:top w:val="single" w:color="auto" w:sz="4" w:space="0"/>
              <w:left w:val="single" w:color="auto" w:sz="4" w:space="0"/>
              <w:bottom w:val="single" w:color="auto" w:sz="4" w:space="0"/>
              <w:right w:val="single" w:color="auto" w:sz="4" w:space="0"/>
            </w:tcBorders>
            <w:vAlign w:val="center"/>
          </w:tcPr>
          <w:p>
            <w:pPr>
              <w:rPr>
                <w:rFonts w:eastAsia="方正仿宋简体"/>
                <w:b/>
                <w:kern w:val="0"/>
                <w:sz w:val="24"/>
                <w:szCs w:val="24"/>
              </w:rPr>
            </w:pPr>
            <w:r>
              <w:rPr>
                <w:rFonts w:eastAsia="方正仿宋简体"/>
                <w:b/>
                <w:kern w:val="0"/>
                <w:sz w:val="24"/>
                <w:szCs w:val="24"/>
              </w:rPr>
              <w:t xml:space="preserve">分支机构负责人或其授权人（签字）：              </w:t>
            </w:r>
          </w:p>
        </w:tc>
      </w:tr>
      <w:tr>
        <w:tblPrEx>
          <w:tblCellMar>
            <w:top w:w="0" w:type="dxa"/>
            <w:left w:w="108" w:type="dxa"/>
            <w:bottom w:w="0" w:type="dxa"/>
            <w:right w:w="108" w:type="dxa"/>
          </w:tblCellMar>
        </w:tblPrEx>
        <w:trPr>
          <w:trHeight w:val="270" w:hRule="atLeast"/>
        </w:trPr>
        <w:tc>
          <w:tcPr>
            <w:tcW w:w="8600" w:type="dxa"/>
            <w:gridSpan w:val="3"/>
            <w:tcBorders>
              <w:top w:val="single" w:color="auto" w:sz="4" w:space="0"/>
              <w:left w:val="single" w:color="auto" w:sz="4" w:space="0"/>
              <w:bottom w:val="single" w:color="auto" w:sz="4" w:space="0"/>
              <w:right w:val="single" w:color="auto" w:sz="4" w:space="0"/>
            </w:tcBorders>
            <w:vAlign w:val="center"/>
          </w:tcPr>
          <w:p>
            <w:pPr>
              <w:rPr>
                <w:rFonts w:eastAsia="方正仿宋简体"/>
                <w:b/>
                <w:kern w:val="0"/>
                <w:sz w:val="24"/>
                <w:szCs w:val="24"/>
              </w:rPr>
            </w:pPr>
            <w:r>
              <w:rPr>
                <w:rFonts w:eastAsia="方正仿宋简体"/>
                <w:b/>
                <w:kern w:val="0"/>
                <w:sz w:val="24"/>
                <w:szCs w:val="24"/>
              </w:rPr>
              <w:t>日期：</w:t>
            </w:r>
          </w:p>
        </w:tc>
      </w:tr>
      <w:tr>
        <w:tblPrEx>
          <w:tblCellMar>
            <w:top w:w="0" w:type="dxa"/>
            <w:left w:w="108" w:type="dxa"/>
            <w:bottom w:w="0" w:type="dxa"/>
            <w:right w:w="108" w:type="dxa"/>
          </w:tblCellMar>
        </w:tblPrEx>
        <w:trPr>
          <w:trHeight w:val="270" w:hRule="atLeast"/>
        </w:trPr>
        <w:tc>
          <w:tcPr>
            <w:tcW w:w="8600" w:type="dxa"/>
            <w:gridSpan w:val="3"/>
            <w:tcBorders>
              <w:top w:val="single" w:color="auto" w:sz="4" w:space="0"/>
              <w:left w:val="single" w:color="auto" w:sz="4" w:space="0"/>
              <w:bottom w:val="single" w:color="auto" w:sz="4" w:space="0"/>
              <w:right w:val="single" w:color="auto" w:sz="4" w:space="0"/>
            </w:tcBorders>
          </w:tcPr>
          <w:p>
            <w:pPr>
              <w:rPr>
                <w:rFonts w:eastAsia="方正仿宋简体"/>
                <w:b/>
                <w:kern w:val="0"/>
                <w:sz w:val="24"/>
                <w:szCs w:val="24"/>
              </w:rPr>
            </w:pPr>
            <w:r>
              <w:rPr>
                <w:rFonts w:eastAsia="方正仿宋简体"/>
                <w:b/>
                <w:kern w:val="0"/>
                <w:sz w:val="24"/>
                <w:szCs w:val="24"/>
              </w:rPr>
              <w:t>评估意见：</w:t>
            </w:r>
          </w:p>
        </w:tc>
      </w:tr>
      <w:tr>
        <w:tblPrEx>
          <w:tblCellMar>
            <w:top w:w="0" w:type="dxa"/>
            <w:left w:w="108" w:type="dxa"/>
            <w:bottom w:w="0" w:type="dxa"/>
            <w:right w:w="108" w:type="dxa"/>
          </w:tblCellMar>
        </w:tblPrEx>
        <w:trPr>
          <w:trHeight w:val="570" w:hRule="atLeast"/>
        </w:trPr>
        <w:tc>
          <w:tcPr>
            <w:tcW w:w="8600" w:type="dxa"/>
            <w:gridSpan w:val="3"/>
            <w:tcBorders>
              <w:top w:val="single" w:color="auto" w:sz="4" w:space="0"/>
              <w:left w:val="single" w:color="auto" w:sz="4" w:space="0"/>
              <w:bottom w:val="single" w:color="auto" w:sz="4" w:space="0"/>
              <w:right w:val="single" w:color="auto" w:sz="4" w:space="0"/>
            </w:tcBorders>
            <w:vAlign w:val="center"/>
          </w:tcPr>
          <w:p>
            <w:pPr>
              <w:rPr>
                <w:rFonts w:eastAsia="方正仿宋简体"/>
                <w:kern w:val="0"/>
                <w:sz w:val="24"/>
                <w:szCs w:val="24"/>
              </w:rPr>
            </w:pPr>
            <w:r>
              <w:rPr>
                <w:rFonts w:eastAsia="方正仿宋简体"/>
                <w:kern w:val="0"/>
                <w:sz w:val="24"/>
                <w:szCs w:val="24"/>
              </w:rPr>
              <w:t>经综合考虑，建议授予投资者</w:t>
            </w:r>
            <w:r>
              <w:rPr>
                <w:rFonts w:eastAsia="方正仿宋简体"/>
                <w:kern w:val="0"/>
                <w:sz w:val="24"/>
                <w:szCs w:val="24"/>
                <w:u w:val="single"/>
              </w:rPr>
              <w:t xml:space="preserve">    </w:t>
            </w:r>
            <w:r>
              <w:rPr>
                <w:rFonts w:eastAsia="方正仿宋简体"/>
                <w:kern w:val="0"/>
                <w:sz w:val="24"/>
                <w:szCs w:val="24"/>
              </w:rPr>
              <w:t>级股票期权交易权限。</w:t>
            </w:r>
          </w:p>
        </w:tc>
      </w:tr>
      <w:tr>
        <w:tblPrEx>
          <w:tblCellMar>
            <w:top w:w="0" w:type="dxa"/>
            <w:left w:w="108" w:type="dxa"/>
            <w:bottom w:w="0" w:type="dxa"/>
            <w:right w:w="108" w:type="dxa"/>
          </w:tblCellMar>
        </w:tblPrEx>
        <w:trPr>
          <w:trHeight w:val="285" w:hRule="atLeast"/>
        </w:trPr>
        <w:tc>
          <w:tcPr>
            <w:tcW w:w="8600" w:type="dxa"/>
            <w:gridSpan w:val="3"/>
            <w:tcBorders>
              <w:top w:val="single" w:color="auto" w:sz="4" w:space="0"/>
              <w:left w:val="single" w:color="auto" w:sz="4" w:space="0"/>
              <w:bottom w:val="single" w:color="auto" w:sz="4" w:space="0"/>
              <w:right w:val="single" w:color="auto" w:sz="4" w:space="0"/>
            </w:tcBorders>
          </w:tcPr>
          <w:p>
            <w:pPr>
              <w:rPr>
                <w:rFonts w:eastAsia="方正仿宋简体"/>
                <w:kern w:val="0"/>
                <w:sz w:val="24"/>
                <w:szCs w:val="24"/>
              </w:rPr>
            </w:pPr>
            <w:r>
              <w:rPr>
                <w:rFonts w:eastAsia="方正仿宋简体"/>
                <w:b/>
                <w:kern w:val="0"/>
                <w:sz w:val="24"/>
                <w:szCs w:val="24"/>
              </w:rPr>
              <w:t>提示：评估意见不构成投资建议，亦不构成对投资者的获利保证</w:t>
            </w:r>
            <w:r>
              <w:rPr>
                <w:rFonts w:eastAsia="方正仿宋简体"/>
                <w:kern w:val="0"/>
                <w:sz w:val="24"/>
                <w:szCs w:val="24"/>
              </w:rPr>
              <w:t>。</w:t>
            </w:r>
          </w:p>
        </w:tc>
      </w:tr>
    </w:tbl>
    <w:p>
      <w:pPr>
        <w:spacing w:before="156" w:beforeLines="50" w:after="156" w:afterLines="50"/>
        <w:jc w:val="left"/>
        <w:outlineLvl w:val="0"/>
        <w:rPr>
          <w:rFonts w:eastAsia="方正仿宋简体"/>
          <w:bCs/>
          <w:sz w:val="30"/>
          <w:szCs w:val="30"/>
        </w:rPr>
      </w:pPr>
      <w:r>
        <w:rPr>
          <w:rFonts w:eastAsia="方正仿宋简体"/>
          <w:b/>
          <w:bCs/>
          <w:sz w:val="30"/>
          <w:szCs w:val="30"/>
        </w:rPr>
        <w:br w:type="page"/>
      </w:r>
      <w:bookmarkStart w:id="261" w:name="_Toc25842057"/>
      <w:bookmarkStart w:id="262" w:name="_Toc479253646"/>
      <w:bookmarkStart w:id="263" w:name="_Toc479253647"/>
      <w:r>
        <w:rPr>
          <w:rFonts w:eastAsia="方正仿宋简体"/>
          <w:bCs/>
          <w:sz w:val="30"/>
          <w:szCs w:val="30"/>
        </w:rPr>
        <w:t>附件3：股票期权单个品种持仓限额报备表（投资者用</w:t>
      </w:r>
      <w:r>
        <w:rPr>
          <w:rFonts w:hint="eastAsia" w:eastAsia="方正仿宋简体"/>
          <w:bCs/>
          <w:sz w:val="30"/>
          <w:szCs w:val="30"/>
          <w:lang w:eastAsia="zh-CN"/>
        </w:rPr>
        <w:t>样表</w:t>
      </w:r>
      <w:r>
        <w:rPr>
          <w:rFonts w:eastAsia="方正仿宋简体"/>
          <w:bCs/>
          <w:sz w:val="30"/>
          <w:szCs w:val="30"/>
        </w:rPr>
        <w:t>）</w:t>
      </w:r>
      <w:bookmarkEnd w:id="261"/>
    </w:p>
    <w:tbl>
      <w:tblPr>
        <w:tblStyle w:val="37"/>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87"/>
        <w:gridCol w:w="905"/>
        <w:gridCol w:w="362"/>
        <w:gridCol w:w="444"/>
        <w:gridCol w:w="97"/>
        <w:gridCol w:w="726"/>
        <w:gridCol w:w="179"/>
        <w:gridCol w:w="905"/>
        <w:gridCol w:w="183"/>
        <w:gridCol w:w="562"/>
        <w:gridCol w:w="160"/>
        <w:gridCol w:w="545"/>
        <w:gridCol w:w="360"/>
        <w:gridCol w:w="860"/>
        <w:gridCol w:w="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7" w:type="dxa"/>
          <w:trHeight w:val="283" w:hRule="atLeast"/>
          <w:jc w:val="center"/>
        </w:trPr>
        <w:tc>
          <w:tcPr>
            <w:tcW w:w="8475" w:type="dxa"/>
            <w:gridSpan w:val="14"/>
            <w:tcBorders>
              <w:top w:val="single" w:color="auto" w:sz="4" w:space="0"/>
              <w:left w:val="single" w:color="auto" w:sz="4" w:space="0"/>
              <w:bottom w:val="single" w:color="auto" w:sz="4" w:space="0"/>
              <w:right w:val="single" w:color="auto" w:sz="4" w:space="0"/>
            </w:tcBorders>
            <w:vAlign w:val="center"/>
          </w:tcPr>
          <w:p>
            <w:pPr>
              <w:widowControl/>
              <w:jc w:val="center"/>
              <w:rPr>
                <w:rFonts w:eastAsia="方正仿宋简体"/>
                <w:sz w:val="24"/>
                <w:szCs w:val="24"/>
              </w:rPr>
            </w:pPr>
            <w:r>
              <w:rPr>
                <w:rFonts w:eastAsia="方正仿宋简体"/>
                <w:sz w:val="24"/>
                <w:szCs w:val="24"/>
              </w:rPr>
              <w:t>股票期权单个品种持仓限额报备表（投资者）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187" w:type="dxa"/>
            <w:vAlign w:val="center"/>
          </w:tcPr>
          <w:p>
            <w:pPr>
              <w:spacing w:line="360" w:lineRule="auto"/>
              <w:rPr>
                <w:rFonts w:eastAsia="方正仿宋简体"/>
                <w:sz w:val="24"/>
                <w:szCs w:val="24"/>
              </w:rPr>
            </w:pPr>
            <w:r>
              <w:rPr>
                <w:rFonts w:eastAsia="方正仿宋简体"/>
                <w:kern w:val="0"/>
                <w:sz w:val="24"/>
                <w:szCs w:val="24"/>
              </w:rPr>
              <w:t>申请人名称</w:t>
            </w:r>
          </w:p>
        </w:tc>
        <w:tc>
          <w:tcPr>
            <w:tcW w:w="6335" w:type="dxa"/>
            <w:gridSpan w:val="14"/>
            <w:vAlign w:val="center"/>
          </w:tcPr>
          <w:p>
            <w:pPr>
              <w:spacing w:line="360" w:lineRule="auto"/>
              <w:rPr>
                <w:rFonts w:eastAsia="方正仿宋简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187" w:type="dxa"/>
            <w:vAlign w:val="center"/>
          </w:tcPr>
          <w:p>
            <w:pPr>
              <w:spacing w:line="360" w:lineRule="auto"/>
              <w:rPr>
                <w:rFonts w:eastAsia="方正仿宋简体"/>
                <w:sz w:val="24"/>
                <w:szCs w:val="24"/>
              </w:rPr>
            </w:pPr>
            <w:r>
              <w:rPr>
                <w:rFonts w:eastAsia="方正仿宋简体"/>
                <w:kern w:val="0"/>
                <w:sz w:val="24"/>
                <w:szCs w:val="24"/>
              </w:rPr>
              <w:t>深市A股证券账户</w:t>
            </w:r>
          </w:p>
        </w:tc>
        <w:tc>
          <w:tcPr>
            <w:tcW w:w="1711" w:type="dxa"/>
            <w:gridSpan w:val="3"/>
            <w:vAlign w:val="center"/>
          </w:tcPr>
          <w:p>
            <w:pPr>
              <w:spacing w:line="360" w:lineRule="auto"/>
              <w:rPr>
                <w:rFonts w:eastAsia="方正仿宋简体"/>
                <w:sz w:val="24"/>
                <w:szCs w:val="24"/>
              </w:rPr>
            </w:pPr>
          </w:p>
        </w:tc>
        <w:tc>
          <w:tcPr>
            <w:tcW w:w="2652" w:type="dxa"/>
            <w:gridSpan w:val="6"/>
            <w:vAlign w:val="center"/>
          </w:tcPr>
          <w:p>
            <w:pPr>
              <w:spacing w:line="360" w:lineRule="auto"/>
              <w:rPr>
                <w:rFonts w:eastAsia="方正仿宋简体"/>
                <w:sz w:val="24"/>
                <w:szCs w:val="24"/>
              </w:rPr>
            </w:pPr>
            <w:r>
              <w:rPr>
                <w:rFonts w:eastAsia="方正仿宋简体"/>
                <w:kern w:val="0"/>
                <w:sz w:val="24"/>
                <w:szCs w:val="24"/>
              </w:rPr>
              <w:t>衍生品合约账户</w:t>
            </w:r>
          </w:p>
        </w:tc>
        <w:tc>
          <w:tcPr>
            <w:tcW w:w="1972" w:type="dxa"/>
            <w:gridSpan w:val="5"/>
            <w:vAlign w:val="center"/>
          </w:tcPr>
          <w:p>
            <w:pPr>
              <w:spacing w:line="360" w:lineRule="auto"/>
              <w:rPr>
                <w:rFonts w:eastAsia="方正仿宋简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187" w:type="dxa"/>
            <w:vAlign w:val="center"/>
          </w:tcPr>
          <w:p>
            <w:pPr>
              <w:spacing w:line="360" w:lineRule="auto"/>
              <w:rPr>
                <w:rFonts w:eastAsia="方正仿宋简体"/>
                <w:sz w:val="24"/>
                <w:szCs w:val="24"/>
              </w:rPr>
            </w:pPr>
            <w:r>
              <w:rPr>
                <w:rFonts w:eastAsia="方正仿宋简体"/>
                <w:kern w:val="0"/>
                <w:sz w:val="24"/>
                <w:szCs w:val="24"/>
              </w:rPr>
              <w:t>申请人联系人</w:t>
            </w:r>
          </w:p>
        </w:tc>
        <w:tc>
          <w:tcPr>
            <w:tcW w:w="1711" w:type="dxa"/>
            <w:gridSpan w:val="3"/>
            <w:vAlign w:val="center"/>
          </w:tcPr>
          <w:p>
            <w:pPr>
              <w:spacing w:line="360" w:lineRule="auto"/>
              <w:rPr>
                <w:rFonts w:eastAsia="方正仿宋简体"/>
                <w:sz w:val="24"/>
                <w:szCs w:val="24"/>
              </w:rPr>
            </w:pPr>
          </w:p>
        </w:tc>
        <w:tc>
          <w:tcPr>
            <w:tcW w:w="2652" w:type="dxa"/>
            <w:gridSpan w:val="6"/>
            <w:vAlign w:val="center"/>
          </w:tcPr>
          <w:p>
            <w:pPr>
              <w:spacing w:line="360" w:lineRule="auto"/>
              <w:rPr>
                <w:rFonts w:eastAsia="方正仿宋简体"/>
                <w:sz w:val="24"/>
                <w:szCs w:val="24"/>
              </w:rPr>
            </w:pPr>
            <w:r>
              <w:rPr>
                <w:rFonts w:eastAsia="方正仿宋简体"/>
                <w:kern w:val="0"/>
                <w:sz w:val="24"/>
                <w:szCs w:val="24"/>
              </w:rPr>
              <w:t>联系人电话</w:t>
            </w:r>
          </w:p>
        </w:tc>
        <w:tc>
          <w:tcPr>
            <w:tcW w:w="1972" w:type="dxa"/>
            <w:gridSpan w:val="5"/>
            <w:vAlign w:val="center"/>
          </w:tcPr>
          <w:p>
            <w:pPr>
              <w:spacing w:line="360" w:lineRule="auto"/>
              <w:rPr>
                <w:rFonts w:eastAsia="方正仿宋简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187" w:type="dxa"/>
            <w:vAlign w:val="center"/>
          </w:tcPr>
          <w:p>
            <w:pPr>
              <w:spacing w:line="360" w:lineRule="auto"/>
              <w:rPr>
                <w:rFonts w:eastAsia="方正仿宋简体"/>
                <w:sz w:val="24"/>
                <w:szCs w:val="24"/>
              </w:rPr>
            </w:pPr>
            <w:r>
              <w:rPr>
                <w:rFonts w:eastAsia="方正仿宋简体"/>
                <w:kern w:val="0"/>
                <w:sz w:val="24"/>
                <w:szCs w:val="24"/>
              </w:rPr>
              <w:t>投资经理</w:t>
            </w:r>
          </w:p>
        </w:tc>
        <w:tc>
          <w:tcPr>
            <w:tcW w:w="1711" w:type="dxa"/>
            <w:gridSpan w:val="3"/>
            <w:vAlign w:val="center"/>
          </w:tcPr>
          <w:p>
            <w:pPr>
              <w:spacing w:line="360" w:lineRule="auto"/>
              <w:rPr>
                <w:rFonts w:eastAsia="方正仿宋简体"/>
                <w:sz w:val="24"/>
                <w:szCs w:val="24"/>
              </w:rPr>
            </w:pPr>
            <w:r>
              <w:rPr>
                <w:rFonts w:eastAsia="方正仿宋简体"/>
                <w:i/>
                <w:kern w:val="0"/>
                <w:sz w:val="24"/>
                <w:szCs w:val="24"/>
              </w:rPr>
              <w:t>（如有）</w:t>
            </w:r>
          </w:p>
        </w:tc>
        <w:tc>
          <w:tcPr>
            <w:tcW w:w="2652" w:type="dxa"/>
            <w:gridSpan w:val="6"/>
            <w:vAlign w:val="center"/>
          </w:tcPr>
          <w:p>
            <w:pPr>
              <w:spacing w:line="360" w:lineRule="auto"/>
              <w:rPr>
                <w:rFonts w:eastAsia="方正仿宋简体"/>
                <w:sz w:val="24"/>
                <w:szCs w:val="24"/>
              </w:rPr>
            </w:pPr>
            <w:r>
              <w:rPr>
                <w:rFonts w:eastAsia="方正仿宋简体"/>
                <w:kern w:val="0"/>
                <w:sz w:val="24"/>
                <w:szCs w:val="24"/>
              </w:rPr>
              <w:t>投资经理电话</w:t>
            </w:r>
          </w:p>
        </w:tc>
        <w:tc>
          <w:tcPr>
            <w:tcW w:w="1972" w:type="dxa"/>
            <w:gridSpan w:val="5"/>
            <w:vAlign w:val="center"/>
          </w:tcPr>
          <w:p>
            <w:pPr>
              <w:spacing w:line="360" w:lineRule="auto"/>
              <w:rPr>
                <w:rFonts w:eastAsia="方正仿宋简体"/>
                <w:sz w:val="24"/>
                <w:szCs w:val="24"/>
              </w:rPr>
            </w:pPr>
            <w:r>
              <w:rPr>
                <w:rFonts w:eastAsia="方正仿宋简体"/>
                <w:i/>
                <w:kern w:val="0"/>
                <w:sz w:val="24"/>
                <w:szCs w:val="24"/>
              </w:rPr>
              <w:t>（如有）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187" w:type="dxa"/>
            <w:vAlign w:val="center"/>
          </w:tcPr>
          <w:p>
            <w:pPr>
              <w:spacing w:line="360" w:lineRule="auto"/>
              <w:rPr>
                <w:rFonts w:eastAsia="方正仿宋简体"/>
                <w:sz w:val="24"/>
                <w:szCs w:val="24"/>
              </w:rPr>
            </w:pPr>
            <w:r>
              <w:rPr>
                <w:rFonts w:eastAsia="方正仿宋简体"/>
                <w:kern w:val="0"/>
                <w:sz w:val="24"/>
                <w:szCs w:val="24"/>
              </w:rPr>
              <w:t>开户机构名称</w:t>
            </w:r>
          </w:p>
        </w:tc>
        <w:tc>
          <w:tcPr>
            <w:tcW w:w="1711" w:type="dxa"/>
            <w:gridSpan w:val="3"/>
            <w:vAlign w:val="center"/>
          </w:tcPr>
          <w:p>
            <w:pPr>
              <w:spacing w:line="360" w:lineRule="auto"/>
              <w:rPr>
                <w:rFonts w:eastAsia="方正仿宋简体"/>
                <w:sz w:val="24"/>
                <w:szCs w:val="24"/>
              </w:rPr>
            </w:pPr>
          </w:p>
        </w:tc>
        <w:tc>
          <w:tcPr>
            <w:tcW w:w="2652" w:type="dxa"/>
            <w:gridSpan w:val="6"/>
            <w:vAlign w:val="center"/>
          </w:tcPr>
          <w:p>
            <w:pPr>
              <w:spacing w:line="360" w:lineRule="auto"/>
              <w:rPr>
                <w:rFonts w:eastAsia="方正仿宋简体"/>
                <w:sz w:val="24"/>
                <w:szCs w:val="24"/>
              </w:rPr>
            </w:pPr>
            <w:r>
              <w:rPr>
                <w:rFonts w:eastAsia="方正仿宋简体"/>
                <w:kern w:val="0"/>
                <w:sz w:val="24"/>
                <w:szCs w:val="24"/>
              </w:rPr>
              <w:t>开户机构结算账户</w:t>
            </w:r>
          </w:p>
        </w:tc>
        <w:tc>
          <w:tcPr>
            <w:tcW w:w="1972" w:type="dxa"/>
            <w:gridSpan w:val="5"/>
            <w:vAlign w:val="center"/>
          </w:tcPr>
          <w:p>
            <w:pPr>
              <w:spacing w:line="360" w:lineRule="auto"/>
              <w:rPr>
                <w:rFonts w:eastAsia="方正仿宋简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187" w:type="dxa"/>
            <w:vAlign w:val="center"/>
          </w:tcPr>
          <w:p>
            <w:pPr>
              <w:spacing w:line="360" w:lineRule="auto"/>
              <w:rPr>
                <w:rFonts w:eastAsia="方正仿宋简体"/>
                <w:sz w:val="24"/>
                <w:szCs w:val="24"/>
              </w:rPr>
            </w:pPr>
            <w:r>
              <w:rPr>
                <w:rFonts w:eastAsia="方正仿宋简体"/>
                <w:kern w:val="0"/>
                <w:sz w:val="24"/>
                <w:szCs w:val="24"/>
              </w:rPr>
              <w:t>开户机构联系人</w:t>
            </w:r>
          </w:p>
        </w:tc>
        <w:tc>
          <w:tcPr>
            <w:tcW w:w="1711" w:type="dxa"/>
            <w:gridSpan w:val="3"/>
            <w:vAlign w:val="center"/>
          </w:tcPr>
          <w:p>
            <w:pPr>
              <w:spacing w:line="360" w:lineRule="auto"/>
              <w:rPr>
                <w:rFonts w:eastAsia="方正仿宋简体"/>
                <w:sz w:val="24"/>
                <w:szCs w:val="24"/>
              </w:rPr>
            </w:pPr>
          </w:p>
        </w:tc>
        <w:tc>
          <w:tcPr>
            <w:tcW w:w="2652" w:type="dxa"/>
            <w:gridSpan w:val="6"/>
            <w:vAlign w:val="center"/>
          </w:tcPr>
          <w:p>
            <w:pPr>
              <w:spacing w:line="360" w:lineRule="auto"/>
              <w:rPr>
                <w:rFonts w:eastAsia="方正仿宋简体"/>
                <w:sz w:val="24"/>
                <w:szCs w:val="24"/>
              </w:rPr>
            </w:pPr>
            <w:r>
              <w:rPr>
                <w:rFonts w:eastAsia="方正仿宋简体"/>
                <w:kern w:val="0"/>
                <w:sz w:val="24"/>
                <w:szCs w:val="24"/>
              </w:rPr>
              <w:t>开户机构联系人电话</w:t>
            </w:r>
          </w:p>
        </w:tc>
        <w:tc>
          <w:tcPr>
            <w:tcW w:w="1972" w:type="dxa"/>
            <w:gridSpan w:val="5"/>
            <w:vAlign w:val="center"/>
          </w:tcPr>
          <w:p>
            <w:pPr>
              <w:spacing w:line="360" w:lineRule="auto"/>
              <w:rPr>
                <w:rFonts w:eastAsia="方正仿宋简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187" w:type="dxa"/>
            <w:vAlign w:val="center"/>
          </w:tcPr>
          <w:p>
            <w:pPr>
              <w:rPr>
                <w:rFonts w:eastAsia="方正仿宋简体"/>
                <w:sz w:val="24"/>
                <w:szCs w:val="24"/>
              </w:rPr>
            </w:pPr>
            <w:r>
              <w:rPr>
                <w:rFonts w:eastAsia="方正仿宋简体"/>
                <w:sz w:val="24"/>
                <w:szCs w:val="24"/>
              </w:rPr>
              <w:t>申请用途</w:t>
            </w:r>
          </w:p>
        </w:tc>
        <w:tc>
          <w:tcPr>
            <w:tcW w:w="6335" w:type="dxa"/>
            <w:gridSpan w:val="14"/>
            <w:vAlign w:val="center"/>
          </w:tcPr>
          <w:p>
            <w:pPr>
              <w:spacing w:line="360" w:lineRule="auto"/>
              <w:ind w:firstLine="1200" w:firstLineChars="500"/>
              <w:jc w:val="left"/>
              <w:rPr>
                <w:rFonts w:eastAsia="方正仿宋简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187" w:type="dxa"/>
            <w:vMerge w:val="restart"/>
            <w:vAlign w:val="center"/>
          </w:tcPr>
          <w:p>
            <w:pPr>
              <w:jc w:val="center"/>
              <w:rPr>
                <w:rFonts w:eastAsia="方正仿宋简体"/>
                <w:sz w:val="24"/>
                <w:szCs w:val="24"/>
              </w:rPr>
            </w:pPr>
            <w:r>
              <w:rPr>
                <w:rFonts w:eastAsia="方正仿宋简体"/>
                <w:sz w:val="24"/>
                <w:szCs w:val="24"/>
              </w:rPr>
              <w:t>深市合约品种</w:t>
            </w:r>
            <w:r>
              <w:rPr>
                <w:rFonts w:eastAsia="方正仿宋简体"/>
                <w:sz w:val="24"/>
                <w:szCs w:val="24"/>
              </w:rPr>
              <w:br w:type="textWrapping"/>
            </w:r>
            <w:r>
              <w:rPr>
                <w:rFonts w:eastAsia="方正仿宋简体"/>
                <w:sz w:val="24"/>
                <w:szCs w:val="24"/>
              </w:rPr>
              <w:t>持仓限额调整</w:t>
            </w:r>
          </w:p>
        </w:tc>
        <w:tc>
          <w:tcPr>
            <w:tcW w:w="905" w:type="dxa"/>
            <w:vMerge w:val="restart"/>
            <w:vAlign w:val="center"/>
          </w:tcPr>
          <w:p>
            <w:pPr>
              <w:jc w:val="center"/>
              <w:rPr>
                <w:rFonts w:eastAsia="方正仿宋简体"/>
                <w:sz w:val="24"/>
                <w:szCs w:val="24"/>
              </w:rPr>
            </w:pPr>
            <w:r>
              <w:rPr>
                <w:rFonts w:eastAsia="方正仿宋简体"/>
                <w:sz w:val="24"/>
                <w:szCs w:val="24"/>
              </w:rPr>
              <w:t>单个合约品种</w:t>
            </w:r>
          </w:p>
        </w:tc>
        <w:tc>
          <w:tcPr>
            <w:tcW w:w="2713" w:type="dxa"/>
            <w:gridSpan w:val="6"/>
            <w:vAlign w:val="center"/>
          </w:tcPr>
          <w:p>
            <w:pPr>
              <w:jc w:val="center"/>
              <w:rPr>
                <w:rFonts w:eastAsia="方正仿宋简体"/>
                <w:sz w:val="24"/>
                <w:szCs w:val="24"/>
              </w:rPr>
            </w:pPr>
            <w:r>
              <w:rPr>
                <w:rFonts w:eastAsia="方正仿宋简体"/>
                <w:sz w:val="24"/>
                <w:szCs w:val="24"/>
              </w:rPr>
              <w:t>目前持仓限额</w:t>
            </w:r>
          </w:p>
        </w:tc>
        <w:tc>
          <w:tcPr>
            <w:tcW w:w="2717" w:type="dxa"/>
            <w:gridSpan w:val="7"/>
            <w:vAlign w:val="center"/>
          </w:tcPr>
          <w:p>
            <w:pPr>
              <w:jc w:val="center"/>
              <w:rPr>
                <w:rFonts w:eastAsia="方正仿宋简体"/>
                <w:sz w:val="24"/>
                <w:szCs w:val="24"/>
              </w:rPr>
            </w:pPr>
            <w:r>
              <w:rPr>
                <w:rFonts w:eastAsia="方正仿宋简体"/>
                <w:sz w:val="24"/>
                <w:szCs w:val="24"/>
              </w:rPr>
              <w:t>拟申请持仓限额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187" w:type="dxa"/>
            <w:vMerge w:val="continue"/>
            <w:vAlign w:val="center"/>
          </w:tcPr>
          <w:p>
            <w:pPr>
              <w:rPr>
                <w:rFonts w:eastAsia="方正仿宋简体"/>
                <w:sz w:val="24"/>
                <w:szCs w:val="24"/>
              </w:rPr>
            </w:pPr>
          </w:p>
        </w:tc>
        <w:tc>
          <w:tcPr>
            <w:tcW w:w="905" w:type="dxa"/>
            <w:vMerge w:val="continue"/>
            <w:vAlign w:val="center"/>
          </w:tcPr>
          <w:p>
            <w:pPr>
              <w:rPr>
                <w:rFonts w:eastAsia="方正仿宋简体"/>
                <w:sz w:val="24"/>
                <w:szCs w:val="24"/>
              </w:rPr>
            </w:pPr>
          </w:p>
        </w:tc>
        <w:tc>
          <w:tcPr>
            <w:tcW w:w="903" w:type="dxa"/>
            <w:gridSpan w:val="3"/>
            <w:vAlign w:val="center"/>
          </w:tcPr>
          <w:p>
            <w:pPr>
              <w:jc w:val="center"/>
              <w:rPr>
                <w:rFonts w:eastAsia="方正仿宋简体"/>
                <w:sz w:val="24"/>
                <w:szCs w:val="24"/>
              </w:rPr>
            </w:pPr>
            <w:r>
              <w:rPr>
                <w:rFonts w:eastAsia="方正仿宋简体"/>
                <w:sz w:val="24"/>
                <w:szCs w:val="24"/>
              </w:rPr>
              <w:t>权利仓持仓限额</w:t>
            </w:r>
          </w:p>
        </w:tc>
        <w:tc>
          <w:tcPr>
            <w:tcW w:w="905" w:type="dxa"/>
            <w:gridSpan w:val="2"/>
            <w:vAlign w:val="center"/>
          </w:tcPr>
          <w:p>
            <w:pPr>
              <w:jc w:val="center"/>
              <w:rPr>
                <w:rFonts w:eastAsia="方正仿宋简体"/>
                <w:sz w:val="24"/>
                <w:szCs w:val="24"/>
              </w:rPr>
            </w:pPr>
            <w:r>
              <w:rPr>
                <w:rFonts w:eastAsia="方正仿宋简体"/>
                <w:sz w:val="24"/>
                <w:szCs w:val="24"/>
              </w:rPr>
              <w:t>总持仓限额</w:t>
            </w:r>
          </w:p>
        </w:tc>
        <w:tc>
          <w:tcPr>
            <w:tcW w:w="905" w:type="dxa"/>
            <w:vAlign w:val="center"/>
          </w:tcPr>
          <w:p>
            <w:pPr>
              <w:jc w:val="center"/>
              <w:rPr>
                <w:rFonts w:eastAsia="方正仿宋简体"/>
                <w:sz w:val="24"/>
                <w:szCs w:val="24"/>
              </w:rPr>
            </w:pPr>
            <w:r>
              <w:rPr>
                <w:rFonts w:eastAsia="方正仿宋简体"/>
                <w:sz w:val="24"/>
                <w:szCs w:val="24"/>
              </w:rPr>
              <w:t>单日买入开仓限额</w:t>
            </w:r>
          </w:p>
        </w:tc>
        <w:tc>
          <w:tcPr>
            <w:tcW w:w="905" w:type="dxa"/>
            <w:gridSpan w:val="3"/>
            <w:vAlign w:val="center"/>
          </w:tcPr>
          <w:p>
            <w:pPr>
              <w:jc w:val="center"/>
              <w:rPr>
                <w:rFonts w:eastAsia="方正仿宋简体"/>
                <w:sz w:val="24"/>
                <w:szCs w:val="24"/>
              </w:rPr>
            </w:pPr>
            <w:r>
              <w:rPr>
                <w:rFonts w:eastAsia="方正仿宋简体"/>
                <w:sz w:val="24"/>
                <w:szCs w:val="24"/>
              </w:rPr>
              <w:t>权利仓持仓限额</w:t>
            </w:r>
          </w:p>
        </w:tc>
        <w:tc>
          <w:tcPr>
            <w:tcW w:w="905" w:type="dxa"/>
            <w:gridSpan w:val="2"/>
            <w:vAlign w:val="center"/>
          </w:tcPr>
          <w:p>
            <w:pPr>
              <w:jc w:val="center"/>
              <w:rPr>
                <w:rFonts w:eastAsia="方正仿宋简体"/>
                <w:sz w:val="24"/>
                <w:szCs w:val="24"/>
              </w:rPr>
            </w:pPr>
            <w:r>
              <w:rPr>
                <w:rFonts w:eastAsia="方正仿宋简体"/>
                <w:sz w:val="24"/>
                <w:szCs w:val="24"/>
              </w:rPr>
              <w:t>总持仓限额</w:t>
            </w:r>
          </w:p>
        </w:tc>
        <w:tc>
          <w:tcPr>
            <w:tcW w:w="907" w:type="dxa"/>
            <w:gridSpan w:val="2"/>
            <w:vAlign w:val="center"/>
          </w:tcPr>
          <w:p>
            <w:pPr>
              <w:jc w:val="center"/>
              <w:rPr>
                <w:rFonts w:eastAsia="方正仿宋简体"/>
                <w:sz w:val="24"/>
                <w:szCs w:val="24"/>
              </w:rPr>
            </w:pPr>
            <w:r>
              <w:rPr>
                <w:rFonts w:eastAsia="方正仿宋简体"/>
                <w:sz w:val="24"/>
                <w:szCs w:val="24"/>
              </w:rPr>
              <w:t>单日买入开仓限额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187" w:type="dxa"/>
            <w:vMerge w:val="continue"/>
            <w:vAlign w:val="center"/>
          </w:tcPr>
          <w:p>
            <w:pPr>
              <w:rPr>
                <w:rFonts w:eastAsia="方正仿宋简体"/>
                <w:sz w:val="24"/>
                <w:szCs w:val="24"/>
              </w:rPr>
            </w:pPr>
          </w:p>
        </w:tc>
        <w:tc>
          <w:tcPr>
            <w:tcW w:w="905" w:type="dxa"/>
            <w:vAlign w:val="center"/>
          </w:tcPr>
          <w:p>
            <w:pPr>
              <w:rPr>
                <w:rFonts w:eastAsia="方正仿宋简体"/>
                <w:sz w:val="24"/>
                <w:szCs w:val="24"/>
              </w:rPr>
            </w:pPr>
          </w:p>
          <w:p>
            <w:pPr>
              <w:rPr>
                <w:rFonts w:eastAsia="方正仿宋简体"/>
                <w:sz w:val="24"/>
                <w:szCs w:val="24"/>
              </w:rPr>
            </w:pPr>
          </w:p>
        </w:tc>
        <w:tc>
          <w:tcPr>
            <w:tcW w:w="903" w:type="dxa"/>
            <w:gridSpan w:val="3"/>
            <w:vAlign w:val="center"/>
          </w:tcPr>
          <w:p>
            <w:pPr>
              <w:rPr>
                <w:rFonts w:eastAsia="方正仿宋简体"/>
                <w:sz w:val="24"/>
                <w:szCs w:val="24"/>
              </w:rPr>
            </w:pPr>
          </w:p>
        </w:tc>
        <w:tc>
          <w:tcPr>
            <w:tcW w:w="905" w:type="dxa"/>
            <w:gridSpan w:val="2"/>
            <w:vAlign w:val="center"/>
          </w:tcPr>
          <w:p>
            <w:pPr>
              <w:rPr>
                <w:rFonts w:eastAsia="方正仿宋简体"/>
                <w:sz w:val="24"/>
                <w:szCs w:val="24"/>
              </w:rPr>
            </w:pPr>
          </w:p>
        </w:tc>
        <w:tc>
          <w:tcPr>
            <w:tcW w:w="905" w:type="dxa"/>
            <w:vAlign w:val="center"/>
          </w:tcPr>
          <w:p>
            <w:pPr>
              <w:rPr>
                <w:rFonts w:eastAsia="方正仿宋简体"/>
                <w:sz w:val="24"/>
                <w:szCs w:val="24"/>
              </w:rPr>
            </w:pPr>
          </w:p>
        </w:tc>
        <w:tc>
          <w:tcPr>
            <w:tcW w:w="905" w:type="dxa"/>
            <w:gridSpan w:val="3"/>
            <w:vAlign w:val="center"/>
          </w:tcPr>
          <w:p>
            <w:pPr>
              <w:rPr>
                <w:rFonts w:eastAsia="方正仿宋简体"/>
                <w:sz w:val="24"/>
                <w:szCs w:val="24"/>
              </w:rPr>
            </w:pPr>
          </w:p>
        </w:tc>
        <w:tc>
          <w:tcPr>
            <w:tcW w:w="905" w:type="dxa"/>
            <w:gridSpan w:val="2"/>
            <w:vAlign w:val="center"/>
          </w:tcPr>
          <w:p>
            <w:pPr>
              <w:rPr>
                <w:rFonts w:eastAsia="方正仿宋简体"/>
                <w:sz w:val="24"/>
                <w:szCs w:val="24"/>
              </w:rPr>
            </w:pPr>
          </w:p>
        </w:tc>
        <w:tc>
          <w:tcPr>
            <w:tcW w:w="907" w:type="dxa"/>
            <w:gridSpan w:val="2"/>
            <w:vAlign w:val="center"/>
          </w:tcPr>
          <w:p>
            <w:pPr>
              <w:rPr>
                <w:rFonts w:eastAsia="方正仿宋简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8522" w:type="dxa"/>
            <w:gridSpan w:val="15"/>
            <w:vAlign w:val="center"/>
          </w:tcPr>
          <w:p>
            <w:pPr>
              <w:rPr>
                <w:rFonts w:eastAsia="方正仿宋简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187" w:type="dxa"/>
            <w:vMerge w:val="restart"/>
            <w:vAlign w:val="center"/>
          </w:tcPr>
          <w:p>
            <w:pPr>
              <w:jc w:val="center"/>
              <w:rPr>
                <w:rFonts w:eastAsia="方正仿宋简体"/>
                <w:sz w:val="24"/>
                <w:szCs w:val="24"/>
              </w:rPr>
            </w:pPr>
            <w:r>
              <w:rPr>
                <w:rFonts w:eastAsia="方正仿宋简体"/>
                <w:sz w:val="24"/>
                <w:szCs w:val="24"/>
              </w:rPr>
              <w:t>沪市合约品种</w:t>
            </w:r>
            <w:r>
              <w:rPr>
                <w:rFonts w:eastAsia="方正仿宋简体"/>
                <w:sz w:val="24"/>
                <w:szCs w:val="24"/>
              </w:rPr>
              <w:br w:type="textWrapping"/>
            </w:r>
            <w:r>
              <w:rPr>
                <w:rFonts w:eastAsia="方正仿宋简体"/>
                <w:sz w:val="24"/>
                <w:szCs w:val="24"/>
              </w:rPr>
              <w:t>持仓限额</w:t>
            </w:r>
          </w:p>
        </w:tc>
        <w:tc>
          <w:tcPr>
            <w:tcW w:w="1267" w:type="dxa"/>
            <w:gridSpan w:val="2"/>
            <w:vAlign w:val="center"/>
          </w:tcPr>
          <w:p>
            <w:pPr>
              <w:jc w:val="center"/>
              <w:rPr>
                <w:rFonts w:eastAsia="方正仿宋简体"/>
                <w:sz w:val="24"/>
                <w:szCs w:val="24"/>
              </w:rPr>
            </w:pPr>
            <w:r>
              <w:rPr>
                <w:rFonts w:eastAsia="方正仿宋简体"/>
                <w:sz w:val="24"/>
                <w:szCs w:val="24"/>
              </w:rPr>
              <w:t>单个</w:t>
            </w:r>
            <w:r>
              <w:rPr>
                <w:rFonts w:eastAsia="方正仿宋简体"/>
                <w:sz w:val="24"/>
                <w:szCs w:val="24"/>
              </w:rPr>
              <w:br w:type="textWrapping"/>
            </w:r>
            <w:r>
              <w:rPr>
                <w:rFonts w:eastAsia="方正仿宋简体"/>
                <w:sz w:val="24"/>
                <w:szCs w:val="24"/>
              </w:rPr>
              <w:t>合约品种</w:t>
            </w:r>
          </w:p>
        </w:tc>
        <w:tc>
          <w:tcPr>
            <w:tcW w:w="1267" w:type="dxa"/>
            <w:gridSpan w:val="3"/>
            <w:vAlign w:val="center"/>
          </w:tcPr>
          <w:p>
            <w:pPr>
              <w:jc w:val="center"/>
              <w:rPr>
                <w:rFonts w:eastAsia="方正仿宋简体"/>
                <w:sz w:val="24"/>
                <w:szCs w:val="24"/>
              </w:rPr>
            </w:pPr>
            <w:r>
              <w:rPr>
                <w:rFonts w:eastAsia="方正仿宋简体"/>
                <w:sz w:val="24"/>
                <w:szCs w:val="24"/>
              </w:rPr>
              <w:t>合约账户</w:t>
            </w:r>
          </w:p>
        </w:tc>
        <w:tc>
          <w:tcPr>
            <w:tcW w:w="1267" w:type="dxa"/>
            <w:gridSpan w:val="3"/>
            <w:vAlign w:val="center"/>
          </w:tcPr>
          <w:p>
            <w:pPr>
              <w:jc w:val="center"/>
              <w:rPr>
                <w:rFonts w:eastAsia="方正仿宋简体"/>
                <w:sz w:val="24"/>
                <w:szCs w:val="24"/>
              </w:rPr>
            </w:pPr>
            <w:r>
              <w:rPr>
                <w:rFonts w:eastAsia="方正仿宋简体"/>
                <w:sz w:val="24"/>
                <w:szCs w:val="24"/>
              </w:rPr>
              <w:t>权利仓</w:t>
            </w:r>
            <w:r>
              <w:rPr>
                <w:rFonts w:eastAsia="方正仿宋简体"/>
                <w:sz w:val="24"/>
                <w:szCs w:val="24"/>
              </w:rPr>
              <w:br w:type="textWrapping"/>
            </w:r>
            <w:r>
              <w:rPr>
                <w:rFonts w:eastAsia="方正仿宋简体"/>
                <w:sz w:val="24"/>
                <w:szCs w:val="24"/>
              </w:rPr>
              <w:t>持仓限额</w:t>
            </w:r>
          </w:p>
        </w:tc>
        <w:tc>
          <w:tcPr>
            <w:tcW w:w="1267" w:type="dxa"/>
            <w:gridSpan w:val="3"/>
            <w:vAlign w:val="center"/>
          </w:tcPr>
          <w:p>
            <w:pPr>
              <w:jc w:val="center"/>
              <w:rPr>
                <w:rFonts w:eastAsia="方正仿宋简体"/>
                <w:sz w:val="24"/>
                <w:szCs w:val="24"/>
              </w:rPr>
            </w:pPr>
            <w:r>
              <w:rPr>
                <w:rFonts w:eastAsia="方正仿宋简体"/>
                <w:sz w:val="24"/>
                <w:szCs w:val="24"/>
              </w:rPr>
              <w:t>总持仓</w:t>
            </w:r>
            <w:r>
              <w:rPr>
                <w:rFonts w:eastAsia="方正仿宋简体"/>
                <w:sz w:val="24"/>
                <w:szCs w:val="24"/>
              </w:rPr>
              <w:br w:type="textWrapping"/>
            </w:r>
            <w:r>
              <w:rPr>
                <w:rFonts w:eastAsia="方正仿宋简体"/>
                <w:sz w:val="24"/>
                <w:szCs w:val="24"/>
              </w:rPr>
              <w:t>限额</w:t>
            </w:r>
          </w:p>
        </w:tc>
        <w:tc>
          <w:tcPr>
            <w:tcW w:w="1267" w:type="dxa"/>
            <w:gridSpan w:val="3"/>
            <w:vAlign w:val="center"/>
          </w:tcPr>
          <w:p>
            <w:pPr>
              <w:jc w:val="center"/>
              <w:rPr>
                <w:rFonts w:eastAsia="方正仿宋简体"/>
                <w:sz w:val="24"/>
                <w:szCs w:val="24"/>
              </w:rPr>
            </w:pPr>
            <w:r>
              <w:rPr>
                <w:rFonts w:eastAsia="方正仿宋简体"/>
                <w:sz w:val="24"/>
                <w:szCs w:val="24"/>
              </w:rPr>
              <w:t>单日买入</w:t>
            </w:r>
            <w:r>
              <w:rPr>
                <w:rFonts w:eastAsia="方正仿宋简体"/>
                <w:sz w:val="24"/>
                <w:szCs w:val="24"/>
              </w:rPr>
              <w:br w:type="textWrapping"/>
            </w:r>
            <w:r>
              <w:rPr>
                <w:rFonts w:eastAsia="方正仿宋简体"/>
                <w:sz w:val="24"/>
                <w:szCs w:val="24"/>
              </w:rPr>
              <w:t>开仓限额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187" w:type="dxa"/>
            <w:vMerge w:val="continue"/>
            <w:vAlign w:val="center"/>
          </w:tcPr>
          <w:p>
            <w:pPr>
              <w:jc w:val="center"/>
              <w:rPr>
                <w:rFonts w:eastAsia="方正仿宋简体"/>
                <w:sz w:val="24"/>
                <w:szCs w:val="24"/>
              </w:rPr>
            </w:pPr>
          </w:p>
        </w:tc>
        <w:tc>
          <w:tcPr>
            <w:tcW w:w="1267" w:type="dxa"/>
            <w:gridSpan w:val="2"/>
            <w:vMerge w:val="restart"/>
            <w:vAlign w:val="center"/>
          </w:tcPr>
          <w:p>
            <w:pPr>
              <w:rPr>
                <w:rFonts w:eastAsia="方正仿宋简体"/>
                <w:sz w:val="24"/>
                <w:szCs w:val="24"/>
              </w:rPr>
            </w:pPr>
          </w:p>
        </w:tc>
        <w:tc>
          <w:tcPr>
            <w:tcW w:w="1267" w:type="dxa"/>
            <w:gridSpan w:val="3"/>
            <w:vAlign w:val="center"/>
          </w:tcPr>
          <w:p>
            <w:pPr>
              <w:jc w:val="center"/>
              <w:rPr>
                <w:rFonts w:eastAsia="方正仿宋简体"/>
                <w:sz w:val="24"/>
                <w:szCs w:val="24"/>
              </w:rPr>
            </w:pPr>
            <w:r>
              <w:rPr>
                <w:rFonts w:eastAsia="方正仿宋简体"/>
                <w:sz w:val="24"/>
                <w:szCs w:val="24"/>
              </w:rPr>
              <w:t>账户1</w:t>
            </w:r>
          </w:p>
        </w:tc>
        <w:tc>
          <w:tcPr>
            <w:tcW w:w="1267" w:type="dxa"/>
            <w:gridSpan w:val="3"/>
            <w:vAlign w:val="center"/>
          </w:tcPr>
          <w:p>
            <w:pPr>
              <w:rPr>
                <w:rFonts w:eastAsia="方正仿宋简体"/>
                <w:sz w:val="24"/>
                <w:szCs w:val="24"/>
              </w:rPr>
            </w:pPr>
          </w:p>
        </w:tc>
        <w:tc>
          <w:tcPr>
            <w:tcW w:w="1267" w:type="dxa"/>
            <w:gridSpan w:val="3"/>
            <w:vAlign w:val="center"/>
          </w:tcPr>
          <w:p>
            <w:pPr>
              <w:rPr>
                <w:rFonts w:eastAsia="方正仿宋简体"/>
                <w:sz w:val="24"/>
                <w:szCs w:val="24"/>
              </w:rPr>
            </w:pPr>
          </w:p>
        </w:tc>
        <w:tc>
          <w:tcPr>
            <w:tcW w:w="1267" w:type="dxa"/>
            <w:gridSpan w:val="3"/>
            <w:vAlign w:val="center"/>
          </w:tcPr>
          <w:p>
            <w:pPr>
              <w:rPr>
                <w:rFonts w:eastAsia="方正仿宋简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187" w:type="dxa"/>
            <w:vMerge w:val="continue"/>
            <w:vAlign w:val="center"/>
          </w:tcPr>
          <w:p>
            <w:pPr>
              <w:jc w:val="center"/>
              <w:rPr>
                <w:rFonts w:eastAsia="方正仿宋简体"/>
                <w:sz w:val="24"/>
                <w:szCs w:val="24"/>
              </w:rPr>
            </w:pPr>
          </w:p>
        </w:tc>
        <w:tc>
          <w:tcPr>
            <w:tcW w:w="1267" w:type="dxa"/>
            <w:gridSpan w:val="2"/>
            <w:vMerge w:val="continue"/>
            <w:vAlign w:val="center"/>
          </w:tcPr>
          <w:p>
            <w:pPr>
              <w:rPr>
                <w:rFonts w:eastAsia="方正仿宋简体"/>
                <w:sz w:val="24"/>
                <w:szCs w:val="24"/>
              </w:rPr>
            </w:pPr>
          </w:p>
        </w:tc>
        <w:tc>
          <w:tcPr>
            <w:tcW w:w="1267" w:type="dxa"/>
            <w:gridSpan w:val="3"/>
            <w:vAlign w:val="center"/>
          </w:tcPr>
          <w:p>
            <w:pPr>
              <w:jc w:val="center"/>
              <w:rPr>
                <w:rFonts w:eastAsia="方正仿宋简体"/>
                <w:sz w:val="24"/>
                <w:szCs w:val="24"/>
              </w:rPr>
            </w:pPr>
            <w:r>
              <w:rPr>
                <w:rFonts w:eastAsia="方正仿宋简体"/>
                <w:sz w:val="24"/>
                <w:szCs w:val="24"/>
              </w:rPr>
              <w:t>账户2</w:t>
            </w:r>
          </w:p>
        </w:tc>
        <w:tc>
          <w:tcPr>
            <w:tcW w:w="1267" w:type="dxa"/>
            <w:gridSpan w:val="3"/>
            <w:vAlign w:val="center"/>
          </w:tcPr>
          <w:p>
            <w:pPr>
              <w:rPr>
                <w:rFonts w:eastAsia="方正仿宋简体"/>
                <w:sz w:val="24"/>
                <w:szCs w:val="24"/>
              </w:rPr>
            </w:pPr>
          </w:p>
        </w:tc>
        <w:tc>
          <w:tcPr>
            <w:tcW w:w="1267" w:type="dxa"/>
            <w:gridSpan w:val="3"/>
            <w:vAlign w:val="center"/>
          </w:tcPr>
          <w:p>
            <w:pPr>
              <w:rPr>
                <w:rFonts w:eastAsia="方正仿宋简体"/>
                <w:sz w:val="24"/>
                <w:szCs w:val="24"/>
              </w:rPr>
            </w:pPr>
          </w:p>
        </w:tc>
        <w:tc>
          <w:tcPr>
            <w:tcW w:w="1267" w:type="dxa"/>
            <w:gridSpan w:val="3"/>
            <w:vAlign w:val="center"/>
          </w:tcPr>
          <w:p>
            <w:pPr>
              <w:rPr>
                <w:rFonts w:eastAsia="方正仿宋简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187" w:type="dxa"/>
            <w:vMerge w:val="continue"/>
            <w:vAlign w:val="center"/>
          </w:tcPr>
          <w:p>
            <w:pPr>
              <w:jc w:val="center"/>
              <w:rPr>
                <w:rFonts w:eastAsia="方正仿宋简体"/>
                <w:sz w:val="24"/>
                <w:szCs w:val="24"/>
              </w:rPr>
            </w:pPr>
          </w:p>
        </w:tc>
        <w:tc>
          <w:tcPr>
            <w:tcW w:w="1267" w:type="dxa"/>
            <w:gridSpan w:val="2"/>
            <w:vMerge w:val="continue"/>
            <w:vAlign w:val="center"/>
          </w:tcPr>
          <w:p>
            <w:pPr>
              <w:rPr>
                <w:rFonts w:eastAsia="方正仿宋简体"/>
                <w:sz w:val="24"/>
                <w:szCs w:val="24"/>
              </w:rPr>
            </w:pPr>
          </w:p>
        </w:tc>
        <w:tc>
          <w:tcPr>
            <w:tcW w:w="1267" w:type="dxa"/>
            <w:gridSpan w:val="3"/>
            <w:vAlign w:val="center"/>
          </w:tcPr>
          <w:p>
            <w:pPr>
              <w:jc w:val="center"/>
              <w:rPr>
                <w:rFonts w:eastAsia="方正仿宋简体"/>
                <w:sz w:val="24"/>
                <w:szCs w:val="24"/>
              </w:rPr>
            </w:pPr>
            <w:r>
              <w:rPr>
                <w:rFonts w:eastAsia="方正仿宋简体"/>
                <w:sz w:val="24"/>
                <w:szCs w:val="24"/>
              </w:rPr>
              <w:t>账户3</w:t>
            </w:r>
          </w:p>
        </w:tc>
        <w:tc>
          <w:tcPr>
            <w:tcW w:w="1267" w:type="dxa"/>
            <w:gridSpan w:val="3"/>
            <w:vAlign w:val="center"/>
          </w:tcPr>
          <w:p>
            <w:pPr>
              <w:rPr>
                <w:rFonts w:eastAsia="方正仿宋简体"/>
                <w:sz w:val="24"/>
                <w:szCs w:val="24"/>
              </w:rPr>
            </w:pPr>
          </w:p>
        </w:tc>
        <w:tc>
          <w:tcPr>
            <w:tcW w:w="1267" w:type="dxa"/>
            <w:gridSpan w:val="3"/>
            <w:vAlign w:val="center"/>
          </w:tcPr>
          <w:p>
            <w:pPr>
              <w:rPr>
                <w:rFonts w:eastAsia="方正仿宋简体"/>
                <w:sz w:val="24"/>
                <w:szCs w:val="24"/>
              </w:rPr>
            </w:pPr>
          </w:p>
        </w:tc>
        <w:tc>
          <w:tcPr>
            <w:tcW w:w="1267" w:type="dxa"/>
            <w:gridSpan w:val="3"/>
            <w:vAlign w:val="center"/>
          </w:tcPr>
          <w:p>
            <w:pPr>
              <w:rPr>
                <w:rFonts w:eastAsia="方正仿宋简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187" w:type="dxa"/>
            <w:vMerge w:val="continue"/>
            <w:vAlign w:val="center"/>
          </w:tcPr>
          <w:p>
            <w:pPr>
              <w:jc w:val="center"/>
              <w:rPr>
                <w:rFonts w:eastAsia="方正仿宋简体"/>
                <w:sz w:val="24"/>
                <w:szCs w:val="24"/>
              </w:rPr>
            </w:pPr>
          </w:p>
        </w:tc>
        <w:tc>
          <w:tcPr>
            <w:tcW w:w="1267" w:type="dxa"/>
            <w:gridSpan w:val="2"/>
            <w:vMerge w:val="continue"/>
            <w:vAlign w:val="center"/>
          </w:tcPr>
          <w:p>
            <w:pPr>
              <w:rPr>
                <w:rFonts w:eastAsia="方正仿宋简体"/>
                <w:sz w:val="24"/>
                <w:szCs w:val="24"/>
              </w:rPr>
            </w:pPr>
          </w:p>
        </w:tc>
        <w:tc>
          <w:tcPr>
            <w:tcW w:w="1267" w:type="dxa"/>
            <w:gridSpan w:val="3"/>
            <w:vAlign w:val="center"/>
          </w:tcPr>
          <w:p>
            <w:pPr>
              <w:jc w:val="center"/>
              <w:rPr>
                <w:rFonts w:eastAsia="方正仿宋简体"/>
                <w:sz w:val="24"/>
                <w:szCs w:val="24"/>
              </w:rPr>
            </w:pPr>
            <w:r>
              <w:rPr>
                <w:rFonts w:eastAsia="方正仿宋简体"/>
                <w:sz w:val="24"/>
                <w:szCs w:val="24"/>
              </w:rPr>
              <w:t>……</w:t>
            </w:r>
          </w:p>
        </w:tc>
        <w:tc>
          <w:tcPr>
            <w:tcW w:w="1267" w:type="dxa"/>
            <w:gridSpan w:val="3"/>
            <w:vAlign w:val="center"/>
          </w:tcPr>
          <w:p>
            <w:pPr>
              <w:rPr>
                <w:rFonts w:eastAsia="方正仿宋简体"/>
                <w:sz w:val="24"/>
                <w:szCs w:val="24"/>
              </w:rPr>
            </w:pPr>
          </w:p>
        </w:tc>
        <w:tc>
          <w:tcPr>
            <w:tcW w:w="1267" w:type="dxa"/>
            <w:gridSpan w:val="3"/>
            <w:vAlign w:val="center"/>
          </w:tcPr>
          <w:p>
            <w:pPr>
              <w:rPr>
                <w:rFonts w:eastAsia="方正仿宋简体"/>
                <w:sz w:val="24"/>
                <w:szCs w:val="24"/>
              </w:rPr>
            </w:pPr>
          </w:p>
        </w:tc>
        <w:tc>
          <w:tcPr>
            <w:tcW w:w="1267" w:type="dxa"/>
            <w:gridSpan w:val="3"/>
            <w:vAlign w:val="center"/>
          </w:tcPr>
          <w:p>
            <w:pPr>
              <w:rPr>
                <w:rFonts w:eastAsia="方正仿宋简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187" w:type="dxa"/>
            <w:vMerge w:val="restart"/>
            <w:vAlign w:val="center"/>
          </w:tcPr>
          <w:p>
            <w:pPr>
              <w:jc w:val="center"/>
              <w:rPr>
                <w:rFonts w:eastAsia="方正仿宋简体"/>
                <w:sz w:val="24"/>
                <w:szCs w:val="24"/>
              </w:rPr>
            </w:pPr>
            <w:r>
              <w:rPr>
                <w:rFonts w:eastAsia="方正仿宋简体"/>
                <w:sz w:val="24"/>
                <w:szCs w:val="24"/>
              </w:rPr>
              <w:t>签字及公章</w:t>
            </w:r>
          </w:p>
        </w:tc>
        <w:tc>
          <w:tcPr>
            <w:tcW w:w="6335" w:type="dxa"/>
            <w:gridSpan w:val="14"/>
            <w:vAlign w:val="center"/>
          </w:tcPr>
          <w:p>
            <w:pPr>
              <w:rPr>
                <w:rFonts w:eastAsia="方正仿宋简体"/>
                <w:sz w:val="24"/>
                <w:szCs w:val="24"/>
              </w:rPr>
            </w:pPr>
            <w:r>
              <w:rPr>
                <w:rFonts w:eastAsia="方正仿宋简体"/>
                <w:sz w:val="24"/>
                <w:szCs w:val="24"/>
              </w:rPr>
              <w:t>申请人签字：</w:t>
            </w:r>
          </w:p>
          <w:p>
            <w:pPr>
              <w:rPr>
                <w:rFonts w:eastAsia="方正仿宋简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187" w:type="dxa"/>
            <w:vMerge w:val="continue"/>
            <w:vAlign w:val="center"/>
          </w:tcPr>
          <w:p>
            <w:pPr>
              <w:rPr>
                <w:rFonts w:eastAsia="方正仿宋简体"/>
                <w:sz w:val="24"/>
                <w:szCs w:val="24"/>
              </w:rPr>
            </w:pPr>
          </w:p>
        </w:tc>
        <w:tc>
          <w:tcPr>
            <w:tcW w:w="6335" w:type="dxa"/>
            <w:gridSpan w:val="14"/>
            <w:vAlign w:val="center"/>
          </w:tcPr>
          <w:p>
            <w:pPr>
              <w:rPr>
                <w:rFonts w:eastAsia="方正仿宋简体"/>
                <w:sz w:val="24"/>
                <w:szCs w:val="24"/>
              </w:rPr>
            </w:pPr>
            <w:r>
              <w:rPr>
                <w:rFonts w:eastAsia="方正仿宋简体"/>
                <w:sz w:val="24"/>
                <w:szCs w:val="24"/>
              </w:rPr>
              <w:t>营业部经办人签字：</w:t>
            </w:r>
          </w:p>
          <w:p>
            <w:pPr>
              <w:rPr>
                <w:rFonts w:eastAsia="方正仿宋简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187" w:type="dxa"/>
            <w:vMerge w:val="continue"/>
            <w:vAlign w:val="center"/>
          </w:tcPr>
          <w:p>
            <w:pPr>
              <w:rPr>
                <w:rFonts w:eastAsia="方正仿宋简体"/>
                <w:sz w:val="24"/>
                <w:szCs w:val="24"/>
              </w:rPr>
            </w:pPr>
          </w:p>
        </w:tc>
        <w:tc>
          <w:tcPr>
            <w:tcW w:w="6335" w:type="dxa"/>
            <w:gridSpan w:val="14"/>
            <w:vAlign w:val="center"/>
          </w:tcPr>
          <w:p>
            <w:pPr>
              <w:rPr>
                <w:rFonts w:eastAsia="方正仿宋简体"/>
                <w:sz w:val="24"/>
                <w:szCs w:val="24"/>
              </w:rPr>
            </w:pPr>
            <w:r>
              <w:rPr>
                <w:rFonts w:eastAsia="方正仿宋简体"/>
                <w:sz w:val="24"/>
                <w:szCs w:val="24"/>
              </w:rPr>
              <w:t>期权经营机构经纪业务负责人签字：</w:t>
            </w:r>
          </w:p>
          <w:p>
            <w:pPr>
              <w:rPr>
                <w:rFonts w:eastAsia="方正仿宋简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187" w:type="dxa"/>
            <w:vMerge w:val="continue"/>
            <w:vAlign w:val="center"/>
          </w:tcPr>
          <w:p>
            <w:pPr>
              <w:rPr>
                <w:rFonts w:eastAsia="方正仿宋简体"/>
                <w:sz w:val="24"/>
                <w:szCs w:val="24"/>
              </w:rPr>
            </w:pPr>
          </w:p>
        </w:tc>
        <w:tc>
          <w:tcPr>
            <w:tcW w:w="6335" w:type="dxa"/>
            <w:gridSpan w:val="14"/>
            <w:vAlign w:val="center"/>
          </w:tcPr>
          <w:p>
            <w:pPr>
              <w:rPr>
                <w:rFonts w:eastAsia="方正仿宋简体"/>
                <w:sz w:val="24"/>
                <w:szCs w:val="24"/>
              </w:rPr>
            </w:pPr>
          </w:p>
          <w:p>
            <w:pPr>
              <w:rPr>
                <w:rFonts w:eastAsia="方正仿宋简体"/>
                <w:sz w:val="24"/>
                <w:szCs w:val="24"/>
              </w:rPr>
            </w:pPr>
          </w:p>
          <w:p>
            <w:pPr>
              <w:rPr>
                <w:rFonts w:eastAsia="方正仿宋简体"/>
                <w:sz w:val="24"/>
                <w:szCs w:val="24"/>
              </w:rPr>
            </w:pPr>
            <w:r>
              <w:rPr>
                <w:rFonts w:eastAsia="方正仿宋简体"/>
                <w:sz w:val="24"/>
                <w:szCs w:val="24"/>
              </w:rPr>
              <w:t>期权经营机构单位公章：</w:t>
            </w:r>
          </w:p>
        </w:tc>
      </w:tr>
    </w:tbl>
    <w:p>
      <w:pPr>
        <w:widowControl/>
        <w:spacing w:line="20" w:lineRule="exact"/>
        <w:jc w:val="left"/>
        <w:rPr>
          <w:rFonts w:eastAsia="方正仿宋简体"/>
          <w:b/>
          <w:bCs/>
          <w:sz w:val="30"/>
          <w:szCs w:val="30"/>
        </w:rPr>
      </w:pPr>
    </w:p>
    <w:p>
      <w:pPr>
        <w:widowControl/>
        <w:jc w:val="left"/>
        <w:rPr>
          <w:rFonts w:hint="eastAsia" w:eastAsia="方正仿宋简体"/>
          <w:bCs/>
          <w:sz w:val="30"/>
          <w:szCs w:val="30"/>
          <w:lang w:eastAsia="zh-CN"/>
        </w:rPr>
      </w:pPr>
      <w:r>
        <w:rPr>
          <w:rFonts w:eastAsia="方正仿宋简体"/>
          <w:b/>
          <w:bCs/>
          <w:sz w:val="30"/>
          <w:szCs w:val="30"/>
        </w:rPr>
        <w:br w:type="page"/>
      </w:r>
      <w:bookmarkStart w:id="264" w:name="_Toc25842058"/>
      <w:r>
        <w:rPr>
          <w:rFonts w:eastAsia="方正仿宋简体"/>
          <w:bCs/>
          <w:sz w:val="30"/>
          <w:szCs w:val="30"/>
        </w:rPr>
        <w:t>附件4：股票期权套期保值专用账户报备表</w:t>
      </w:r>
      <w:bookmarkEnd w:id="264"/>
      <w:r>
        <w:rPr>
          <w:rFonts w:hint="eastAsia" w:eastAsia="方正仿宋简体"/>
          <w:bCs/>
          <w:sz w:val="30"/>
          <w:szCs w:val="30"/>
          <w:lang w:eastAsia="zh-CN"/>
        </w:rPr>
        <w:t>样表</w:t>
      </w:r>
    </w:p>
    <w:tbl>
      <w:tblPr>
        <w:tblStyle w:val="37"/>
        <w:tblW w:w="88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6" w:space="0"/>
        </w:tblBorders>
        <w:tblLayout w:type="fixed"/>
        <w:tblCellMar>
          <w:top w:w="0" w:type="dxa"/>
          <w:left w:w="108" w:type="dxa"/>
          <w:bottom w:w="0" w:type="dxa"/>
          <w:right w:w="108" w:type="dxa"/>
        </w:tblCellMar>
      </w:tblPr>
      <w:tblGrid>
        <w:gridCol w:w="2410"/>
        <w:gridCol w:w="2406"/>
        <w:gridCol w:w="2129"/>
        <w:gridCol w:w="19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6" w:space="0"/>
          </w:tblBorders>
          <w:tblCellMar>
            <w:top w:w="0" w:type="dxa"/>
            <w:left w:w="108" w:type="dxa"/>
            <w:bottom w:w="0" w:type="dxa"/>
            <w:right w:w="108" w:type="dxa"/>
          </w:tblCellMar>
        </w:tblPrEx>
        <w:trPr>
          <w:trHeight w:val="632" w:hRule="atLeast"/>
          <w:jc w:val="center"/>
        </w:trPr>
        <w:tc>
          <w:tcPr>
            <w:tcW w:w="8870" w:type="dxa"/>
            <w:gridSpan w:val="4"/>
            <w:tcBorders>
              <w:bottom w:val="single" w:color="auto" w:sz="4" w:space="0"/>
            </w:tcBorders>
            <w:shd w:val="clear" w:color="auto" w:fill="auto"/>
            <w:noWrap/>
            <w:vAlign w:val="center"/>
          </w:tcPr>
          <w:p>
            <w:pPr>
              <w:widowControl/>
              <w:snapToGrid w:val="0"/>
              <w:ind w:firstLine="158"/>
              <w:jc w:val="center"/>
              <w:rPr>
                <w:rFonts w:eastAsia="方正仿宋简体"/>
                <w:kern w:val="0"/>
                <w:sz w:val="24"/>
                <w:szCs w:val="24"/>
              </w:rPr>
            </w:pPr>
            <w:r>
              <w:rPr>
                <w:rFonts w:eastAsia="方正仿宋简体"/>
                <w:sz w:val="24"/>
                <w:szCs w:val="24"/>
              </w:rPr>
              <w:t>股票期权套期保值专用账户报备表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6" w:space="0"/>
          </w:tblBorders>
          <w:tblCellMar>
            <w:top w:w="0" w:type="dxa"/>
            <w:left w:w="108" w:type="dxa"/>
            <w:bottom w:w="0" w:type="dxa"/>
            <w:right w:w="108" w:type="dxa"/>
          </w:tblCellMar>
        </w:tblPrEx>
        <w:trPr>
          <w:trHeight w:val="438" w:hRule="exact"/>
          <w:jc w:val="center"/>
        </w:trPr>
        <w:tc>
          <w:tcPr>
            <w:tcW w:w="2410" w:type="dxa"/>
            <w:shd w:val="clear" w:color="auto" w:fill="auto"/>
            <w:noWrap/>
            <w:vAlign w:val="center"/>
          </w:tcPr>
          <w:p>
            <w:pPr>
              <w:widowControl/>
              <w:jc w:val="left"/>
              <w:rPr>
                <w:rFonts w:eastAsia="方正仿宋简体"/>
                <w:kern w:val="0"/>
                <w:sz w:val="24"/>
                <w:szCs w:val="24"/>
              </w:rPr>
            </w:pPr>
            <w:r>
              <w:rPr>
                <w:rFonts w:eastAsia="方正仿宋简体"/>
                <w:kern w:val="0"/>
                <w:sz w:val="24"/>
                <w:szCs w:val="24"/>
              </w:rPr>
              <w:t>申请人名称</w:t>
            </w:r>
          </w:p>
        </w:tc>
        <w:tc>
          <w:tcPr>
            <w:tcW w:w="6460" w:type="dxa"/>
            <w:gridSpan w:val="3"/>
            <w:shd w:val="clear" w:color="auto" w:fill="auto"/>
            <w:noWrap/>
            <w:vAlign w:val="center"/>
          </w:tcPr>
          <w:p>
            <w:pPr>
              <w:widowControl/>
              <w:jc w:val="center"/>
              <w:rPr>
                <w:rFonts w:eastAsia="方正仿宋简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6" w:space="0"/>
          </w:tblBorders>
          <w:tblCellMar>
            <w:top w:w="0" w:type="dxa"/>
            <w:left w:w="108" w:type="dxa"/>
            <w:bottom w:w="0" w:type="dxa"/>
            <w:right w:w="108" w:type="dxa"/>
          </w:tblCellMar>
        </w:tblPrEx>
        <w:trPr>
          <w:trHeight w:val="844" w:hRule="exact"/>
          <w:jc w:val="center"/>
        </w:trPr>
        <w:tc>
          <w:tcPr>
            <w:tcW w:w="2410" w:type="dxa"/>
            <w:shd w:val="clear" w:color="auto" w:fill="auto"/>
            <w:noWrap/>
            <w:vAlign w:val="center"/>
          </w:tcPr>
          <w:p>
            <w:pPr>
              <w:widowControl/>
              <w:jc w:val="left"/>
              <w:rPr>
                <w:rFonts w:eastAsia="方正仿宋简体"/>
                <w:kern w:val="0"/>
                <w:sz w:val="24"/>
                <w:szCs w:val="24"/>
              </w:rPr>
            </w:pPr>
            <w:r>
              <w:rPr>
                <w:rFonts w:eastAsia="方正仿宋简体"/>
                <w:kern w:val="0"/>
                <w:sz w:val="24"/>
                <w:szCs w:val="24"/>
              </w:rPr>
              <w:t>深市A股证券账户</w:t>
            </w:r>
          </w:p>
        </w:tc>
        <w:tc>
          <w:tcPr>
            <w:tcW w:w="2406" w:type="dxa"/>
            <w:shd w:val="clear" w:color="auto" w:fill="auto"/>
            <w:noWrap/>
            <w:vAlign w:val="center"/>
          </w:tcPr>
          <w:p>
            <w:pPr>
              <w:widowControl/>
              <w:jc w:val="center"/>
              <w:rPr>
                <w:rFonts w:eastAsia="方正仿宋简体"/>
                <w:i/>
                <w:kern w:val="0"/>
                <w:sz w:val="24"/>
                <w:szCs w:val="24"/>
              </w:rPr>
            </w:pPr>
          </w:p>
        </w:tc>
        <w:tc>
          <w:tcPr>
            <w:tcW w:w="2129" w:type="dxa"/>
            <w:shd w:val="clear" w:color="auto" w:fill="auto"/>
            <w:vAlign w:val="center"/>
          </w:tcPr>
          <w:p>
            <w:pPr>
              <w:widowControl/>
              <w:jc w:val="left"/>
              <w:rPr>
                <w:rFonts w:eastAsia="方正仿宋简体"/>
                <w:i/>
                <w:kern w:val="0"/>
                <w:sz w:val="24"/>
                <w:szCs w:val="24"/>
              </w:rPr>
            </w:pPr>
            <w:r>
              <w:rPr>
                <w:rFonts w:eastAsia="方正仿宋简体"/>
                <w:kern w:val="0"/>
                <w:sz w:val="24"/>
                <w:szCs w:val="24"/>
              </w:rPr>
              <w:t>对应衍生品合约账户</w:t>
            </w:r>
          </w:p>
        </w:tc>
        <w:tc>
          <w:tcPr>
            <w:tcW w:w="1925" w:type="dxa"/>
            <w:shd w:val="clear" w:color="auto" w:fill="auto"/>
            <w:vAlign w:val="center"/>
          </w:tcPr>
          <w:p>
            <w:pPr>
              <w:widowControl/>
              <w:jc w:val="center"/>
              <w:rPr>
                <w:rFonts w:eastAsia="方正仿宋简体"/>
                <w:i/>
                <w:kern w:val="0"/>
                <w:sz w:val="24"/>
                <w:szCs w:val="24"/>
              </w:rPr>
            </w:pPr>
            <w:r>
              <w:rPr>
                <w:rFonts w:eastAsia="方正仿宋简体"/>
                <w:i/>
                <w:kern w:val="0"/>
                <w:sz w:val="24"/>
                <w:szCs w:val="24"/>
              </w:rPr>
              <w:t>（已开立）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6" w:space="0"/>
          </w:tblBorders>
          <w:tblCellMar>
            <w:top w:w="0" w:type="dxa"/>
            <w:left w:w="108" w:type="dxa"/>
            <w:bottom w:w="0" w:type="dxa"/>
            <w:right w:w="108" w:type="dxa"/>
          </w:tblCellMar>
        </w:tblPrEx>
        <w:trPr>
          <w:trHeight w:val="438" w:hRule="exact"/>
          <w:jc w:val="center"/>
        </w:trPr>
        <w:tc>
          <w:tcPr>
            <w:tcW w:w="2410" w:type="dxa"/>
            <w:shd w:val="clear" w:color="auto" w:fill="auto"/>
            <w:noWrap/>
            <w:vAlign w:val="center"/>
          </w:tcPr>
          <w:p>
            <w:pPr>
              <w:widowControl/>
              <w:jc w:val="left"/>
              <w:rPr>
                <w:rFonts w:eastAsia="方正仿宋简体"/>
                <w:kern w:val="0"/>
                <w:sz w:val="24"/>
                <w:szCs w:val="24"/>
              </w:rPr>
            </w:pPr>
            <w:r>
              <w:rPr>
                <w:rFonts w:eastAsia="方正仿宋简体"/>
                <w:kern w:val="0"/>
                <w:sz w:val="24"/>
                <w:szCs w:val="24"/>
              </w:rPr>
              <w:t>申请人联系人</w:t>
            </w:r>
          </w:p>
        </w:tc>
        <w:tc>
          <w:tcPr>
            <w:tcW w:w="2406" w:type="dxa"/>
            <w:shd w:val="clear" w:color="auto" w:fill="auto"/>
            <w:noWrap/>
            <w:vAlign w:val="center"/>
          </w:tcPr>
          <w:p>
            <w:pPr>
              <w:widowControl/>
              <w:jc w:val="center"/>
              <w:rPr>
                <w:rFonts w:eastAsia="方正仿宋简体"/>
                <w:kern w:val="0"/>
                <w:sz w:val="24"/>
                <w:szCs w:val="24"/>
              </w:rPr>
            </w:pPr>
          </w:p>
        </w:tc>
        <w:tc>
          <w:tcPr>
            <w:tcW w:w="2129" w:type="dxa"/>
            <w:shd w:val="clear" w:color="auto" w:fill="auto"/>
            <w:noWrap/>
            <w:vAlign w:val="center"/>
          </w:tcPr>
          <w:p>
            <w:pPr>
              <w:widowControl/>
              <w:jc w:val="left"/>
              <w:rPr>
                <w:rFonts w:eastAsia="方正仿宋简体"/>
                <w:kern w:val="0"/>
                <w:sz w:val="24"/>
                <w:szCs w:val="24"/>
              </w:rPr>
            </w:pPr>
            <w:r>
              <w:rPr>
                <w:rFonts w:eastAsia="方正仿宋简体"/>
                <w:kern w:val="0"/>
                <w:sz w:val="24"/>
                <w:szCs w:val="24"/>
              </w:rPr>
              <w:t>联系人电话</w:t>
            </w:r>
          </w:p>
        </w:tc>
        <w:tc>
          <w:tcPr>
            <w:tcW w:w="1925" w:type="dxa"/>
            <w:shd w:val="clear" w:color="auto" w:fill="auto"/>
            <w:noWrap/>
            <w:vAlign w:val="center"/>
          </w:tcPr>
          <w:p>
            <w:pPr>
              <w:widowControl/>
              <w:jc w:val="center"/>
              <w:rPr>
                <w:rFonts w:eastAsia="方正仿宋简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6" w:space="0"/>
          </w:tblBorders>
          <w:tblCellMar>
            <w:top w:w="0" w:type="dxa"/>
            <w:left w:w="108" w:type="dxa"/>
            <w:bottom w:w="0" w:type="dxa"/>
            <w:right w:w="108" w:type="dxa"/>
          </w:tblCellMar>
        </w:tblPrEx>
        <w:trPr>
          <w:trHeight w:val="435" w:hRule="exact"/>
          <w:jc w:val="center"/>
        </w:trPr>
        <w:tc>
          <w:tcPr>
            <w:tcW w:w="2410" w:type="dxa"/>
            <w:shd w:val="clear" w:color="auto" w:fill="auto"/>
            <w:noWrap/>
            <w:vAlign w:val="center"/>
          </w:tcPr>
          <w:p>
            <w:pPr>
              <w:widowControl/>
              <w:jc w:val="left"/>
              <w:rPr>
                <w:rFonts w:eastAsia="方正仿宋简体"/>
                <w:kern w:val="0"/>
                <w:sz w:val="24"/>
                <w:szCs w:val="24"/>
              </w:rPr>
            </w:pPr>
            <w:r>
              <w:rPr>
                <w:rFonts w:eastAsia="方正仿宋简体"/>
                <w:kern w:val="0"/>
                <w:sz w:val="24"/>
                <w:szCs w:val="24"/>
              </w:rPr>
              <w:t>投资经理</w:t>
            </w:r>
          </w:p>
        </w:tc>
        <w:tc>
          <w:tcPr>
            <w:tcW w:w="2406" w:type="dxa"/>
            <w:shd w:val="clear" w:color="auto" w:fill="auto"/>
            <w:noWrap/>
            <w:vAlign w:val="center"/>
          </w:tcPr>
          <w:p>
            <w:pPr>
              <w:widowControl/>
              <w:jc w:val="center"/>
              <w:rPr>
                <w:rFonts w:eastAsia="方正仿宋简体"/>
                <w:kern w:val="0"/>
                <w:sz w:val="24"/>
                <w:szCs w:val="24"/>
              </w:rPr>
            </w:pPr>
            <w:r>
              <w:rPr>
                <w:rFonts w:eastAsia="方正仿宋简体"/>
                <w:i/>
                <w:kern w:val="0"/>
                <w:sz w:val="24"/>
                <w:szCs w:val="24"/>
              </w:rPr>
              <w:t>（如有）</w:t>
            </w:r>
          </w:p>
        </w:tc>
        <w:tc>
          <w:tcPr>
            <w:tcW w:w="2129" w:type="dxa"/>
            <w:shd w:val="clear" w:color="auto" w:fill="auto"/>
            <w:noWrap/>
            <w:vAlign w:val="center"/>
          </w:tcPr>
          <w:p>
            <w:pPr>
              <w:widowControl/>
              <w:jc w:val="left"/>
              <w:rPr>
                <w:rFonts w:eastAsia="方正仿宋简体"/>
                <w:kern w:val="0"/>
                <w:sz w:val="24"/>
                <w:szCs w:val="24"/>
              </w:rPr>
            </w:pPr>
            <w:r>
              <w:rPr>
                <w:rFonts w:eastAsia="方正仿宋简体"/>
                <w:kern w:val="0"/>
                <w:sz w:val="24"/>
                <w:szCs w:val="24"/>
              </w:rPr>
              <w:t>投资经理电话</w:t>
            </w:r>
          </w:p>
        </w:tc>
        <w:tc>
          <w:tcPr>
            <w:tcW w:w="1925" w:type="dxa"/>
            <w:shd w:val="clear" w:color="auto" w:fill="auto"/>
            <w:noWrap/>
            <w:vAlign w:val="center"/>
          </w:tcPr>
          <w:p>
            <w:pPr>
              <w:widowControl/>
              <w:jc w:val="center"/>
              <w:rPr>
                <w:rFonts w:eastAsia="方正仿宋简体"/>
                <w:kern w:val="0"/>
                <w:sz w:val="24"/>
                <w:szCs w:val="24"/>
              </w:rPr>
            </w:pPr>
            <w:r>
              <w:rPr>
                <w:rFonts w:eastAsia="方正仿宋简体"/>
                <w:i/>
                <w:kern w:val="0"/>
                <w:sz w:val="24"/>
                <w:szCs w:val="24"/>
              </w:rPr>
              <w:t>（如有）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6" w:space="0"/>
          </w:tblBorders>
          <w:tblCellMar>
            <w:top w:w="0" w:type="dxa"/>
            <w:left w:w="108" w:type="dxa"/>
            <w:bottom w:w="0" w:type="dxa"/>
            <w:right w:w="108" w:type="dxa"/>
          </w:tblCellMar>
        </w:tblPrEx>
        <w:trPr>
          <w:trHeight w:val="366" w:hRule="exact"/>
          <w:jc w:val="center"/>
        </w:trPr>
        <w:tc>
          <w:tcPr>
            <w:tcW w:w="2410" w:type="dxa"/>
            <w:shd w:val="clear" w:color="auto" w:fill="auto"/>
            <w:noWrap/>
            <w:vAlign w:val="center"/>
          </w:tcPr>
          <w:p>
            <w:pPr>
              <w:widowControl/>
              <w:jc w:val="left"/>
              <w:rPr>
                <w:rFonts w:eastAsia="方正仿宋简体"/>
                <w:kern w:val="0"/>
                <w:sz w:val="24"/>
                <w:szCs w:val="24"/>
              </w:rPr>
            </w:pPr>
            <w:r>
              <w:rPr>
                <w:rFonts w:eastAsia="方正仿宋简体"/>
                <w:kern w:val="0"/>
                <w:sz w:val="24"/>
                <w:szCs w:val="24"/>
              </w:rPr>
              <w:t>开户机构名称</w:t>
            </w:r>
          </w:p>
        </w:tc>
        <w:tc>
          <w:tcPr>
            <w:tcW w:w="2406" w:type="dxa"/>
            <w:shd w:val="clear" w:color="auto" w:fill="auto"/>
            <w:noWrap/>
            <w:vAlign w:val="center"/>
          </w:tcPr>
          <w:p>
            <w:pPr>
              <w:widowControl/>
              <w:jc w:val="center"/>
              <w:rPr>
                <w:rFonts w:eastAsia="方正仿宋简体"/>
                <w:kern w:val="0"/>
                <w:sz w:val="24"/>
                <w:szCs w:val="24"/>
              </w:rPr>
            </w:pPr>
          </w:p>
        </w:tc>
        <w:tc>
          <w:tcPr>
            <w:tcW w:w="2129" w:type="dxa"/>
            <w:shd w:val="clear" w:color="auto" w:fill="auto"/>
            <w:noWrap/>
            <w:vAlign w:val="center"/>
          </w:tcPr>
          <w:p>
            <w:pPr>
              <w:widowControl/>
              <w:jc w:val="left"/>
              <w:rPr>
                <w:rFonts w:eastAsia="方正仿宋简体"/>
                <w:kern w:val="0"/>
                <w:sz w:val="24"/>
                <w:szCs w:val="24"/>
                <w:highlight w:val="yellow"/>
              </w:rPr>
            </w:pPr>
            <w:r>
              <w:rPr>
                <w:rFonts w:eastAsia="方正仿宋简体"/>
                <w:kern w:val="0"/>
                <w:sz w:val="24"/>
                <w:szCs w:val="24"/>
              </w:rPr>
              <w:t>开户机构结算账户</w:t>
            </w:r>
          </w:p>
        </w:tc>
        <w:tc>
          <w:tcPr>
            <w:tcW w:w="1925" w:type="dxa"/>
            <w:shd w:val="clear" w:color="auto" w:fill="auto"/>
            <w:noWrap/>
            <w:vAlign w:val="center"/>
          </w:tcPr>
          <w:p>
            <w:pPr>
              <w:widowControl/>
              <w:jc w:val="center"/>
              <w:rPr>
                <w:rFonts w:eastAsia="方正仿宋简体"/>
                <w:kern w:val="0"/>
                <w:sz w:val="24"/>
                <w:szCs w:val="24"/>
                <w:highlight w:val="yellow"/>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6" w:space="0"/>
          </w:tblBorders>
          <w:tblCellMar>
            <w:top w:w="0" w:type="dxa"/>
            <w:left w:w="108" w:type="dxa"/>
            <w:bottom w:w="0" w:type="dxa"/>
            <w:right w:w="108" w:type="dxa"/>
          </w:tblCellMar>
        </w:tblPrEx>
        <w:trPr>
          <w:trHeight w:val="746" w:hRule="exact"/>
          <w:jc w:val="center"/>
        </w:trPr>
        <w:tc>
          <w:tcPr>
            <w:tcW w:w="2410" w:type="dxa"/>
            <w:shd w:val="clear" w:color="auto" w:fill="auto"/>
            <w:noWrap/>
            <w:vAlign w:val="center"/>
          </w:tcPr>
          <w:p>
            <w:pPr>
              <w:widowControl/>
              <w:jc w:val="left"/>
              <w:rPr>
                <w:rFonts w:eastAsia="方正仿宋简体"/>
                <w:kern w:val="0"/>
                <w:sz w:val="24"/>
                <w:szCs w:val="24"/>
              </w:rPr>
            </w:pPr>
            <w:r>
              <w:rPr>
                <w:rFonts w:eastAsia="方正仿宋简体"/>
                <w:kern w:val="0"/>
                <w:sz w:val="24"/>
                <w:szCs w:val="24"/>
              </w:rPr>
              <w:t>开户机构联系人</w:t>
            </w:r>
          </w:p>
        </w:tc>
        <w:tc>
          <w:tcPr>
            <w:tcW w:w="2406" w:type="dxa"/>
            <w:shd w:val="clear" w:color="auto" w:fill="auto"/>
            <w:noWrap/>
            <w:vAlign w:val="center"/>
          </w:tcPr>
          <w:p>
            <w:pPr>
              <w:widowControl/>
              <w:jc w:val="center"/>
              <w:rPr>
                <w:rFonts w:eastAsia="方正仿宋简体"/>
                <w:kern w:val="0"/>
                <w:sz w:val="24"/>
                <w:szCs w:val="24"/>
              </w:rPr>
            </w:pPr>
          </w:p>
        </w:tc>
        <w:tc>
          <w:tcPr>
            <w:tcW w:w="2129" w:type="dxa"/>
            <w:shd w:val="clear" w:color="auto" w:fill="auto"/>
            <w:noWrap/>
            <w:vAlign w:val="center"/>
          </w:tcPr>
          <w:p>
            <w:pPr>
              <w:widowControl/>
              <w:jc w:val="left"/>
              <w:rPr>
                <w:rFonts w:eastAsia="方正仿宋简体"/>
                <w:kern w:val="0"/>
                <w:sz w:val="24"/>
                <w:szCs w:val="24"/>
              </w:rPr>
            </w:pPr>
            <w:r>
              <w:rPr>
                <w:rFonts w:eastAsia="方正仿宋简体"/>
                <w:kern w:val="0"/>
                <w:sz w:val="24"/>
                <w:szCs w:val="24"/>
              </w:rPr>
              <w:t>开户机构联系人电话</w:t>
            </w:r>
          </w:p>
        </w:tc>
        <w:tc>
          <w:tcPr>
            <w:tcW w:w="1925" w:type="dxa"/>
            <w:shd w:val="clear" w:color="auto" w:fill="auto"/>
            <w:noWrap/>
            <w:vAlign w:val="center"/>
          </w:tcPr>
          <w:p>
            <w:pPr>
              <w:widowControl/>
              <w:jc w:val="center"/>
              <w:rPr>
                <w:rFonts w:eastAsia="方正仿宋简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6" w:space="0"/>
          </w:tblBorders>
          <w:tblCellMar>
            <w:top w:w="0" w:type="dxa"/>
            <w:left w:w="108" w:type="dxa"/>
            <w:bottom w:w="0" w:type="dxa"/>
            <w:right w:w="108" w:type="dxa"/>
          </w:tblCellMar>
        </w:tblPrEx>
        <w:trPr>
          <w:trHeight w:val="2535" w:hRule="atLeast"/>
          <w:jc w:val="center"/>
        </w:trPr>
        <w:tc>
          <w:tcPr>
            <w:tcW w:w="8870" w:type="dxa"/>
            <w:gridSpan w:val="4"/>
            <w:shd w:val="clear" w:color="auto" w:fill="auto"/>
            <w:noWrap/>
            <w:vAlign w:val="center"/>
          </w:tcPr>
          <w:p>
            <w:pPr>
              <w:widowControl/>
              <w:autoSpaceDE w:val="0"/>
              <w:autoSpaceDN w:val="0"/>
              <w:adjustRightInd w:val="0"/>
              <w:snapToGrid w:val="0"/>
              <w:ind w:right="-57"/>
              <w:jc w:val="left"/>
              <w:rPr>
                <w:rFonts w:eastAsia="方正仿宋简体"/>
                <w:kern w:val="0"/>
                <w:sz w:val="24"/>
                <w:szCs w:val="24"/>
              </w:rPr>
            </w:pPr>
            <w:r>
              <w:rPr>
                <w:rFonts w:eastAsia="方正仿宋简体"/>
                <w:b/>
                <w:kern w:val="0"/>
                <w:sz w:val="24"/>
                <w:szCs w:val="24"/>
              </w:rPr>
              <w:t>申请人声明事项</w:t>
            </w:r>
          </w:p>
          <w:p>
            <w:pPr>
              <w:widowControl/>
              <w:autoSpaceDE w:val="0"/>
              <w:autoSpaceDN w:val="0"/>
              <w:adjustRightInd w:val="0"/>
              <w:snapToGrid w:val="0"/>
              <w:ind w:right="-57"/>
              <w:jc w:val="left"/>
              <w:rPr>
                <w:rFonts w:eastAsia="方正仿宋简体"/>
                <w:kern w:val="0"/>
                <w:sz w:val="24"/>
                <w:szCs w:val="24"/>
              </w:rPr>
            </w:pPr>
            <w:r>
              <w:rPr>
                <w:rFonts w:eastAsia="方正仿宋简体"/>
                <w:kern w:val="0"/>
                <w:sz w:val="24"/>
                <w:szCs w:val="24"/>
              </w:rPr>
              <w:t>1．提供的文件内容完整并且真实；</w:t>
            </w:r>
          </w:p>
          <w:p>
            <w:pPr>
              <w:widowControl/>
              <w:autoSpaceDE w:val="0"/>
              <w:autoSpaceDN w:val="0"/>
              <w:adjustRightInd w:val="0"/>
              <w:snapToGrid w:val="0"/>
              <w:jc w:val="left"/>
              <w:rPr>
                <w:rFonts w:eastAsia="方正仿宋简体"/>
                <w:kern w:val="0"/>
                <w:sz w:val="24"/>
                <w:szCs w:val="24"/>
              </w:rPr>
            </w:pPr>
            <w:r>
              <w:rPr>
                <w:rFonts w:eastAsia="方正仿宋简体"/>
                <w:kern w:val="0"/>
                <w:sz w:val="24"/>
                <w:szCs w:val="24"/>
              </w:rPr>
              <w:t>2．将依据报备的用途与内部控制程序从事期权交易；</w:t>
            </w:r>
          </w:p>
          <w:p>
            <w:pPr>
              <w:widowControl/>
              <w:autoSpaceDE w:val="0"/>
              <w:autoSpaceDN w:val="0"/>
              <w:adjustRightInd w:val="0"/>
              <w:snapToGrid w:val="0"/>
              <w:jc w:val="left"/>
              <w:rPr>
                <w:rFonts w:eastAsia="方正仿宋简体"/>
                <w:kern w:val="0"/>
                <w:sz w:val="24"/>
                <w:szCs w:val="24"/>
              </w:rPr>
            </w:pPr>
            <w:r>
              <w:rPr>
                <w:rFonts w:eastAsia="方正仿宋简体"/>
                <w:kern w:val="0"/>
                <w:sz w:val="24"/>
                <w:szCs w:val="24"/>
              </w:rPr>
              <w:t>3．遵守期权交易相关法律法规，绝不以不当手段干扰期权与相关现货市场运作，并且了解深圳证券交易所在执行监管时，对发现的异常情况有权依据《深圳证券交易所股票期权试点交易规则》及相关规定采取相应措施以维护市场秩序；</w:t>
            </w:r>
          </w:p>
          <w:p>
            <w:pPr>
              <w:widowControl/>
              <w:autoSpaceDE w:val="0"/>
              <w:autoSpaceDN w:val="0"/>
              <w:adjustRightInd w:val="0"/>
              <w:snapToGrid w:val="0"/>
              <w:jc w:val="left"/>
              <w:rPr>
                <w:rFonts w:eastAsia="方正仿宋简体"/>
                <w:kern w:val="0"/>
                <w:sz w:val="24"/>
                <w:szCs w:val="24"/>
              </w:rPr>
            </w:pPr>
            <w:r>
              <w:rPr>
                <w:rFonts w:eastAsia="方正仿宋简体"/>
                <w:kern w:val="0"/>
                <w:sz w:val="24"/>
                <w:szCs w:val="24"/>
              </w:rPr>
              <w:t>4．同意深圳证券交易所在申请人从事期权交易期间，可以依据相关规定要求申请人就有关事项限期提出书面说明或者补充文件，申请人不会规避或者拒绝。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6" w:space="0"/>
          </w:tblBorders>
          <w:tblCellMar>
            <w:top w:w="0" w:type="dxa"/>
            <w:left w:w="108" w:type="dxa"/>
            <w:bottom w:w="0" w:type="dxa"/>
            <w:right w:w="108" w:type="dxa"/>
          </w:tblCellMar>
        </w:tblPrEx>
        <w:trPr>
          <w:trHeight w:val="1588" w:hRule="exact"/>
          <w:jc w:val="center"/>
        </w:trPr>
        <w:tc>
          <w:tcPr>
            <w:tcW w:w="8870" w:type="dxa"/>
            <w:gridSpan w:val="4"/>
            <w:shd w:val="clear" w:color="auto" w:fill="auto"/>
            <w:noWrap/>
          </w:tcPr>
          <w:p>
            <w:pPr>
              <w:widowControl/>
              <w:autoSpaceDE w:val="0"/>
              <w:autoSpaceDN w:val="0"/>
              <w:adjustRightInd w:val="0"/>
              <w:snapToGrid w:val="0"/>
              <w:ind w:right="-57"/>
              <w:jc w:val="left"/>
              <w:rPr>
                <w:rFonts w:eastAsia="方正仿宋简体"/>
                <w:b/>
                <w:kern w:val="0"/>
                <w:sz w:val="24"/>
                <w:szCs w:val="24"/>
              </w:rPr>
            </w:pPr>
            <w:r>
              <w:rPr>
                <w:rFonts w:eastAsia="方正仿宋简体"/>
                <w:b/>
                <w:kern w:val="0"/>
                <w:sz w:val="24"/>
                <w:szCs w:val="24"/>
              </w:rPr>
              <w:t>申请人（或管理人）签字：</w:t>
            </w:r>
          </w:p>
          <w:p>
            <w:pPr>
              <w:widowControl/>
              <w:autoSpaceDE w:val="0"/>
              <w:autoSpaceDN w:val="0"/>
              <w:adjustRightInd w:val="0"/>
              <w:snapToGrid w:val="0"/>
              <w:ind w:right="-57"/>
              <w:jc w:val="left"/>
              <w:rPr>
                <w:rFonts w:eastAsia="方正仿宋简体"/>
                <w:b/>
                <w:kern w:val="0"/>
                <w:sz w:val="24"/>
                <w:szCs w:val="24"/>
              </w:rPr>
            </w:pPr>
          </w:p>
          <w:p>
            <w:pPr>
              <w:widowControl/>
              <w:autoSpaceDE w:val="0"/>
              <w:autoSpaceDN w:val="0"/>
              <w:adjustRightInd w:val="0"/>
              <w:snapToGrid w:val="0"/>
              <w:ind w:right="-57"/>
              <w:jc w:val="left"/>
              <w:rPr>
                <w:rFonts w:eastAsia="方正仿宋简体"/>
                <w:b/>
                <w:kern w:val="0"/>
                <w:sz w:val="24"/>
                <w:szCs w:val="24"/>
              </w:rPr>
            </w:pPr>
          </w:p>
          <w:p>
            <w:pPr>
              <w:widowControl/>
              <w:autoSpaceDE w:val="0"/>
              <w:autoSpaceDN w:val="0"/>
              <w:adjustRightInd w:val="0"/>
              <w:snapToGrid w:val="0"/>
              <w:ind w:right="-57"/>
              <w:jc w:val="left"/>
              <w:rPr>
                <w:rFonts w:eastAsia="方正仿宋简体"/>
                <w:b/>
                <w:kern w:val="0"/>
                <w:sz w:val="24"/>
                <w:szCs w:val="24"/>
              </w:rPr>
            </w:pPr>
          </w:p>
          <w:p>
            <w:pPr>
              <w:widowControl/>
              <w:autoSpaceDE w:val="0"/>
              <w:autoSpaceDN w:val="0"/>
              <w:adjustRightInd w:val="0"/>
              <w:snapToGrid w:val="0"/>
              <w:ind w:right="-57"/>
              <w:jc w:val="left"/>
              <w:rPr>
                <w:rFonts w:eastAsia="方正仿宋简体"/>
                <w:b/>
                <w:kern w:val="0"/>
                <w:sz w:val="24"/>
                <w:szCs w:val="24"/>
              </w:rPr>
            </w:pPr>
            <w:r>
              <w:rPr>
                <w:rFonts w:eastAsia="方正仿宋简体"/>
                <w:b/>
                <w:kern w:val="0"/>
                <w:sz w:val="24"/>
                <w:szCs w:val="24"/>
              </w:rPr>
              <w:t>申请人盖章：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6" w:space="0"/>
          </w:tblBorders>
          <w:tblCellMar>
            <w:top w:w="0" w:type="dxa"/>
            <w:left w:w="108" w:type="dxa"/>
            <w:bottom w:w="0" w:type="dxa"/>
            <w:right w:w="108" w:type="dxa"/>
          </w:tblCellMar>
        </w:tblPrEx>
        <w:trPr>
          <w:trHeight w:val="892" w:hRule="atLeast"/>
          <w:jc w:val="center"/>
        </w:trPr>
        <w:tc>
          <w:tcPr>
            <w:tcW w:w="8870" w:type="dxa"/>
            <w:gridSpan w:val="4"/>
            <w:shd w:val="clear" w:color="auto" w:fill="auto"/>
            <w:noWrap/>
            <w:vAlign w:val="center"/>
          </w:tcPr>
          <w:p>
            <w:pPr>
              <w:widowControl/>
              <w:autoSpaceDE w:val="0"/>
              <w:autoSpaceDN w:val="0"/>
              <w:adjustRightInd w:val="0"/>
              <w:snapToGrid w:val="0"/>
              <w:ind w:right="-57"/>
              <w:jc w:val="left"/>
              <w:rPr>
                <w:rFonts w:eastAsia="方正仿宋简体"/>
                <w:kern w:val="0"/>
                <w:sz w:val="24"/>
                <w:szCs w:val="24"/>
              </w:rPr>
            </w:pPr>
            <w:r>
              <w:rPr>
                <w:rFonts w:eastAsia="方正仿宋简体"/>
                <w:b/>
                <w:kern w:val="0"/>
                <w:sz w:val="24"/>
                <w:szCs w:val="24"/>
              </w:rPr>
              <w:t>期权经营机构对申请人材料真实性的声明事项：</w:t>
            </w:r>
            <w:r>
              <w:rPr>
                <w:rFonts w:eastAsia="方正仿宋简体"/>
                <w:kern w:val="0"/>
                <w:sz w:val="24"/>
                <w:szCs w:val="24"/>
              </w:rPr>
              <w:t>我公司保证申请人向贵所提供的各项证明材料均属实，同意向交易所提交相关申请，并在运作中按照深圳证券交易所的有关规定执行。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6" w:space="0"/>
          </w:tblBorders>
          <w:tblCellMar>
            <w:top w:w="0" w:type="dxa"/>
            <w:left w:w="108" w:type="dxa"/>
            <w:bottom w:w="0" w:type="dxa"/>
            <w:right w:w="108" w:type="dxa"/>
          </w:tblCellMar>
        </w:tblPrEx>
        <w:trPr>
          <w:trHeight w:val="2601" w:hRule="exact"/>
          <w:jc w:val="center"/>
        </w:trPr>
        <w:tc>
          <w:tcPr>
            <w:tcW w:w="8870" w:type="dxa"/>
            <w:gridSpan w:val="4"/>
            <w:shd w:val="clear" w:color="auto" w:fill="auto"/>
            <w:noWrap/>
          </w:tcPr>
          <w:p>
            <w:pPr>
              <w:widowControl/>
              <w:snapToGrid w:val="0"/>
              <w:rPr>
                <w:rFonts w:eastAsia="方正仿宋简体"/>
                <w:b/>
                <w:kern w:val="0"/>
                <w:sz w:val="24"/>
                <w:szCs w:val="24"/>
              </w:rPr>
            </w:pPr>
            <w:r>
              <w:rPr>
                <w:rFonts w:eastAsia="方正仿宋简体"/>
                <w:b/>
                <w:sz w:val="24"/>
                <w:szCs w:val="24"/>
              </w:rPr>
              <w:t>期权经营机构</w:t>
            </w:r>
            <w:r>
              <w:rPr>
                <w:rFonts w:eastAsia="方正仿宋简体"/>
                <w:b/>
                <w:kern w:val="0"/>
                <w:sz w:val="24"/>
                <w:szCs w:val="24"/>
              </w:rPr>
              <w:t xml:space="preserve">负责人（或被授权人）签字：                  </w:t>
            </w:r>
          </w:p>
          <w:p>
            <w:pPr>
              <w:widowControl/>
              <w:snapToGrid w:val="0"/>
              <w:rPr>
                <w:rFonts w:eastAsia="方正仿宋简体"/>
                <w:b/>
                <w:kern w:val="0"/>
                <w:sz w:val="24"/>
                <w:szCs w:val="24"/>
              </w:rPr>
            </w:pPr>
          </w:p>
          <w:p>
            <w:pPr>
              <w:widowControl/>
              <w:snapToGrid w:val="0"/>
              <w:rPr>
                <w:rFonts w:eastAsia="方正仿宋简体"/>
                <w:b/>
                <w:kern w:val="0"/>
                <w:sz w:val="24"/>
                <w:szCs w:val="24"/>
              </w:rPr>
            </w:pPr>
          </w:p>
          <w:p>
            <w:pPr>
              <w:widowControl/>
              <w:snapToGrid w:val="0"/>
              <w:rPr>
                <w:rFonts w:eastAsia="方正仿宋简体"/>
                <w:b/>
                <w:kern w:val="0"/>
                <w:sz w:val="24"/>
                <w:szCs w:val="24"/>
              </w:rPr>
            </w:pPr>
          </w:p>
          <w:p>
            <w:pPr>
              <w:widowControl/>
              <w:snapToGrid w:val="0"/>
              <w:rPr>
                <w:rFonts w:eastAsia="方正仿宋简体"/>
                <w:sz w:val="24"/>
                <w:szCs w:val="24"/>
              </w:rPr>
            </w:pPr>
            <w:r>
              <w:rPr>
                <w:rFonts w:eastAsia="方正仿宋简体"/>
                <w:b/>
                <w:sz w:val="24"/>
                <w:szCs w:val="24"/>
              </w:rPr>
              <w:t>期权经营机构</w:t>
            </w:r>
            <w:r>
              <w:rPr>
                <w:rFonts w:eastAsia="方正仿宋简体"/>
                <w:b/>
                <w:kern w:val="0"/>
                <w:sz w:val="24"/>
                <w:szCs w:val="24"/>
              </w:rPr>
              <w:t>盖章：</w:t>
            </w:r>
          </w:p>
        </w:tc>
      </w:tr>
    </w:tbl>
    <w:p>
      <w:pPr>
        <w:widowControl/>
        <w:jc w:val="left"/>
        <w:rPr>
          <w:rFonts w:eastAsia="方正仿宋简体"/>
          <w:bCs/>
          <w:sz w:val="30"/>
          <w:szCs w:val="30"/>
        </w:rPr>
      </w:pPr>
      <w:r>
        <w:rPr>
          <w:rFonts w:eastAsia="方正仿宋简体"/>
          <w:b/>
          <w:bCs/>
          <w:sz w:val="30"/>
          <w:szCs w:val="30"/>
        </w:rPr>
        <w:br w:type="page"/>
      </w:r>
      <w:bookmarkStart w:id="265" w:name="_Toc25842059"/>
      <w:r>
        <w:rPr>
          <w:rFonts w:eastAsia="方正仿宋简体"/>
          <w:bCs/>
          <w:sz w:val="30"/>
          <w:szCs w:val="30"/>
        </w:rPr>
        <w:t>附件5：股票期权持仓限额调整申请表（投资者用</w:t>
      </w:r>
      <w:r>
        <w:rPr>
          <w:rFonts w:hint="eastAsia" w:eastAsia="方正仿宋简体"/>
          <w:bCs/>
          <w:sz w:val="30"/>
          <w:szCs w:val="30"/>
          <w:lang w:eastAsia="zh-CN"/>
        </w:rPr>
        <w:t>样表</w:t>
      </w:r>
      <w:r>
        <w:rPr>
          <w:rFonts w:eastAsia="方正仿宋简体"/>
          <w:bCs/>
          <w:sz w:val="30"/>
          <w:szCs w:val="30"/>
        </w:rPr>
        <w:t>）</w:t>
      </w:r>
      <w:bookmarkEnd w:id="265"/>
    </w:p>
    <w:tbl>
      <w:tblPr>
        <w:tblStyle w:val="37"/>
        <w:tblW w:w="84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61"/>
        <w:gridCol w:w="1715"/>
        <w:gridCol w:w="899"/>
        <w:gridCol w:w="363"/>
        <w:gridCol w:w="537"/>
        <w:gridCol w:w="900"/>
        <w:gridCol w:w="900"/>
        <w:gridCol w:w="900"/>
        <w:gridCol w:w="9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8475" w:type="dxa"/>
            <w:gridSpan w:val="9"/>
            <w:vAlign w:val="center"/>
          </w:tcPr>
          <w:p>
            <w:pPr>
              <w:spacing w:line="360" w:lineRule="auto"/>
              <w:jc w:val="center"/>
              <w:rPr>
                <w:rFonts w:eastAsia="方正仿宋简体"/>
                <w:sz w:val="24"/>
                <w:szCs w:val="24"/>
              </w:rPr>
            </w:pPr>
            <w:r>
              <w:rPr>
                <w:rFonts w:eastAsia="方正仿宋简体"/>
                <w:sz w:val="24"/>
                <w:szCs w:val="24"/>
              </w:rPr>
              <w:t>股票期权持仓限额调整申请表（投资者用）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61" w:type="dxa"/>
            <w:vMerge w:val="restart"/>
            <w:vAlign w:val="center"/>
          </w:tcPr>
          <w:p>
            <w:pPr>
              <w:spacing w:line="360" w:lineRule="auto"/>
              <w:rPr>
                <w:rFonts w:eastAsia="方正仿宋简体"/>
                <w:sz w:val="24"/>
                <w:szCs w:val="24"/>
              </w:rPr>
            </w:pPr>
            <w:r>
              <w:rPr>
                <w:rFonts w:eastAsia="方正仿宋简体"/>
                <w:sz w:val="24"/>
                <w:szCs w:val="24"/>
              </w:rPr>
              <w:t>申请人信息</w:t>
            </w:r>
          </w:p>
        </w:tc>
        <w:tc>
          <w:tcPr>
            <w:tcW w:w="2977" w:type="dxa"/>
            <w:gridSpan w:val="3"/>
            <w:vAlign w:val="center"/>
          </w:tcPr>
          <w:p>
            <w:pPr>
              <w:spacing w:line="360" w:lineRule="auto"/>
              <w:rPr>
                <w:rFonts w:eastAsia="方正仿宋简体"/>
                <w:sz w:val="24"/>
                <w:szCs w:val="24"/>
              </w:rPr>
            </w:pPr>
            <w:r>
              <w:rPr>
                <w:rFonts w:eastAsia="方正仿宋简体"/>
                <w:sz w:val="24"/>
                <w:szCs w:val="24"/>
              </w:rPr>
              <w:t>名称</w:t>
            </w:r>
          </w:p>
        </w:tc>
        <w:tc>
          <w:tcPr>
            <w:tcW w:w="4137" w:type="dxa"/>
            <w:gridSpan w:val="5"/>
            <w:vAlign w:val="center"/>
          </w:tcPr>
          <w:p>
            <w:pPr>
              <w:spacing w:line="360" w:lineRule="auto"/>
              <w:rPr>
                <w:rFonts w:eastAsia="方正仿宋简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61" w:type="dxa"/>
            <w:vMerge w:val="continue"/>
            <w:vAlign w:val="center"/>
          </w:tcPr>
          <w:p>
            <w:pPr>
              <w:spacing w:line="360" w:lineRule="auto"/>
              <w:rPr>
                <w:rFonts w:eastAsia="方正仿宋简体"/>
                <w:sz w:val="24"/>
                <w:szCs w:val="24"/>
              </w:rPr>
            </w:pPr>
          </w:p>
        </w:tc>
        <w:tc>
          <w:tcPr>
            <w:tcW w:w="2977" w:type="dxa"/>
            <w:gridSpan w:val="3"/>
            <w:vAlign w:val="center"/>
          </w:tcPr>
          <w:p>
            <w:pPr>
              <w:spacing w:line="360" w:lineRule="auto"/>
              <w:rPr>
                <w:rFonts w:eastAsia="方正仿宋简体"/>
                <w:sz w:val="24"/>
                <w:szCs w:val="24"/>
              </w:rPr>
            </w:pPr>
            <w:r>
              <w:rPr>
                <w:rFonts w:eastAsia="方正仿宋简体"/>
                <w:sz w:val="24"/>
                <w:szCs w:val="24"/>
              </w:rPr>
              <w:t>联系方式</w:t>
            </w:r>
          </w:p>
        </w:tc>
        <w:tc>
          <w:tcPr>
            <w:tcW w:w="4137" w:type="dxa"/>
            <w:gridSpan w:val="5"/>
            <w:vAlign w:val="center"/>
          </w:tcPr>
          <w:p>
            <w:pPr>
              <w:spacing w:line="360" w:lineRule="auto"/>
              <w:rPr>
                <w:rFonts w:eastAsia="方正仿宋简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61" w:type="dxa"/>
            <w:vMerge w:val="continue"/>
            <w:vAlign w:val="center"/>
          </w:tcPr>
          <w:p>
            <w:pPr>
              <w:spacing w:line="360" w:lineRule="auto"/>
              <w:rPr>
                <w:rFonts w:eastAsia="方正仿宋简体"/>
                <w:sz w:val="24"/>
                <w:szCs w:val="24"/>
              </w:rPr>
            </w:pPr>
          </w:p>
        </w:tc>
        <w:tc>
          <w:tcPr>
            <w:tcW w:w="2977" w:type="dxa"/>
            <w:gridSpan w:val="3"/>
            <w:vAlign w:val="center"/>
          </w:tcPr>
          <w:p>
            <w:pPr>
              <w:spacing w:line="360" w:lineRule="auto"/>
              <w:rPr>
                <w:rFonts w:eastAsia="方正仿宋简体"/>
                <w:sz w:val="24"/>
                <w:szCs w:val="24"/>
              </w:rPr>
            </w:pPr>
            <w:r>
              <w:rPr>
                <w:rFonts w:eastAsia="方正仿宋简体"/>
                <w:sz w:val="24"/>
                <w:szCs w:val="24"/>
              </w:rPr>
              <w:t>电子邮箱</w:t>
            </w:r>
          </w:p>
        </w:tc>
        <w:tc>
          <w:tcPr>
            <w:tcW w:w="4137" w:type="dxa"/>
            <w:gridSpan w:val="5"/>
            <w:vAlign w:val="center"/>
          </w:tcPr>
          <w:p>
            <w:pPr>
              <w:spacing w:line="360" w:lineRule="auto"/>
              <w:rPr>
                <w:rFonts w:eastAsia="方正仿宋简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61" w:type="dxa"/>
            <w:vMerge w:val="continue"/>
            <w:vAlign w:val="center"/>
          </w:tcPr>
          <w:p>
            <w:pPr>
              <w:spacing w:line="360" w:lineRule="auto"/>
              <w:rPr>
                <w:rFonts w:eastAsia="方正仿宋简体"/>
                <w:sz w:val="24"/>
                <w:szCs w:val="24"/>
              </w:rPr>
            </w:pPr>
          </w:p>
        </w:tc>
        <w:tc>
          <w:tcPr>
            <w:tcW w:w="2977" w:type="dxa"/>
            <w:gridSpan w:val="3"/>
            <w:vAlign w:val="center"/>
          </w:tcPr>
          <w:p>
            <w:pPr>
              <w:widowControl/>
              <w:jc w:val="left"/>
              <w:rPr>
                <w:rFonts w:eastAsia="方正仿宋简体"/>
                <w:kern w:val="0"/>
                <w:sz w:val="24"/>
                <w:szCs w:val="24"/>
              </w:rPr>
            </w:pPr>
            <w:r>
              <w:rPr>
                <w:rFonts w:eastAsia="方正仿宋简体"/>
                <w:kern w:val="0"/>
                <w:sz w:val="24"/>
                <w:szCs w:val="24"/>
              </w:rPr>
              <w:t>深市A股证券账户</w:t>
            </w:r>
          </w:p>
        </w:tc>
        <w:tc>
          <w:tcPr>
            <w:tcW w:w="4137" w:type="dxa"/>
            <w:gridSpan w:val="5"/>
            <w:vAlign w:val="center"/>
          </w:tcPr>
          <w:p>
            <w:pPr>
              <w:spacing w:line="360" w:lineRule="auto"/>
              <w:rPr>
                <w:rFonts w:eastAsia="方正仿宋简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61" w:type="dxa"/>
            <w:vMerge w:val="continue"/>
            <w:vAlign w:val="center"/>
          </w:tcPr>
          <w:p>
            <w:pPr>
              <w:spacing w:line="360" w:lineRule="auto"/>
              <w:rPr>
                <w:rFonts w:eastAsia="方正仿宋简体"/>
                <w:sz w:val="24"/>
                <w:szCs w:val="24"/>
              </w:rPr>
            </w:pPr>
          </w:p>
        </w:tc>
        <w:tc>
          <w:tcPr>
            <w:tcW w:w="2977" w:type="dxa"/>
            <w:gridSpan w:val="3"/>
            <w:vAlign w:val="center"/>
          </w:tcPr>
          <w:p>
            <w:pPr>
              <w:spacing w:line="360" w:lineRule="auto"/>
              <w:rPr>
                <w:rFonts w:eastAsia="方正仿宋简体"/>
                <w:sz w:val="24"/>
                <w:szCs w:val="24"/>
              </w:rPr>
            </w:pPr>
            <w:r>
              <w:rPr>
                <w:rFonts w:eastAsia="方正仿宋简体"/>
                <w:sz w:val="24"/>
                <w:szCs w:val="24"/>
              </w:rPr>
              <w:t>衍生品合约账</w:t>
            </w:r>
            <w:r>
              <w:rPr>
                <w:rFonts w:eastAsia="方正仿宋简体"/>
                <w:kern w:val="0"/>
                <w:sz w:val="24"/>
                <w:szCs w:val="24"/>
              </w:rPr>
              <w:t>户</w:t>
            </w:r>
          </w:p>
        </w:tc>
        <w:tc>
          <w:tcPr>
            <w:tcW w:w="4137" w:type="dxa"/>
            <w:gridSpan w:val="5"/>
            <w:vAlign w:val="center"/>
          </w:tcPr>
          <w:p>
            <w:pPr>
              <w:spacing w:line="360" w:lineRule="auto"/>
              <w:rPr>
                <w:rFonts w:eastAsia="方正仿宋简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61" w:type="dxa"/>
            <w:vAlign w:val="center"/>
          </w:tcPr>
          <w:p>
            <w:pPr>
              <w:rPr>
                <w:rFonts w:eastAsia="方正仿宋简体"/>
                <w:sz w:val="24"/>
                <w:szCs w:val="24"/>
              </w:rPr>
            </w:pPr>
            <w:r>
              <w:rPr>
                <w:rFonts w:eastAsia="方正仿宋简体"/>
                <w:sz w:val="24"/>
                <w:szCs w:val="24"/>
              </w:rPr>
              <w:t>申请用途</w:t>
            </w:r>
          </w:p>
        </w:tc>
        <w:tc>
          <w:tcPr>
            <w:tcW w:w="7114" w:type="dxa"/>
            <w:gridSpan w:val="8"/>
            <w:vAlign w:val="center"/>
          </w:tcPr>
          <w:p>
            <w:pPr>
              <w:spacing w:line="360" w:lineRule="auto"/>
              <w:ind w:firstLine="945" w:firstLineChars="450"/>
              <w:rPr>
                <w:rFonts w:eastAsia="方正仿宋简体"/>
                <w:sz w:val="24"/>
                <w:szCs w:val="24"/>
              </w:rPr>
            </w:pPr>
            <w:r>
              <w:rPr>
                <w:rFonts w:eastAsia="方正仿宋简体"/>
              </w:rPr>
              <w:pict>
                <v:rect id="矩形 6" o:spid="_x0000_s1160" o:spt="1" style="position:absolute;left:0pt;margin-left:14pt;margin-top:51.5pt;height:13.5pt;width:12.75pt;z-index:251661312;mso-width-relative:page;mso-height-relative:page;" fill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">
                  <v:path/>
                  <v:fill on="f" focussize="0,0"/>
                  <v:stroke/>
                  <v:imagedata o:title=""/>
                  <o:lock v:ext="edit"/>
                </v:rect>
              </w:pict>
            </w:r>
            <w:r>
              <w:rPr>
                <w:rFonts w:eastAsia="方正仿宋简体"/>
              </w:rPr>
              <w:pict>
                <v:rect id="矩形 5" o:spid="_x0000_s1159" o:spt="1" style="position:absolute;left:0pt;margin-left:14pt;margin-top:28.9pt;height:13.5pt;width:12.75pt;z-index:251660288;mso-width-relative:page;mso-height-relative:page;" fill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">
                  <v:path/>
                  <v:fill on="f" focussize="0,0"/>
                  <v:stroke/>
                  <v:imagedata o:title=""/>
                  <o:lock v:ext="edit"/>
                </v:rect>
              </w:pict>
            </w:r>
            <w:r>
              <w:rPr>
                <w:rFonts w:eastAsia="方正仿宋简体"/>
              </w:rPr>
              <w:pict>
                <v:rect id="矩形 4" o:spid="_x0000_s1158" o:spt="1" style="position:absolute;left:0pt;margin-left:14pt;margin-top:6.3pt;height:13.5pt;width:12.75pt;z-index:251660288;mso-width-relative:page;mso-height-relative:page;" fill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">
                  <v:path/>
                  <v:fill on="f" focussize="0,0"/>
                  <v:stroke/>
                  <v:imagedata o:title=""/>
                  <o:lock v:ext="edit"/>
                </v:rect>
              </w:pict>
            </w:r>
            <w:r>
              <w:rPr>
                <w:rFonts w:eastAsia="方正仿宋简体"/>
                <w:sz w:val="24"/>
                <w:szCs w:val="24"/>
              </w:rPr>
              <w:t>现货多头套期保值</w:t>
            </w:r>
          </w:p>
          <w:p>
            <w:pPr>
              <w:spacing w:line="360" w:lineRule="auto"/>
              <w:ind w:firstLine="1080" w:firstLineChars="450"/>
              <w:rPr>
                <w:rFonts w:eastAsia="方正仿宋简体"/>
                <w:sz w:val="24"/>
                <w:szCs w:val="24"/>
              </w:rPr>
            </w:pPr>
            <w:r>
              <w:rPr>
                <w:rFonts w:eastAsia="方正仿宋简体"/>
                <w:sz w:val="24"/>
                <w:szCs w:val="24"/>
              </w:rPr>
              <w:t>现货空头套期保值</w:t>
            </w:r>
          </w:p>
          <w:p>
            <w:pPr>
              <w:spacing w:line="360" w:lineRule="auto"/>
              <w:ind w:firstLine="1080" w:firstLineChars="450"/>
              <w:rPr>
                <w:rFonts w:eastAsia="方正仿宋简体"/>
                <w:sz w:val="24"/>
                <w:szCs w:val="24"/>
              </w:rPr>
            </w:pPr>
            <w:r>
              <w:rPr>
                <w:rFonts w:eastAsia="方正仿宋简体"/>
                <w:sz w:val="24"/>
                <w:szCs w:val="24"/>
              </w:rPr>
              <w:t>期权套期保值</w:t>
            </w:r>
          </w:p>
          <w:p>
            <w:pPr>
              <w:spacing w:line="360" w:lineRule="auto"/>
              <w:ind w:firstLine="945" w:firstLineChars="450"/>
              <w:rPr>
                <w:rFonts w:eastAsia="方正仿宋简体"/>
                <w:sz w:val="24"/>
                <w:szCs w:val="24"/>
              </w:rPr>
            </w:pPr>
            <w:r>
              <w:rPr>
                <w:rFonts w:eastAsia="方正仿宋简体"/>
              </w:rPr>
              <w:pict>
                <v:rect id="矩形 1" o:spid="_x0000_s1157" o:spt="1" style="position:absolute;left:0pt;margin-left:14.3pt;margin-top:6.35pt;height:13.5pt;width:12.75pt;z-index:251662336;mso-width-relative:page;mso-height-relative:page;" fill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">
                  <v:path/>
                  <v:fill on="f" focussize="0,0"/>
                  <v:stroke/>
                  <v:imagedata o:title=""/>
                  <o:lock v:ext="edit"/>
                </v:rect>
              </w:pict>
            </w:r>
            <w:r>
              <w:rPr>
                <w:rFonts w:eastAsia="方正仿宋简体"/>
                <w:sz w:val="24"/>
                <w:szCs w:val="24"/>
              </w:rPr>
              <w:t>备兑开仓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61" w:type="dxa"/>
            <w:vMerge w:val="restart"/>
            <w:vAlign w:val="center"/>
          </w:tcPr>
          <w:p>
            <w:pPr>
              <w:rPr>
                <w:rFonts w:eastAsia="方正仿宋简体"/>
                <w:sz w:val="24"/>
                <w:szCs w:val="24"/>
              </w:rPr>
            </w:pPr>
            <w:r>
              <w:rPr>
                <w:rFonts w:eastAsia="方正仿宋简体"/>
                <w:sz w:val="24"/>
                <w:szCs w:val="24"/>
              </w:rPr>
              <w:t>合约品种持仓限额调整</w:t>
            </w:r>
          </w:p>
        </w:tc>
        <w:tc>
          <w:tcPr>
            <w:tcW w:w="1715" w:type="dxa"/>
            <w:vMerge w:val="restart"/>
            <w:vAlign w:val="center"/>
          </w:tcPr>
          <w:p>
            <w:pPr>
              <w:rPr>
                <w:rFonts w:eastAsia="方正仿宋简体"/>
                <w:sz w:val="24"/>
                <w:szCs w:val="24"/>
              </w:rPr>
            </w:pPr>
            <w:r>
              <w:rPr>
                <w:rFonts w:eastAsia="方正仿宋简体"/>
                <w:sz w:val="24"/>
                <w:szCs w:val="24"/>
              </w:rPr>
              <w:t>单个合约品种</w:t>
            </w:r>
          </w:p>
        </w:tc>
        <w:tc>
          <w:tcPr>
            <w:tcW w:w="2699" w:type="dxa"/>
            <w:gridSpan w:val="4"/>
            <w:vAlign w:val="center"/>
          </w:tcPr>
          <w:p>
            <w:pPr>
              <w:jc w:val="center"/>
              <w:rPr>
                <w:rFonts w:eastAsia="方正仿宋简体"/>
                <w:sz w:val="24"/>
                <w:szCs w:val="24"/>
              </w:rPr>
            </w:pPr>
            <w:r>
              <w:rPr>
                <w:rFonts w:eastAsia="方正仿宋简体"/>
                <w:sz w:val="24"/>
                <w:szCs w:val="24"/>
              </w:rPr>
              <w:t>目前持仓限额</w:t>
            </w:r>
          </w:p>
        </w:tc>
        <w:tc>
          <w:tcPr>
            <w:tcW w:w="2700" w:type="dxa"/>
            <w:gridSpan w:val="3"/>
            <w:vAlign w:val="center"/>
          </w:tcPr>
          <w:p>
            <w:pPr>
              <w:jc w:val="center"/>
              <w:rPr>
                <w:rFonts w:eastAsia="方正仿宋简体"/>
                <w:sz w:val="24"/>
                <w:szCs w:val="24"/>
              </w:rPr>
            </w:pPr>
            <w:r>
              <w:rPr>
                <w:rFonts w:eastAsia="方正仿宋简体"/>
                <w:sz w:val="24"/>
                <w:szCs w:val="24"/>
              </w:rPr>
              <w:t>拟申请持仓限额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61" w:type="dxa"/>
            <w:vMerge w:val="continue"/>
            <w:vAlign w:val="center"/>
          </w:tcPr>
          <w:p>
            <w:pPr>
              <w:rPr>
                <w:rFonts w:eastAsia="方正仿宋简体"/>
                <w:sz w:val="24"/>
                <w:szCs w:val="24"/>
              </w:rPr>
            </w:pPr>
          </w:p>
        </w:tc>
        <w:tc>
          <w:tcPr>
            <w:tcW w:w="1715" w:type="dxa"/>
            <w:vMerge w:val="continue"/>
            <w:vAlign w:val="center"/>
          </w:tcPr>
          <w:p>
            <w:pPr>
              <w:rPr>
                <w:rFonts w:eastAsia="方正仿宋简体"/>
                <w:sz w:val="24"/>
                <w:szCs w:val="24"/>
              </w:rPr>
            </w:pPr>
          </w:p>
        </w:tc>
        <w:tc>
          <w:tcPr>
            <w:tcW w:w="899" w:type="dxa"/>
            <w:vAlign w:val="center"/>
          </w:tcPr>
          <w:p>
            <w:pPr>
              <w:jc w:val="center"/>
              <w:rPr>
                <w:rFonts w:eastAsia="方正仿宋简体"/>
                <w:sz w:val="24"/>
                <w:szCs w:val="24"/>
              </w:rPr>
            </w:pPr>
            <w:r>
              <w:rPr>
                <w:rFonts w:eastAsia="方正仿宋简体"/>
                <w:sz w:val="24"/>
                <w:szCs w:val="24"/>
              </w:rPr>
              <w:t>权利仓持仓限额</w:t>
            </w:r>
          </w:p>
        </w:tc>
        <w:tc>
          <w:tcPr>
            <w:tcW w:w="900" w:type="dxa"/>
            <w:gridSpan w:val="2"/>
            <w:vAlign w:val="center"/>
          </w:tcPr>
          <w:p>
            <w:pPr>
              <w:jc w:val="center"/>
              <w:rPr>
                <w:rFonts w:eastAsia="方正仿宋简体"/>
                <w:sz w:val="24"/>
                <w:szCs w:val="24"/>
              </w:rPr>
            </w:pPr>
            <w:r>
              <w:rPr>
                <w:rFonts w:eastAsia="方正仿宋简体"/>
                <w:sz w:val="24"/>
                <w:szCs w:val="24"/>
              </w:rPr>
              <w:t>总持仓限额</w:t>
            </w:r>
          </w:p>
        </w:tc>
        <w:tc>
          <w:tcPr>
            <w:tcW w:w="900" w:type="dxa"/>
            <w:vAlign w:val="center"/>
          </w:tcPr>
          <w:p>
            <w:pPr>
              <w:jc w:val="center"/>
              <w:rPr>
                <w:rFonts w:eastAsia="方正仿宋简体"/>
                <w:sz w:val="24"/>
                <w:szCs w:val="24"/>
              </w:rPr>
            </w:pPr>
            <w:r>
              <w:rPr>
                <w:rFonts w:eastAsia="方正仿宋简体"/>
                <w:sz w:val="24"/>
                <w:szCs w:val="24"/>
              </w:rPr>
              <w:t>单日买入开仓限额</w:t>
            </w:r>
          </w:p>
        </w:tc>
        <w:tc>
          <w:tcPr>
            <w:tcW w:w="900" w:type="dxa"/>
            <w:vAlign w:val="center"/>
          </w:tcPr>
          <w:p>
            <w:pPr>
              <w:jc w:val="center"/>
              <w:rPr>
                <w:rFonts w:eastAsia="方正仿宋简体"/>
                <w:sz w:val="24"/>
                <w:szCs w:val="24"/>
              </w:rPr>
            </w:pPr>
            <w:r>
              <w:rPr>
                <w:rFonts w:eastAsia="方正仿宋简体"/>
                <w:sz w:val="24"/>
                <w:szCs w:val="24"/>
              </w:rPr>
              <w:t>权利仓持仓限额</w:t>
            </w:r>
          </w:p>
        </w:tc>
        <w:tc>
          <w:tcPr>
            <w:tcW w:w="900" w:type="dxa"/>
            <w:vAlign w:val="center"/>
          </w:tcPr>
          <w:p>
            <w:pPr>
              <w:jc w:val="center"/>
              <w:rPr>
                <w:rFonts w:eastAsia="方正仿宋简体"/>
                <w:sz w:val="24"/>
                <w:szCs w:val="24"/>
              </w:rPr>
            </w:pPr>
            <w:r>
              <w:rPr>
                <w:rFonts w:eastAsia="方正仿宋简体"/>
                <w:sz w:val="24"/>
                <w:szCs w:val="24"/>
              </w:rPr>
              <w:t>总持仓限额</w:t>
            </w:r>
          </w:p>
        </w:tc>
        <w:tc>
          <w:tcPr>
            <w:tcW w:w="900" w:type="dxa"/>
            <w:vAlign w:val="center"/>
          </w:tcPr>
          <w:p>
            <w:pPr>
              <w:jc w:val="center"/>
              <w:rPr>
                <w:rFonts w:eastAsia="方正仿宋简体"/>
                <w:sz w:val="24"/>
                <w:szCs w:val="24"/>
              </w:rPr>
            </w:pPr>
            <w:r>
              <w:rPr>
                <w:rFonts w:eastAsia="方正仿宋简体"/>
                <w:sz w:val="24"/>
                <w:szCs w:val="24"/>
              </w:rPr>
              <w:t>单日买入开仓限额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61" w:type="dxa"/>
            <w:vMerge w:val="continue"/>
            <w:vAlign w:val="center"/>
          </w:tcPr>
          <w:p>
            <w:pPr>
              <w:rPr>
                <w:rFonts w:eastAsia="方正仿宋简体"/>
                <w:sz w:val="24"/>
                <w:szCs w:val="24"/>
              </w:rPr>
            </w:pPr>
          </w:p>
        </w:tc>
        <w:tc>
          <w:tcPr>
            <w:tcW w:w="1715" w:type="dxa"/>
            <w:vAlign w:val="center"/>
          </w:tcPr>
          <w:p>
            <w:pPr>
              <w:rPr>
                <w:rFonts w:eastAsia="方正仿宋简体"/>
                <w:sz w:val="24"/>
                <w:szCs w:val="24"/>
              </w:rPr>
            </w:pPr>
          </w:p>
          <w:p>
            <w:pPr>
              <w:rPr>
                <w:rFonts w:eastAsia="方正仿宋简体"/>
                <w:sz w:val="24"/>
                <w:szCs w:val="24"/>
              </w:rPr>
            </w:pPr>
          </w:p>
        </w:tc>
        <w:tc>
          <w:tcPr>
            <w:tcW w:w="899" w:type="dxa"/>
            <w:vAlign w:val="center"/>
          </w:tcPr>
          <w:p>
            <w:pPr>
              <w:rPr>
                <w:rFonts w:eastAsia="方正仿宋简体"/>
                <w:sz w:val="24"/>
                <w:szCs w:val="24"/>
              </w:rPr>
            </w:pPr>
          </w:p>
        </w:tc>
        <w:tc>
          <w:tcPr>
            <w:tcW w:w="900" w:type="dxa"/>
            <w:gridSpan w:val="2"/>
            <w:vAlign w:val="center"/>
          </w:tcPr>
          <w:p>
            <w:pPr>
              <w:rPr>
                <w:rFonts w:eastAsia="方正仿宋简体"/>
                <w:sz w:val="24"/>
                <w:szCs w:val="24"/>
              </w:rPr>
            </w:pPr>
          </w:p>
        </w:tc>
        <w:tc>
          <w:tcPr>
            <w:tcW w:w="900" w:type="dxa"/>
            <w:vAlign w:val="center"/>
          </w:tcPr>
          <w:p>
            <w:pPr>
              <w:rPr>
                <w:rFonts w:eastAsia="方正仿宋简体"/>
                <w:sz w:val="24"/>
                <w:szCs w:val="24"/>
              </w:rPr>
            </w:pPr>
          </w:p>
        </w:tc>
        <w:tc>
          <w:tcPr>
            <w:tcW w:w="900" w:type="dxa"/>
            <w:vAlign w:val="center"/>
          </w:tcPr>
          <w:p>
            <w:pPr>
              <w:rPr>
                <w:rFonts w:eastAsia="方正仿宋简体"/>
                <w:sz w:val="24"/>
                <w:szCs w:val="24"/>
              </w:rPr>
            </w:pPr>
          </w:p>
        </w:tc>
        <w:tc>
          <w:tcPr>
            <w:tcW w:w="900" w:type="dxa"/>
            <w:vAlign w:val="center"/>
          </w:tcPr>
          <w:p>
            <w:pPr>
              <w:rPr>
                <w:rFonts w:eastAsia="方正仿宋简体"/>
                <w:sz w:val="24"/>
                <w:szCs w:val="24"/>
              </w:rPr>
            </w:pPr>
          </w:p>
        </w:tc>
        <w:tc>
          <w:tcPr>
            <w:tcW w:w="900" w:type="dxa"/>
            <w:vAlign w:val="center"/>
          </w:tcPr>
          <w:p>
            <w:pPr>
              <w:rPr>
                <w:rFonts w:eastAsia="方正仿宋简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61" w:type="dxa"/>
            <w:vMerge w:val="restart"/>
            <w:vAlign w:val="center"/>
          </w:tcPr>
          <w:p>
            <w:pPr>
              <w:rPr>
                <w:rFonts w:eastAsia="方正仿宋简体"/>
                <w:sz w:val="24"/>
                <w:szCs w:val="24"/>
              </w:rPr>
            </w:pPr>
            <w:r>
              <w:rPr>
                <w:rFonts w:eastAsia="方正仿宋简体"/>
                <w:sz w:val="24"/>
                <w:szCs w:val="24"/>
              </w:rPr>
              <w:t>签字及公章</w:t>
            </w:r>
          </w:p>
        </w:tc>
        <w:tc>
          <w:tcPr>
            <w:tcW w:w="7114" w:type="dxa"/>
            <w:gridSpan w:val="8"/>
            <w:vAlign w:val="center"/>
          </w:tcPr>
          <w:p>
            <w:pPr>
              <w:rPr>
                <w:rFonts w:eastAsia="方正仿宋简体"/>
                <w:sz w:val="24"/>
                <w:szCs w:val="24"/>
              </w:rPr>
            </w:pPr>
            <w:r>
              <w:rPr>
                <w:rFonts w:eastAsia="方正仿宋简体"/>
                <w:sz w:val="24"/>
                <w:szCs w:val="24"/>
              </w:rPr>
              <w:t>申请人签字：</w:t>
            </w:r>
          </w:p>
          <w:p>
            <w:pPr>
              <w:rPr>
                <w:rFonts w:eastAsia="方正仿宋简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61" w:type="dxa"/>
            <w:vMerge w:val="continue"/>
            <w:vAlign w:val="center"/>
          </w:tcPr>
          <w:p>
            <w:pPr>
              <w:rPr>
                <w:rFonts w:eastAsia="方正仿宋简体"/>
                <w:sz w:val="24"/>
                <w:szCs w:val="24"/>
              </w:rPr>
            </w:pPr>
          </w:p>
        </w:tc>
        <w:tc>
          <w:tcPr>
            <w:tcW w:w="7114" w:type="dxa"/>
            <w:gridSpan w:val="8"/>
            <w:vAlign w:val="center"/>
          </w:tcPr>
          <w:p>
            <w:pPr>
              <w:rPr>
                <w:rFonts w:eastAsia="方正仿宋简体"/>
                <w:sz w:val="24"/>
                <w:szCs w:val="24"/>
              </w:rPr>
            </w:pPr>
            <w:r>
              <w:rPr>
                <w:rFonts w:eastAsia="方正仿宋简体"/>
                <w:sz w:val="24"/>
                <w:szCs w:val="24"/>
              </w:rPr>
              <w:t>营业部经办人签字：</w:t>
            </w:r>
          </w:p>
          <w:p>
            <w:pPr>
              <w:rPr>
                <w:rFonts w:eastAsia="方正仿宋简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61" w:type="dxa"/>
            <w:vMerge w:val="continue"/>
            <w:vAlign w:val="center"/>
          </w:tcPr>
          <w:p>
            <w:pPr>
              <w:rPr>
                <w:rFonts w:eastAsia="方正仿宋简体"/>
                <w:sz w:val="24"/>
                <w:szCs w:val="24"/>
              </w:rPr>
            </w:pPr>
          </w:p>
        </w:tc>
        <w:tc>
          <w:tcPr>
            <w:tcW w:w="7114" w:type="dxa"/>
            <w:gridSpan w:val="8"/>
            <w:vAlign w:val="center"/>
          </w:tcPr>
          <w:p>
            <w:pPr>
              <w:rPr>
                <w:rFonts w:eastAsia="方正仿宋简体"/>
                <w:sz w:val="24"/>
                <w:szCs w:val="24"/>
              </w:rPr>
            </w:pPr>
            <w:r>
              <w:rPr>
                <w:rFonts w:eastAsia="方正仿宋简体"/>
                <w:sz w:val="24"/>
                <w:szCs w:val="24"/>
              </w:rPr>
              <w:t>期权经营机构经纪业务负责人签字：</w:t>
            </w:r>
          </w:p>
          <w:p>
            <w:pPr>
              <w:rPr>
                <w:rFonts w:eastAsia="方正仿宋简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61" w:type="dxa"/>
            <w:vMerge w:val="continue"/>
            <w:vAlign w:val="center"/>
          </w:tcPr>
          <w:p>
            <w:pPr>
              <w:rPr>
                <w:rFonts w:eastAsia="方正仿宋简体"/>
                <w:sz w:val="24"/>
                <w:szCs w:val="24"/>
              </w:rPr>
            </w:pPr>
          </w:p>
        </w:tc>
        <w:tc>
          <w:tcPr>
            <w:tcW w:w="7114" w:type="dxa"/>
            <w:gridSpan w:val="8"/>
            <w:vAlign w:val="center"/>
          </w:tcPr>
          <w:p>
            <w:pPr>
              <w:rPr>
                <w:rFonts w:eastAsia="方正仿宋简体"/>
                <w:sz w:val="24"/>
                <w:szCs w:val="24"/>
              </w:rPr>
            </w:pPr>
            <w:r>
              <w:rPr>
                <w:rFonts w:eastAsia="方正仿宋简体"/>
                <w:sz w:val="24"/>
                <w:szCs w:val="24"/>
              </w:rPr>
              <w:t>期权经营机构单位公章：</w:t>
            </w:r>
          </w:p>
          <w:p>
            <w:pPr>
              <w:rPr>
                <w:rFonts w:eastAsia="方正仿宋简体"/>
                <w:sz w:val="24"/>
                <w:szCs w:val="24"/>
              </w:rPr>
            </w:pPr>
          </w:p>
          <w:p>
            <w:pPr>
              <w:rPr>
                <w:rFonts w:eastAsia="方正仿宋简体"/>
                <w:sz w:val="24"/>
                <w:szCs w:val="24"/>
              </w:rPr>
            </w:pPr>
          </w:p>
          <w:p>
            <w:pPr>
              <w:rPr>
                <w:rFonts w:eastAsia="方正仿宋简体"/>
                <w:sz w:val="24"/>
                <w:szCs w:val="24"/>
              </w:rPr>
            </w:pPr>
          </w:p>
          <w:p>
            <w:pPr>
              <w:rPr>
                <w:rFonts w:eastAsia="方正仿宋简体"/>
                <w:sz w:val="24"/>
                <w:szCs w:val="24"/>
              </w:rPr>
            </w:pPr>
          </w:p>
        </w:tc>
      </w:tr>
    </w:tbl>
    <w:p>
      <w:pPr>
        <w:widowControl/>
        <w:jc w:val="left"/>
        <w:rPr>
          <w:rFonts w:eastAsia="方正仿宋简体"/>
          <w:b/>
          <w:bCs/>
          <w:sz w:val="32"/>
          <w:szCs w:val="32"/>
        </w:rPr>
      </w:pPr>
    </w:p>
    <w:p>
      <w:pPr>
        <w:widowControl/>
        <w:jc w:val="left"/>
        <w:rPr>
          <w:rFonts w:hint="eastAsia" w:eastAsia="方正仿宋简体"/>
          <w:bCs/>
          <w:sz w:val="30"/>
          <w:szCs w:val="30"/>
          <w:lang w:eastAsia="zh-CN"/>
        </w:rPr>
      </w:pPr>
      <w:r>
        <w:rPr>
          <w:rFonts w:eastAsia="方正仿宋简体"/>
          <w:b/>
          <w:bCs/>
          <w:sz w:val="32"/>
          <w:szCs w:val="32"/>
        </w:rPr>
        <w:br w:type="page"/>
      </w:r>
      <w:bookmarkStart w:id="266" w:name="_Toc25842060"/>
      <w:r>
        <w:rPr>
          <w:rFonts w:eastAsia="方正仿宋简体"/>
          <w:bCs/>
          <w:sz w:val="30"/>
          <w:szCs w:val="30"/>
        </w:rPr>
        <w:t>附件6：股票期权持仓限额调整相关资产报备表</w:t>
      </w:r>
      <w:bookmarkEnd w:id="266"/>
      <w:r>
        <w:rPr>
          <w:rFonts w:hint="eastAsia" w:eastAsia="方正仿宋简体"/>
          <w:bCs/>
          <w:sz w:val="30"/>
          <w:szCs w:val="30"/>
          <w:lang w:eastAsia="zh-CN"/>
        </w:rPr>
        <w:t>样表</w:t>
      </w:r>
    </w:p>
    <w:tbl>
      <w:tblPr>
        <w:tblStyle w:val="37"/>
        <w:tblW w:w="84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62"/>
        <w:gridCol w:w="62"/>
        <w:gridCol w:w="2124"/>
        <w:gridCol w:w="753"/>
        <w:gridCol w:w="1370"/>
        <w:gridCol w:w="913"/>
        <w:gridCol w:w="12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jc w:val="center"/>
        </w:trPr>
        <w:tc>
          <w:tcPr>
            <w:tcW w:w="8495" w:type="dxa"/>
            <w:gridSpan w:val="7"/>
            <w:shd w:val="clear" w:color="auto" w:fill="auto"/>
            <w:vAlign w:val="center"/>
          </w:tcPr>
          <w:p>
            <w:pPr>
              <w:widowControl/>
              <w:jc w:val="center"/>
              <w:rPr>
                <w:rFonts w:eastAsia="方正仿宋简体"/>
                <w:b/>
                <w:kern w:val="0"/>
                <w:sz w:val="24"/>
                <w:szCs w:val="24"/>
              </w:rPr>
            </w:pPr>
            <w:r>
              <w:rPr>
                <w:rFonts w:eastAsia="方正仿宋简体"/>
                <w:sz w:val="24"/>
                <w:szCs w:val="24"/>
              </w:rPr>
              <w:t>股票期权持仓限额调整相关资产报备表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jc w:val="center"/>
        </w:trPr>
        <w:tc>
          <w:tcPr>
            <w:tcW w:w="8495" w:type="dxa"/>
            <w:gridSpan w:val="7"/>
            <w:shd w:val="clear" w:color="auto" w:fill="auto"/>
            <w:vAlign w:val="center"/>
          </w:tcPr>
          <w:p>
            <w:pPr>
              <w:widowControl/>
              <w:jc w:val="center"/>
              <w:rPr>
                <w:rFonts w:eastAsia="方正仿宋简体"/>
                <w:kern w:val="0"/>
                <w:sz w:val="24"/>
                <w:szCs w:val="24"/>
              </w:rPr>
            </w:pPr>
            <w:r>
              <w:rPr>
                <w:rFonts w:eastAsia="方正仿宋简体"/>
                <w:b/>
                <w:kern w:val="0"/>
                <w:sz w:val="24"/>
                <w:szCs w:val="24"/>
              </w:rPr>
              <w:t>一、基本信息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jc w:val="center"/>
        </w:trPr>
        <w:tc>
          <w:tcPr>
            <w:tcW w:w="2062" w:type="dxa"/>
            <w:shd w:val="clear" w:color="auto" w:fill="auto"/>
            <w:vAlign w:val="center"/>
          </w:tcPr>
          <w:p>
            <w:pPr>
              <w:widowControl/>
              <w:jc w:val="center"/>
              <w:rPr>
                <w:rFonts w:eastAsia="方正仿宋简体"/>
                <w:kern w:val="0"/>
                <w:sz w:val="24"/>
                <w:szCs w:val="24"/>
              </w:rPr>
            </w:pPr>
            <w:r>
              <w:rPr>
                <w:rFonts w:eastAsia="方正仿宋简体"/>
                <w:kern w:val="0"/>
                <w:sz w:val="24"/>
                <w:szCs w:val="24"/>
              </w:rPr>
              <w:t>填报日期</w:t>
            </w:r>
          </w:p>
        </w:tc>
        <w:tc>
          <w:tcPr>
            <w:tcW w:w="2939" w:type="dxa"/>
            <w:gridSpan w:val="3"/>
            <w:shd w:val="clear" w:color="auto" w:fill="auto"/>
            <w:vAlign w:val="center"/>
          </w:tcPr>
          <w:p>
            <w:pPr>
              <w:widowControl/>
              <w:jc w:val="center"/>
              <w:rPr>
                <w:rFonts w:eastAsia="方正仿宋简体"/>
                <w:kern w:val="0"/>
                <w:sz w:val="24"/>
                <w:szCs w:val="24"/>
              </w:rPr>
            </w:pPr>
          </w:p>
        </w:tc>
        <w:tc>
          <w:tcPr>
            <w:tcW w:w="2283" w:type="dxa"/>
            <w:gridSpan w:val="2"/>
            <w:shd w:val="clear" w:color="auto" w:fill="auto"/>
            <w:vAlign w:val="center"/>
          </w:tcPr>
          <w:p>
            <w:pPr>
              <w:widowControl/>
              <w:jc w:val="center"/>
              <w:rPr>
                <w:rFonts w:eastAsia="方正仿宋简体"/>
                <w:kern w:val="0"/>
                <w:sz w:val="24"/>
                <w:szCs w:val="24"/>
              </w:rPr>
            </w:pPr>
            <w:r>
              <w:rPr>
                <w:rFonts w:eastAsia="方正仿宋简体"/>
                <w:kern w:val="0"/>
                <w:sz w:val="24"/>
                <w:szCs w:val="24"/>
              </w:rPr>
              <w:t>申请人名称</w:t>
            </w:r>
          </w:p>
        </w:tc>
        <w:tc>
          <w:tcPr>
            <w:tcW w:w="1211" w:type="dxa"/>
            <w:shd w:val="clear" w:color="auto" w:fill="auto"/>
            <w:vAlign w:val="center"/>
          </w:tcPr>
          <w:p>
            <w:pPr>
              <w:widowControl/>
              <w:jc w:val="center"/>
              <w:rPr>
                <w:rFonts w:eastAsia="方正仿宋简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jc w:val="center"/>
        </w:trPr>
        <w:tc>
          <w:tcPr>
            <w:tcW w:w="2062" w:type="dxa"/>
            <w:shd w:val="clear" w:color="auto" w:fill="auto"/>
            <w:vAlign w:val="center"/>
          </w:tcPr>
          <w:p>
            <w:pPr>
              <w:widowControl/>
              <w:jc w:val="center"/>
              <w:rPr>
                <w:rFonts w:eastAsia="方正仿宋简体"/>
                <w:kern w:val="0"/>
                <w:sz w:val="24"/>
                <w:szCs w:val="24"/>
              </w:rPr>
            </w:pPr>
            <w:r>
              <w:rPr>
                <w:rFonts w:eastAsia="方正仿宋简体"/>
                <w:kern w:val="0"/>
                <w:sz w:val="24"/>
                <w:szCs w:val="24"/>
              </w:rPr>
              <w:t>套期保值交易对应的深市A股证券账户</w:t>
            </w:r>
          </w:p>
        </w:tc>
        <w:tc>
          <w:tcPr>
            <w:tcW w:w="6433" w:type="dxa"/>
            <w:gridSpan w:val="6"/>
            <w:shd w:val="clear" w:color="auto" w:fill="auto"/>
            <w:vAlign w:val="center"/>
          </w:tcPr>
          <w:p>
            <w:pPr>
              <w:widowControl/>
              <w:jc w:val="center"/>
              <w:rPr>
                <w:rFonts w:eastAsia="方正仿宋简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jc w:val="center"/>
        </w:trPr>
        <w:tc>
          <w:tcPr>
            <w:tcW w:w="8495" w:type="dxa"/>
            <w:gridSpan w:val="7"/>
            <w:shd w:val="clear" w:color="auto" w:fill="auto"/>
            <w:vAlign w:val="center"/>
          </w:tcPr>
          <w:p>
            <w:pPr>
              <w:widowControl/>
              <w:jc w:val="center"/>
              <w:rPr>
                <w:rFonts w:eastAsia="方正仿宋简体"/>
                <w:b/>
                <w:kern w:val="0"/>
                <w:sz w:val="24"/>
                <w:szCs w:val="24"/>
              </w:rPr>
            </w:pPr>
            <w:r>
              <w:rPr>
                <w:rFonts w:eastAsia="方正仿宋简体"/>
                <w:b/>
                <w:kern w:val="0"/>
                <w:sz w:val="24"/>
                <w:szCs w:val="24"/>
              </w:rPr>
              <w:t>二、资产信息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jc w:val="center"/>
        </w:trPr>
        <w:tc>
          <w:tcPr>
            <w:tcW w:w="4248" w:type="dxa"/>
            <w:gridSpan w:val="3"/>
            <w:shd w:val="clear" w:color="auto" w:fill="auto"/>
            <w:vAlign w:val="center"/>
          </w:tcPr>
          <w:p>
            <w:pPr>
              <w:widowControl/>
              <w:jc w:val="center"/>
              <w:rPr>
                <w:rFonts w:eastAsia="方正仿宋简体"/>
                <w:kern w:val="0"/>
                <w:sz w:val="24"/>
                <w:szCs w:val="24"/>
              </w:rPr>
            </w:pPr>
            <w:r>
              <w:rPr>
                <w:rFonts w:eastAsia="方正仿宋简体"/>
                <w:kern w:val="0"/>
                <w:sz w:val="24"/>
                <w:szCs w:val="24"/>
              </w:rPr>
              <w:t>现货多头套期保值填写</w:t>
            </w:r>
          </w:p>
        </w:tc>
        <w:tc>
          <w:tcPr>
            <w:tcW w:w="4247" w:type="dxa"/>
            <w:gridSpan w:val="4"/>
            <w:shd w:val="clear" w:color="auto" w:fill="auto"/>
            <w:vAlign w:val="center"/>
          </w:tcPr>
          <w:p>
            <w:pPr>
              <w:widowControl/>
              <w:jc w:val="center"/>
              <w:rPr>
                <w:rFonts w:eastAsia="方正仿宋简体"/>
                <w:kern w:val="0"/>
                <w:sz w:val="24"/>
                <w:szCs w:val="24"/>
              </w:rPr>
            </w:pPr>
            <w:r>
              <w:rPr>
                <w:rFonts w:eastAsia="方正仿宋简体"/>
                <w:kern w:val="0"/>
                <w:sz w:val="24"/>
                <w:szCs w:val="24"/>
              </w:rPr>
              <w:t>现货空头套期保值填写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jc w:val="center"/>
        </w:trPr>
        <w:tc>
          <w:tcPr>
            <w:tcW w:w="2124" w:type="dxa"/>
            <w:gridSpan w:val="2"/>
            <w:shd w:val="clear" w:color="auto" w:fill="auto"/>
            <w:vAlign w:val="center"/>
          </w:tcPr>
          <w:p>
            <w:pPr>
              <w:widowControl/>
              <w:jc w:val="center"/>
              <w:rPr>
                <w:rFonts w:eastAsia="方正仿宋简体"/>
                <w:kern w:val="0"/>
                <w:sz w:val="24"/>
                <w:szCs w:val="24"/>
              </w:rPr>
            </w:pPr>
            <w:r>
              <w:rPr>
                <w:rFonts w:eastAsia="方正仿宋简体"/>
                <w:kern w:val="0"/>
                <w:sz w:val="24"/>
                <w:szCs w:val="24"/>
              </w:rPr>
              <w:t>申请人最近30 个交易日持有合约标的数量对应合约数量</w:t>
            </w:r>
          </w:p>
        </w:tc>
        <w:tc>
          <w:tcPr>
            <w:tcW w:w="2124" w:type="dxa"/>
            <w:shd w:val="clear" w:color="auto" w:fill="auto"/>
            <w:vAlign w:val="center"/>
          </w:tcPr>
          <w:p>
            <w:pPr>
              <w:widowControl/>
              <w:jc w:val="center"/>
              <w:rPr>
                <w:rFonts w:eastAsia="方正仿宋简体"/>
                <w:kern w:val="0"/>
                <w:sz w:val="24"/>
                <w:szCs w:val="24"/>
              </w:rPr>
            </w:pPr>
            <w:r>
              <w:rPr>
                <w:rFonts w:hint="eastAsia" w:ascii="方正仿宋简体" w:eastAsia="方正仿宋简体"/>
                <w:kern w:val="0"/>
                <w:sz w:val="24"/>
                <w:szCs w:val="24"/>
              </w:rPr>
              <w:t>“</w:t>
            </w:r>
            <w:r>
              <w:rPr>
                <w:rFonts w:eastAsia="方正仿宋简体"/>
                <w:kern w:val="0"/>
                <w:sz w:val="24"/>
                <w:szCs w:val="24"/>
              </w:rPr>
              <w:t>申请人最近30个交易日持有合约标的数量对应的合约数量大于该合约品种权利仓持仓限额的情形</w:t>
            </w:r>
            <w:r>
              <w:rPr>
                <w:rFonts w:hint="eastAsia" w:ascii="方正仿宋简体" w:eastAsia="方正仿宋简体"/>
                <w:kern w:val="0"/>
                <w:sz w:val="24"/>
                <w:szCs w:val="24"/>
              </w:rPr>
              <w:t>”</w:t>
            </w:r>
            <w:r>
              <w:rPr>
                <w:rFonts w:eastAsia="方正仿宋简体"/>
                <w:kern w:val="0"/>
                <w:sz w:val="24"/>
                <w:szCs w:val="24"/>
              </w:rPr>
              <w:t>出现的次数</w:t>
            </w:r>
          </w:p>
        </w:tc>
        <w:tc>
          <w:tcPr>
            <w:tcW w:w="2123" w:type="dxa"/>
            <w:gridSpan w:val="2"/>
            <w:shd w:val="clear" w:color="auto" w:fill="auto"/>
            <w:vAlign w:val="center"/>
          </w:tcPr>
          <w:p>
            <w:pPr>
              <w:widowControl/>
              <w:jc w:val="center"/>
              <w:rPr>
                <w:rFonts w:eastAsia="方正仿宋简体"/>
                <w:kern w:val="0"/>
                <w:sz w:val="24"/>
                <w:szCs w:val="24"/>
              </w:rPr>
            </w:pPr>
            <w:r>
              <w:rPr>
                <w:rFonts w:eastAsia="方正仿宋简体"/>
                <w:kern w:val="0"/>
                <w:sz w:val="24"/>
                <w:szCs w:val="24"/>
              </w:rPr>
              <w:t>申请人最近30个交易日合约标的融券余额对应的合约数量</w:t>
            </w:r>
          </w:p>
        </w:tc>
        <w:tc>
          <w:tcPr>
            <w:tcW w:w="2124" w:type="dxa"/>
            <w:gridSpan w:val="2"/>
            <w:shd w:val="clear" w:color="auto" w:fill="auto"/>
            <w:vAlign w:val="center"/>
          </w:tcPr>
          <w:p>
            <w:pPr>
              <w:widowControl/>
              <w:jc w:val="center"/>
              <w:rPr>
                <w:rFonts w:eastAsia="方正仿宋简体"/>
                <w:kern w:val="0"/>
                <w:sz w:val="24"/>
                <w:szCs w:val="24"/>
              </w:rPr>
            </w:pPr>
            <w:r>
              <w:rPr>
                <w:rFonts w:hint="eastAsia" w:ascii="方正仿宋简体" w:eastAsia="方正仿宋简体"/>
                <w:kern w:val="0"/>
                <w:sz w:val="24"/>
                <w:szCs w:val="24"/>
              </w:rPr>
              <w:t>“</w:t>
            </w:r>
            <w:r>
              <w:rPr>
                <w:rFonts w:eastAsia="方正仿宋简体"/>
                <w:kern w:val="0"/>
                <w:sz w:val="24"/>
                <w:szCs w:val="24"/>
              </w:rPr>
              <w:t>申请人最近30个交易日合约标的融券余额对应的合约数量大于该合约品种权利仓持仓限额的情形</w:t>
            </w:r>
            <w:r>
              <w:rPr>
                <w:rFonts w:hint="eastAsia" w:ascii="方正仿宋简体" w:eastAsia="方正仿宋简体"/>
                <w:kern w:val="0"/>
                <w:sz w:val="24"/>
                <w:szCs w:val="24"/>
              </w:rPr>
              <w:t>”</w:t>
            </w:r>
            <w:r>
              <w:rPr>
                <w:rFonts w:eastAsia="方正仿宋简体"/>
                <w:kern w:val="0"/>
                <w:sz w:val="24"/>
                <w:szCs w:val="24"/>
              </w:rPr>
              <w:t>出现的次数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53" w:hRule="atLeast"/>
          <w:jc w:val="center"/>
        </w:trPr>
        <w:tc>
          <w:tcPr>
            <w:tcW w:w="2124" w:type="dxa"/>
            <w:gridSpan w:val="2"/>
            <w:shd w:val="clear" w:color="auto" w:fill="auto"/>
            <w:vAlign w:val="center"/>
          </w:tcPr>
          <w:p>
            <w:pPr>
              <w:widowControl/>
              <w:jc w:val="center"/>
              <w:rPr>
                <w:rFonts w:eastAsia="方正仿宋简体"/>
                <w:kern w:val="0"/>
                <w:sz w:val="24"/>
                <w:szCs w:val="24"/>
              </w:rPr>
            </w:pPr>
          </w:p>
          <w:p>
            <w:pPr>
              <w:widowControl/>
              <w:jc w:val="center"/>
              <w:rPr>
                <w:rFonts w:eastAsia="方正仿宋简体"/>
                <w:kern w:val="0"/>
                <w:sz w:val="24"/>
                <w:szCs w:val="24"/>
              </w:rPr>
            </w:pPr>
          </w:p>
        </w:tc>
        <w:tc>
          <w:tcPr>
            <w:tcW w:w="2124" w:type="dxa"/>
            <w:shd w:val="clear" w:color="auto" w:fill="auto"/>
            <w:vAlign w:val="center"/>
          </w:tcPr>
          <w:p>
            <w:pPr>
              <w:widowControl/>
              <w:jc w:val="center"/>
              <w:rPr>
                <w:rFonts w:eastAsia="方正仿宋简体"/>
                <w:kern w:val="0"/>
                <w:sz w:val="24"/>
                <w:szCs w:val="24"/>
              </w:rPr>
            </w:pPr>
          </w:p>
        </w:tc>
        <w:tc>
          <w:tcPr>
            <w:tcW w:w="2123" w:type="dxa"/>
            <w:gridSpan w:val="2"/>
            <w:shd w:val="clear" w:color="auto" w:fill="auto"/>
            <w:vAlign w:val="center"/>
          </w:tcPr>
          <w:p>
            <w:pPr>
              <w:widowControl/>
              <w:jc w:val="center"/>
              <w:rPr>
                <w:rFonts w:eastAsia="方正仿宋简体"/>
                <w:kern w:val="0"/>
                <w:sz w:val="24"/>
                <w:szCs w:val="24"/>
              </w:rPr>
            </w:pPr>
          </w:p>
        </w:tc>
        <w:tc>
          <w:tcPr>
            <w:tcW w:w="2124" w:type="dxa"/>
            <w:gridSpan w:val="2"/>
            <w:shd w:val="clear" w:color="auto" w:fill="auto"/>
            <w:vAlign w:val="center"/>
          </w:tcPr>
          <w:p>
            <w:pPr>
              <w:widowControl/>
              <w:jc w:val="center"/>
              <w:rPr>
                <w:rFonts w:eastAsia="方正仿宋简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jc w:val="center"/>
        </w:trPr>
        <w:tc>
          <w:tcPr>
            <w:tcW w:w="8495" w:type="dxa"/>
            <w:gridSpan w:val="7"/>
            <w:shd w:val="clear" w:color="auto" w:fill="auto"/>
            <w:vAlign w:val="center"/>
          </w:tcPr>
          <w:p>
            <w:pPr>
              <w:widowControl/>
              <w:jc w:val="center"/>
              <w:rPr>
                <w:rFonts w:eastAsia="方正仿宋简体"/>
                <w:kern w:val="0"/>
                <w:sz w:val="24"/>
                <w:szCs w:val="24"/>
              </w:rPr>
            </w:pPr>
            <w:r>
              <w:rPr>
                <w:rFonts w:eastAsia="方正仿宋简体"/>
                <w:kern w:val="0"/>
                <w:sz w:val="24"/>
                <w:szCs w:val="24"/>
              </w:rPr>
              <w:t>备兑开仓套期保值填写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jc w:val="center"/>
        </w:trPr>
        <w:tc>
          <w:tcPr>
            <w:tcW w:w="4248" w:type="dxa"/>
            <w:gridSpan w:val="3"/>
            <w:shd w:val="clear" w:color="auto" w:fill="auto"/>
            <w:vAlign w:val="center"/>
          </w:tcPr>
          <w:p>
            <w:pPr>
              <w:widowControl/>
              <w:jc w:val="center"/>
              <w:rPr>
                <w:rFonts w:eastAsia="方正仿宋简体"/>
                <w:kern w:val="0"/>
                <w:sz w:val="24"/>
                <w:szCs w:val="24"/>
              </w:rPr>
            </w:pPr>
            <w:r>
              <w:rPr>
                <w:rFonts w:eastAsia="方正仿宋简体"/>
                <w:kern w:val="0"/>
                <w:sz w:val="24"/>
                <w:szCs w:val="24"/>
              </w:rPr>
              <w:t>申请人最近30个交易日持有合约标的数量对应的合约数量</w:t>
            </w:r>
          </w:p>
        </w:tc>
        <w:tc>
          <w:tcPr>
            <w:tcW w:w="4247" w:type="dxa"/>
            <w:gridSpan w:val="4"/>
            <w:shd w:val="clear" w:color="auto" w:fill="auto"/>
            <w:vAlign w:val="center"/>
          </w:tcPr>
          <w:p>
            <w:pPr>
              <w:widowControl/>
              <w:jc w:val="center"/>
              <w:rPr>
                <w:rFonts w:eastAsia="方正仿宋简体"/>
                <w:kern w:val="0"/>
                <w:sz w:val="24"/>
                <w:szCs w:val="24"/>
              </w:rPr>
            </w:pPr>
            <w:r>
              <w:rPr>
                <w:rFonts w:hint="eastAsia" w:ascii="方正仿宋简体" w:eastAsia="方正仿宋简体"/>
                <w:kern w:val="0"/>
                <w:sz w:val="24"/>
                <w:szCs w:val="24"/>
              </w:rPr>
              <w:t>“</w:t>
            </w:r>
            <w:r>
              <w:rPr>
                <w:rFonts w:eastAsia="方正仿宋简体"/>
                <w:kern w:val="0"/>
                <w:sz w:val="24"/>
                <w:szCs w:val="24"/>
              </w:rPr>
              <w:t>申请人最近30个交易日持有合约标的数量对应的合约数量大于该合约品种总持仓限额的情形</w:t>
            </w:r>
            <w:r>
              <w:rPr>
                <w:rFonts w:hint="eastAsia" w:ascii="方正仿宋简体" w:eastAsia="方正仿宋简体"/>
                <w:kern w:val="0"/>
                <w:sz w:val="24"/>
                <w:szCs w:val="24"/>
              </w:rPr>
              <w:t>”</w:t>
            </w:r>
            <w:r>
              <w:rPr>
                <w:rFonts w:eastAsia="方正仿宋简体"/>
                <w:kern w:val="0"/>
                <w:sz w:val="24"/>
                <w:szCs w:val="24"/>
              </w:rPr>
              <w:t>出现的次数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jc w:val="center"/>
        </w:trPr>
        <w:tc>
          <w:tcPr>
            <w:tcW w:w="4248" w:type="dxa"/>
            <w:gridSpan w:val="3"/>
            <w:shd w:val="clear" w:color="auto" w:fill="auto"/>
            <w:vAlign w:val="center"/>
          </w:tcPr>
          <w:p>
            <w:pPr>
              <w:widowControl/>
              <w:jc w:val="center"/>
              <w:rPr>
                <w:rFonts w:eastAsia="方正仿宋简体"/>
                <w:kern w:val="0"/>
                <w:sz w:val="24"/>
                <w:szCs w:val="24"/>
              </w:rPr>
            </w:pPr>
          </w:p>
        </w:tc>
        <w:tc>
          <w:tcPr>
            <w:tcW w:w="4247" w:type="dxa"/>
            <w:gridSpan w:val="4"/>
            <w:shd w:val="clear" w:color="auto" w:fill="auto"/>
            <w:vAlign w:val="center"/>
          </w:tcPr>
          <w:p>
            <w:pPr>
              <w:widowControl/>
              <w:jc w:val="center"/>
              <w:rPr>
                <w:rFonts w:eastAsia="方正仿宋简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jc w:val="center"/>
        </w:trPr>
        <w:tc>
          <w:tcPr>
            <w:tcW w:w="8495" w:type="dxa"/>
            <w:gridSpan w:val="7"/>
            <w:shd w:val="clear" w:color="auto" w:fill="auto"/>
            <w:vAlign w:val="center"/>
          </w:tcPr>
          <w:p>
            <w:pPr>
              <w:widowControl/>
              <w:jc w:val="center"/>
              <w:rPr>
                <w:rFonts w:eastAsia="方正仿宋简体"/>
                <w:kern w:val="0"/>
                <w:sz w:val="24"/>
                <w:szCs w:val="24"/>
              </w:rPr>
            </w:pPr>
            <w:r>
              <w:rPr>
                <w:rFonts w:eastAsia="方正仿宋简体"/>
                <w:kern w:val="0"/>
                <w:sz w:val="24"/>
                <w:szCs w:val="24"/>
              </w:rPr>
              <w:t>期权合约间套期保值填写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jc w:val="center"/>
        </w:trPr>
        <w:tc>
          <w:tcPr>
            <w:tcW w:w="2124" w:type="dxa"/>
            <w:gridSpan w:val="2"/>
            <w:shd w:val="clear" w:color="auto" w:fill="auto"/>
            <w:vAlign w:val="center"/>
          </w:tcPr>
          <w:p>
            <w:pPr>
              <w:widowControl/>
              <w:jc w:val="center"/>
              <w:rPr>
                <w:rFonts w:eastAsia="方正仿宋简体"/>
                <w:kern w:val="0"/>
                <w:sz w:val="24"/>
                <w:szCs w:val="24"/>
              </w:rPr>
            </w:pPr>
            <w:r>
              <w:rPr>
                <w:rFonts w:eastAsia="方正仿宋简体"/>
                <w:kern w:val="0"/>
                <w:sz w:val="24"/>
                <w:szCs w:val="24"/>
              </w:rPr>
              <w:t>申请人最近30个交易日日均持有的权利仓数量</w:t>
            </w:r>
          </w:p>
        </w:tc>
        <w:tc>
          <w:tcPr>
            <w:tcW w:w="2124" w:type="dxa"/>
            <w:shd w:val="clear" w:color="auto" w:fill="auto"/>
            <w:vAlign w:val="center"/>
          </w:tcPr>
          <w:p>
            <w:pPr>
              <w:widowControl/>
              <w:jc w:val="center"/>
              <w:rPr>
                <w:rFonts w:eastAsia="方正仿宋简体"/>
                <w:kern w:val="0"/>
                <w:sz w:val="24"/>
                <w:szCs w:val="24"/>
              </w:rPr>
            </w:pPr>
            <w:r>
              <w:rPr>
                <w:rFonts w:eastAsia="方正仿宋简体"/>
                <w:kern w:val="0"/>
                <w:sz w:val="24"/>
                <w:szCs w:val="24"/>
              </w:rPr>
              <w:t>申请人最近30个交易日日均非备兑义务仓数量</w:t>
            </w:r>
          </w:p>
        </w:tc>
        <w:tc>
          <w:tcPr>
            <w:tcW w:w="2123" w:type="dxa"/>
            <w:gridSpan w:val="2"/>
            <w:shd w:val="clear" w:color="auto" w:fill="auto"/>
            <w:vAlign w:val="center"/>
          </w:tcPr>
          <w:p>
            <w:pPr>
              <w:widowControl/>
              <w:jc w:val="center"/>
              <w:rPr>
                <w:rFonts w:eastAsia="方正仿宋简体"/>
                <w:kern w:val="0"/>
                <w:sz w:val="24"/>
                <w:szCs w:val="24"/>
              </w:rPr>
            </w:pPr>
            <w:r>
              <w:rPr>
                <w:rFonts w:eastAsia="方正仿宋简体"/>
                <w:kern w:val="0"/>
                <w:sz w:val="24"/>
                <w:szCs w:val="24"/>
              </w:rPr>
              <w:t>申请人最近30个交易日日均持有的权利仓数量占该合约品种权利仓限额的比例</w:t>
            </w:r>
          </w:p>
        </w:tc>
        <w:tc>
          <w:tcPr>
            <w:tcW w:w="2124" w:type="dxa"/>
            <w:gridSpan w:val="2"/>
            <w:shd w:val="clear" w:color="auto" w:fill="auto"/>
            <w:vAlign w:val="center"/>
          </w:tcPr>
          <w:p>
            <w:pPr>
              <w:widowControl/>
              <w:jc w:val="center"/>
              <w:rPr>
                <w:rFonts w:eastAsia="方正仿宋简体"/>
                <w:kern w:val="0"/>
                <w:sz w:val="24"/>
                <w:szCs w:val="24"/>
              </w:rPr>
            </w:pPr>
            <w:r>
              <w:rPr>
                <w:rFonts w:eastAsia="方正仿宋简体"/>
                <w:kern w:val="0"/>
                <w:sz w:val="24"/>
                <w:szCs w:val="24"/>
              </w:rPr>
              <w:t>申请人最近30个交易日日均非备兑义务仓数量占该合约品种权利仓限额的比例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jc w:val="center"/>
        </w:trPr>
        <w:tc>
          <w:tcPr>
            <w:tcW w:w="2124" w:type="dxa"/>
            <w:gridSpan w:val="2"/>
            <w:shd w:val="clear" w:color="auto" w:fill="auto"/>
            <w:vAlign w:val="center"/>
          </w:tcPr>
          <w:p>
            <w:pPr>
              <w:widowControl/>
              <w:jc w:val="center"/>
              <w:rPr>
                <w:rFonts w:eastAsia="方正仿宋简体"/>
                <w:kern w:val="0"/>
                <w:sz w:val="24"/>
                <w:szCs w:val="24"/>
              </w:rPr>
            </w:pPr>
          </w:p>
        </w:tc>
        <w:tc>
          <w:tcPr>
            <w:tcW w:w="2124" w:type="dxa"/>
            <w:shd w:val="clear" w:color="auto" w:fill="auto"/>
            <w:vAlign w:val="center"/>
          </w:tcPr>
          <w:p>
            <w:pPr>
              <w:widowControl/>
              <w:jc w:val="center"/>
              <w:rPr>
                <w:rFonts w:eastAsia="方正仿宋简体"/>
                <w:kern w:val="0"/>
                <w:sz w:val="24"/>
                <w:szCs w:val="24"/>
              </w:rPr>
            </w:pPr>
          </w:p>
        </w:tc>
        <w:tc>
          <w:tcPr>
            <w:tcW w:w="2123" w:type="dxa"/>
            <w:gridSpan w:val="2"/>
            <w:shd w:val="clear" w:color="auto" w:fill="auto"/>
            <w:vAlign w:val="center"/>
          </w:tcPr>
          <w:p>
            <w:pPr>
              <w:widowControl/>
              <w:jc w:val="center"/>
              <w:rPr>
                <w:rFonts w:eastAsia="方正仿宋简体"/>
                <w:kern w:val="0"/>
                <w:sz w:val="24"/>
                <w:szCs w:val="24"/>
              </w:rPr>
            </w:pPr>
          </w:p>
        </w:tc>
        <w:tc>
          <w:tcPr>
            <w:tcW w:w="2124" w:type="dxa"/>
            <w:gridSpan w:val="2"/>
            <w:shd w:val="clear" w:color="auto" w:fill="auto"/>
            <w:vAlign w:val="center"/>
          </w:tcPr>
          <w:p>
            <w:pPr>
              <w:widowControl/>
              <w:jc w:val="center"/>
              <w:rPr>
                <w:rFonts w:eastAsia="方正仿宋简体"/>
                <w:kern w:val="0"/>
                <w:sz w:val="24"/>
                <w:szCs w:val="24"/>
              </w:rPr>
            </w:pPr>
          </w:p>
        </w:tc>
      </w:tr>
    </w:tbl>
    <w:p>
      <w:pPr>
        <w:widowControl/>
        <w:jc w:val="left"/>
        <w:rPr>
          <w:rFonts w:hint="eastAsia" w:eastAsia="方正仿宋简体"/>
          <w:bCs/>
          <w:sz w:val="30"/>
          <w:szCs w:val="30"/>
          <w:lang w:eastAsia="zh-CN"/>
        </w:rPr>
      </w:pPr>
      <w:r>
        <w:rPr>
          <w:rFonts w:eastAsia="方正仿宋简体"/>
          <w:b/>
          <w:bCs/>
          <w:sz w:val="32"/>
          <w:szCs w:val="32"/>
        </w:rPr>
        <w:br w:type="page"/>
      </w:r>
      <w:bookmarkStart w:id="267" w:name="_Toc25842061"/>
      <w:r>
        <w:rPr>
          <w:rFonts w:eastAsia="方正仿宋简体"/>
          <w:bCs/>
          <w:sz w:val="30"/>
          <w:szCs w:val="30"/>
        </w:rPr>
        <w:t>附件7：股票期权产品专用账户报备表</w:t>
      </w:r>
      <w:bookmarkEnd w:id="267"/>
      <w:r>
        <w:rPr>
          <w:rFonts w:hint="eastAsia" w:eastAsia="方正仿宋简体"/>
          <w:bCs/>
          <w:sz w:val="30"/>
          <w:szCs w:val="30"/>
          <w:lang w:eastAsia="zh-CN"/>
        </w:rPr>
        <w:t>样表</w:t>
      </w:r>
    </w:p>
    <w:tbl>
      <w:tblPr>
        <w:tblStyle w:val="37"/>
        <w:tblW w:w="88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6" w:space="0"/>
        </w:tblBorders>
        <w:tblLayout w:type="fixed"/>
        <w:tblCellMar>
          <w:top w:w="0" w:type="dxa"/>
          <w:left w:w="108" w:type="dxa"/>
          <w:bottom w:w="0" w:type="dxa"/>
          <w:right w:w="108" w:type="dxa"/>
        </w:tblCellMar>
      </w:tblPr>
      <w:tblGrid>
        <w:gridCol w:w="2410"/>
        <w:gridCol w:w="2125"/>
        <w:gridCol w:w="2410"/>
        <w:gridCol w:w="19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6" w:space="0"/>
          </w:tblBorders>
          <w:tblCellMar>
            <w:top w:w="0" w:type="dxa"/>
            <w:left w:w="108" w:type="dxa"/>
            <w:bottom w:w="0" w:type="dxa"/>
            <w:right w:w="108" w:type="dxa"/>
          </w:tblCellMar>
        </w:tblPrEx>
        <w:trPr>
          <w:trHeight w:val="632" w:hRule="atLeast"/>
          <w:jc w:val="center"/>
        </w:trPr>
        <w:tc>
          <w:tcPr>
            <w:tcW w:w="8870" w:type="dxa"/>
            <w:gridSpan w:val="4"/>
            <w:tcBorders>
              <w:bottom w:val="single" w:color="auto" w:sz="4" w:space="0"/>
            </w:tcBorders>
            <w:shd w:val="clear" w:color="auto" w:fill="auto"/>
            <w:noWrap/>
            <w:vAlign w:val="center"/>
          </w:tcPr>
          <w:p>
            <w:pPr>
              <w:widowControl/>
              <w:snapToGrid w:val="0"/>
              <w:ind w:firstLine="158"/>
              <w:jc w:val="center"/>
              <w:rPr>
                <w:rFonts w:eastAsia="方正仿宋简体"/>
                <w:kern w:val="0"/>
                <w:sz w:val="24"/>
                <w:szCs w:val="24"/>
              </w:rPr>
            </w:pPr>
            <w:r>
              <w:rPr>
                <w:rFonts w:eastAsia="方正仿宋简体"/>
                <w:sz w:val="24"/>
                <w:szCs w:val="24"/>
              </w:rPr>
              <w:t>股票期权产品专用账户报备表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6" w:space="0"/>
          </w:tblBorders>
          <w:tblCellMar>
            <w:top w:w="0" w:type="dxa"/>
            <w:left w:w="108" w:type="dxa"/>
            <w:bottom w:w="0" w:type="dxa"/>
            <w:right w:w="108" w:type="dxa"/>
          </w:tblCellMar>
        </w:tblPrEx>
        <w:trPr>
          <w:trHeight w:val="438" w:hRule="exact"/>
          <w:jc w:val="center"/>
        </w:trPr>
        <w:tc>
          <w:tcPr>
            <w:tcW w:w="2410" w:type="dxa"/>
            <w:shd w:val="clear" w:color="auto" w:fill="auto"/>
            <w:noWrap/>
            <w:vAlign w:val="center"/>
          </w:tcPr>
          <w:p>
            <w:pPr>
              <w:widowControl/>
              <w:jc w:val="left"/>
              <w:rPr>
                <w:rFonts w:eastAsia="方正仿宋简体"/>
                <w:kern w:val="0"/>
                <w:sz w:val="24"/>
                <w:szCs w:val="24"/>
              </w:rPr>
            </w:pPr>
            <w:r>
              <w:rPr>
                <w:rFonts w:eastAsia="方正仿宋简体"/>
                <w:kern w:val="0"/>
                <w:sz w:val="24"/>
                <w:szCs w:val="24"/>
              </w:rPr>
              <w:t>申请人名称</w:t>
            </w:r>
          </w:p>
        </w:tc>
        <w:tc>
          <w:tcPr>
            <w:tcW w:w="6460" w:type="dxa"/>
            <w:gridSpan w:val="3"/>
            <w:shd w:val="clear" w:color="auto" w:fill="auto"/>
            <w:noWrap/>
            <w:vAlign w:val="center"/>
          </w:tcPr>
          <w:p>
            <w:pPr>
              <w:widowControl/>
              <w:jc w:val="center"/>
              <w:rPr>
                <w:rFonts w:eastAsia="方正仿宋简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6" w:space="0"/>
          </w:tblBorders>
          <w:tblCellMar>
            <w:top w:w="0" w:type="dxa"/>
            <w:left w:w="108" w:type="dxa"/>
            <w:bottom w:w="0" w:type="dxa"/>
            <w:right w:w="108" w:type="dxa"/>
          </w:tblCellMar>
        </w:tblPrEx>
        <w:trPr>
          <w:trHeight w:val="621" w:hRule="exact"/>
          <w:jc w:val="center"/>
        </w:trPr>
        <w:tc>
          <w:tcPr>
            <w:tcW w:w="2410" w:type="dxa"/>
            <w:shd w:val="clear" w:color="auto" w:fill="auto"/>
            <w:noWrap/>
            <w:vAlign w:val="center"/>
          </w:tcPr>
          <w:p>
            <w:pPr>
              <w:widowControl/>
              <w:jc w:val="left"/>
              <w:rPr>
                <w:rFonts w:eastAsia="方正仿宋简体"/>
                <w:kern w:val="0"/>
                <w:sz w:val="24"/>
                <w:szCs w:val="24"/>
              </w:rPr>
            </w:pPr>
            <w:r>
              <w:rPr>
                <w:rFonts w:eastAsia="方正仿宋简体"/>
                <w:kern w:val="0"/>
                <w:sz w:val="24"/>
                <w:szCs w:val="24"/>
              </w:rPr>
              <w:t>深市A股证券账户</w:t>
            </w:r>
          </w:p>
        </w:tc>
        <w:tc>
          <w:tcPr>
            <w:tcW w:w="2125" w:type="dxa"/>
            <w:shd w:val="clear" w:color="auto" w:fill="auto"/>
            <w:noWrap/>
            <w:vAlign w:val="center"/>
          </w:tcPr>
          <w:p>
            <w:pPr>
              <w:widowControl/>
              <w:jc w:val="center"/>
              <w:rPr>
                <w:rFonts w:eastAsia="方正仿宋简体"/>
                <w:i/>
                <w:kern w:val="0"/>
                <w:sz w:val="24"/>
                <w:szCs w:val="24"/>
              </w:rPr>
            </w:pPr>
          </w:p>
        </w:tc>
        <w:tc>
          <w:tcPr>
            <w:tcW w:w="2410" w:type="dxa"/>
            <w:shd w:val="clear" w:color="auto" w:fill="auto"/>
            <w:vAlign w:val="center"/>
          </w:tcPr>
          <w:p>
            <w:pPr>
              <w:widowControl/>
              <w:jc w:val="center"/>
              <w:rPr>
                <w:rFonts w:eastAsia="方正仿宋简体"/>
                <w:i/>
                <w:kern w:val="0"/>
                <w:sz w:val="24"/>
                <w:szCs w:val="24"/>
              </w:rPr>
            </w:pPr>
            <w:r>
              <w:rPr>
                <w:rFonts w:eastAsia="方正仿宋简体"/>
                <w:kern w:val="0"/>
                <w:sz w:val="24"/>
                <w:szCs w:val="24"/>
              </w:rPr>
              <w:t>对应衍生品合约账户</w:t>
            </w:r>
          </w:p>
        </w:tc>
        <w:tc>
          <w:tcPr>
            <w:tcW w:w="1925" w:type="dxa"/>
            <w:shd w:val="clear" w:color="auto" w:fill="auto"/>
            <w:vAlign w:val="center"/>
          </w:tcPr>
          <w:p>
            <w:pPr>
              <w:widowControl/>
              <w:jc w:val="center"/>
              <w:rPr>
                <w:rFonts w:eastAsia="方正仿宋简体"/>
                <w:i/>
                <w:kern w:val="0"/>
                <w:sz w:val="24"/>
                <w:szCs w:val="24"/>
              </w:rPr>
            </w:pPr>
            <w:r>
              <w:rPr>
                <w:rFonts w:eastAsia="方正仿宋简体"/>
                <w:i/>
                <w:kern w:val="0"/>
                <w:sz w:val="24"/>
                <w:szCs w:val="24"/>
              </w:rPr>
              <w:t>（已开立）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6" w:space="0"/>
          </w:tblBorders>
          <w:tblCellMar>
            <w:top w:w="0" w:type="dxa"/>
            <w:left w:w="108" w:type="dxa"/>
            <w:bottom w:w="0" w:type="dxa"/>
            <w:right w:w="108" w:type="dxa"/>
          </w:tblCellMar>
        </w:tblPrEx>
        <w:trPr>
          <w:trHeight w:val="438" w:hRule="exact"/>
          <w:jc w:val="center"/>
        </w:trPr>
        <w:tc>
          <w:tcPr>
            <w:tcW w:w="2410" w:type="dxa"/>
            <w:shd w:val="clear" w:color="auto" w:fill="auto"/>
            <w:noWrap/>
            <w:vAlign w:val="center"/>
          </w:tcPr>
          <w:p>
            <w:pPr>
              <w:widowControl/>
              <w:jc w:val="left"/>
              <w:rPr>
                <w:rFonts w:eastAsia="方正仿宋简体"/>
                <w:kern w:val="0"/>
                <w:sz w:val="24"/>
                <w:szCs w:val="24"/>
              </w:rPr>
            </w:pPr>
            <w:r>
              <w:rPr>
                <w:rFonts w:eastAsia="方正仿宋简体"/>
                <w:kern w:val="0"/>
                <w:sz w:val="24"/>
                <w:szCs w:val="24"/>
              </w:rPr>
              <w:t>产品联系人</w:t>
            </w:r>
          </w:p>
        </w:tc>
        <w:tc>
          <w:tcPr>
            <w:tcW w:w="2125" w:type="dxa"/>
            <w:shd w:val="clear" w:color="auto" w:fill="auto"/>
            <w:noWrap/>
            <w:vAlign w:val="center"/>
          </w:tcPr>
          <w:p>
            <w:pPr>
              <w:widowControl/>
              <w:jc w:val="center"/>
              <w:rPr>
                <w:rFonts w:eastAsia="方正仿宋简体"/>
                <w:kern w:val="0"/>
                <w:sz w:val="24"/>
                <w:szCs w:val="24"/>
              </w:rPr>
            </w:pPr>
          </w:p>
        </w:tc>
        <w:tc>
          <w:tcPr>
            <w:tcW w:w="2410" w:type="dxa"/>
            <w:shd w:val="clear" w:color="auto" w:fill="auto"/>
            <w:noWrap/>
            <w:vAlign w:val="center"/>
          </w:tcPr>
          <w:p>
            <w:pPr>
              <w:widowControl/>
              <w:jc w:val="left"/>
              <w:rPr>
                <w:rFonts w:eastAsia="方正仿宋简体"/>
                <w:kern w:val="0"/>
                <w:sz w:val="24"/>
                <w:szCs w:val="24"/>
              </w:rPr>
            </w:pPr>
            <w:r>
              <w:rPr>
                <w:rFonts w:eastAsia="方正仿宋简体"/>
                <w:kern w:val="0"/>
                <w:sz w:val="24"/>
                <w:szCs w:val="24"/>
              </w:rPr>
              <w:t>联系人电话</w:t>
            </w:r>
          </w:p>
        </w:tc>
        <w:tc>
          <w:tcPr>
            <w:tcW w:w="1925" w:type="dxa"/>
            <w:shd w:val="clear" w:color="auto" w:fill="auto"/>
            <w:noWrap/>
            <w:vAlign w:val="center"/>
          </w:tcPr>
          <w:p>
            <w:pPr>
              <w:widowControl/>
              <w:jc w:val="center"/>
              <w:rPr>
                <w:rFonts w:eastAsia="方正仿宋简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6" w:space="0"/>
          </w:tblBorders>
          <w:tblCellMar>
            <w:top w:w="0" w:type="dxa"/>
            <w:left w:w="108" w:type="dxa"/>
            <w:bottom w:w="0" w:type="dxa"/>
            <w:right w:w="108" w:type="dxa"/>
          </w:tblCellMar>
        </w:tblPrEx>
        <w:trPr>
          <w:trHeight w:val="435" w:hRule="exact"/>
          <w:jc w:val="center"/>
        </w:trPr>
        <w:tc>
          <w:tcPr>
            <w:tcW w:w="2410" w:type="dxa"/>
            <w:shd w:val="clear" w:color="auto" w:fill="auto"/>
            <w:noWrap/>
            <w:vAlign w:val="center"/>
          </w:tcPr>
          <w:p>
            <w:pPr>
              <w:widowControl/>
              <w:jc w:val="left"/>
              <w:rPr>
                <w:rFonts w:eastAsia="方正仿宋简体"/>
                <w:kern w:val="0"/>
                <w:sz w:val="24"/>
                <w:szCs w:val="24"/>
              </w:rPr>
            </w:pPr>
            <w:r>
              <w:rPr>
                <w:rFonts w:eastAsia="方正仿宋简体"/>
                <w:kern w:val="0"/>
                <w:sz w:val="24"/>
                <w:szCs w:val="24"/>
              </w:rPr>
              <w:t>投资经理</w:t>
            </w:r>
          </w:p>
        </w:tc>
        <w:tc>
          <w:tcPr>
            <w:tcW w:w="2125" w:type="dxa"/>
            <w:shd w:val="clear" w:color="auto" w:fill="auto"/>
            <w:noWrap/>
            <w:vAlign w:val="center"/>
          </w:tcPr>
          <w:p>
            <w:pPr>
              <w:widowControl/>
              <w:jc w:val="center"/>
              <w:rPr>
                <w:rFonts w:eastAsia="方正仿宋简体"/>
                <w:kern w:val="0"/>
                <w:sz w:val="24"/>
                <w:szCs w:val="24"/>
              </w:rPr>
            </w:pPr>
            <w:r>
              <w:rPr>
                <w:rFonts w:eastAsia="方正仿宋简体"/>
                <w:i/>
                <w:kern w:val="0"/>
                <w:sz w:val="24"/>
                <w:szCs w:val="24"/>
              </w:rPr>
              <w:t>（如有）</w:t>
            </w:r>
          </w:p>
        </w:tc>
        <w:tc>
          <w:tcPr>
            <w:tcW w:w="2410" w:type="dxa"/>
            <w:shd w:val="clear" w:color="auto" w:fill="auto"/>
            <w:noWrap/>
            <w:vAlign w:val="center"/>
          </w:tcPr>
          <w:p>
            <w:pPr>
              <w:widowControl/>
              <w:jc w:val="left"/>
              <w:rPr>
                <w:rFonts w:eastAsia="方正仿宋简体"/>
                <w:kern w:val="0"/>
                <w:sz w:val="24"/>
                <w:szCs w:val="24"/>
              </w:rPr>
            </w:pPr>
            <w:r>
              <w:rPr>
                <w:rFonts w:eastAsia="方正仿宋简体"/>
                <w:kern w:val="0"/>
                <w:sz w:val="24"/>
                <w:szCs w:val="24"/>
              </w:rPr>
              <w:t>投资经理电话</w:t>
            </w:r>
          </w:p>
        </w:tc>
        <w:tc>
          <w:tcPr>
            <w:tcW w:w="1925" w:type="dxa"/>
            <w:shd w:val="clear" w:color="auto" w:fill="auto"/>
            <w:noWrap/>
            <w:vAlign w:val="center"/>
          </w:tcPr>
          <w:p>
            <w:pPr>
              <w:widowControl/>
              <w:jc w:val="center"/>
              <w:rPr>
                <w:rFonts w:eastAsia="方正仿宋简体"/>
                <w:kern w:val="0"/>
                <w:sz w:val="24"/>
                <w:szCs w:val="24"/>
              </w:rPr>
            </w:pPr>
            <w:r>
              <w:rPr>
                <w:rFonts w:eastAsia="方正仿宋简体"/>
                <w:i/>
                <w:kern w:val="0"/>
                <w:sz w:val="24"/>
                <w:szCs w:val="24"/>
              </w:rPr>
              <w:t>（如有）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6" w:space="0"/>
          </w:tblBorders>
          <w:tblCellMar>
            <w:top w:w="0" w:type="dxa"/>
            <w:left w:w="108" w:type="dxa"/>
            <w:bottom w:w="0" w:type="dxa"/>
            <w:right w:w="108" w:type="dxa"/>
          </w:tblCellMar>
        </w:tblPrEx>
        <w:trPr>
          <w:trHeight w:val="366" w:hRule="exact"/>
          <w:jc w:val="center"/>
        </w:trPr>
        <w:tc>
          <w:tcPr>
            <w:tcW w:w="2410" w:type="dxa"/>
            <w:shd w:val="clear" w:color="auto" w:fill="auto"/>
            <w:noWrap/>
            <w:vAlign w:val="center"/>
          </w:tcPr>
          <w:p>
            <w:pPr>
              <w:widowControl/>
              <w:jc w:val="left"/>
              <w:rPr>
                <w:rFonts w:eastAsia="方正仿宋简体"/>
                <w:kern w:val="0"/>
                <w:sz w:val="24"/>
                <w:szCs w:val="24"/>
              </w:rPr>
            </w:pPr>
            <w:r>
              <w:rPr>
                <w:rFonts w:eastAsia="方正仿宋简体"/>
                <w:kern w:val="0"/>
                <w:sz w:val="24"/>
                <w:szCs w:val="24"/>
              </w:rPr>
              <w:t>开户机构名称</w:t>
            </w:r>
          </w:p>
        </w:tc>
        <w:tc>
          <w:tcPr>
            <w:tcW w:w="2125" w:type="dxa"/>
            <w:shd w:val="clear" w:color="auto" w:fill="auto"/>
            <w:noWrap/>
            <w:vAlign w:val="center"/>
          </w:tcPr>
          <w:p>
            <w:pPr>
              <w:widowControl/>
              <w:jc w:val="center"/>
              <w:rPr>
                <w:rFonts w:eastAsia="方正仿宋简体"/>
                <w:kern w:val="0"/>
                <w:sz w:val="24"/>
                <w:szCs w:val="24"/>
              </w:rPr>
            </w:pPr>
          </w:p>
        </w:tc>
        <w:tc>
          <w:tcPr>
            <w:tcW w:w="2410" w:type="dxa"/>
            <w:shd w:val="clear" w:color="auto" w:fill="auto"/>
            <w:noWrap/>
            <w:vAlign w:val="center"/>
          </w:tcPr>
          <w:p>
            <w:pPr>
              <w:widowControl/>
              <w:jc w:val="left"/>
              <w:rPr>
                <w:rFonts w:eastAsia="方正仿宋简体"/>
                <w:kern w:val="0"/>
                <w:sz w:val="24"/>
                <w:szCs w:val="24"/>
                <w:highlight w:val="yellow"/>
              </w:rPr>
            </w:pPr>
            <w:r>
              <w:rPr>
                <w:rFonts w:eastAsia="方正仿宋简体"/>
                <w:kern w:val="0"/>
                <w:sz w:val="24"/>
                <w:szCs w:val="24"/>
              </w:rPr>
              <w:t>开户机构结算账户</w:t>
            </w:r>
          </w:p>
        </w:tc>
        <w:tc>
          <w:tcPr>
            <w:tcW w:w="1925" w:type="dxa"/>
            <w:shd w:val="clear" w:color="auto" w:fill="auto"/>
            <w:noWrap/>
            <w:vAlign w:val="center"/>
          </w:tcPr>
          <w:p>
            <w:pPr>
              <w:widowControl/>
              <w:jc w:val="center"/>
              <w:rPr>
                <w:rFonts w:eastAsia="方正仿宋简体"/>
                <w:kern w:val="0"/>
                <w:sz w:val="24"/>
                <w:szCs w:val="24"/>
                <w:highlight w:val="yellow"/>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6" w:space="0"/>
          </w:tblBorders>
          <w:tblCellMar>
            <w:top w:w="0" w:type="dxa"/>
            <w:left w:w="108" w:type="dxa"/>
            <w:bottom w:w="0" w:type="dxa"/>
            <w:right w:w="108" w:type="dxa"/>
          </w:tblCellMar>
        </w:tblPrEx>
        <w:trPr>
          <w:trHeight w:val="388" w:hRule="exact"/>
          <w:jc w:val="center"/>
        </w:trPr>
        <w:tc>
          <w:tcPr>
            <w:tcW w:w="2410" w:type="dxa"/>
            <w:shd w:val="clear" w:color="auto" w:fill="auto"/>
            <w:noWrap/>
            <w:vAlign w:val="center"/>
          </w:tcPr>
          <w:p>
            <w:pPr>
              <w:widowControl/>
              <w:jc w:val="left"/>
              <w:rPr>
                <w:rFonts w:eastAsia="方正仿宋简体"/>
                <w:kern w:val="0"/>
                <w:sz w:val="24"/>
                <w:szCs w:val="24"/>
              </w:rPr>
            </w:pPr>
            <w:r>
              <w:rPr>
                <w:rFonts w:eastAsia="方正仿宋简体"/>
                <w:kern w:val="0"/>
                <w:sz w:val="24"/>
                <w:szCs w:val="24"/>
              </w:rPr>
              <w:t>开户机构联系人</w:t>
            </w:r>
          </w:p>
        </w:tc>
        <w:tc>
          <w:tcPr>
            <w:tcW w:w="2125" w:type="dxa"/>
            <w:shd w:val="clear" w:color="auto" w:fill="auto"/>
            <w:noWrap/>
            <w:vAlign w:val="center"/>
          </w:tcPr>
          <w:p>
            <w:pPr>
              <w:widowControl/>
              <w:jc w:val="center"/>
              <w:rPr>
                <w:rFonts w:eastAsia="方正仿宋简体"/>
                <w:kern w:val="0"/>
                <w:sz w:val="24"/>
                <w:szCs w:val="24"/>
              </w:rPr>
            </w:pPr>
          </w:p>
        </w:tc>
        <w:tc>
          <w:tcPr>
            <w:tcW w:w="2410" w:type="dxa"/>
            <w:shd w:val="clear" w:color="auto" w:fill="auto"/>
            <w:noWrap/>
            <w:vAlign w:val="center"/>
          </w:tcPr>
          <w:p>
            <w:pPr>
              <w:widowControl/>
              <w:jc w:val="left"/>
              <w:rPr>
                <w:rFonts w:eastAsia="方正仿宋简体"/>
                <w:kern w:val="0"/>
                <w:sz w:val="24"/>
                <w:szCs w:val="24"/>
              </w:rPr>
            </w:pPr>
            <w:r>
              <w:rPr>
                <w:rFonts w:eastAsia="方正仿宋简体"/>
                <w:kern w:val="0"/>
                <w:sz w:val="24"/>
                <w:szCs w:val="24"/>
              </w:rPr>
              <w:t>开户机构联系人电话</w:t>
            </w:r>
          </w:p>
        </w:tc>
        <w:tc>
          <w:tcPr>
            <w:tcW w:w="1925" w:type="dxa"/>
            <w:shd w:val="clear" w:color="auto" w:fill="auto"/>
            <w:noWrap/>
            <w:vAlign w:val="center"/>
          </w:tcPr>
          <w:p>
            <w:pPr>
              <w:widowControl/>
              <w:jc w:val="center"/>
              <w:rPr>
                <w:rFonts w:eastAsia="方正仿宋简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6" w:space="0"/>
          </w:tblBorders>
          <w:tblCellMar>
            <w:top w:w="0" w:type="dxa"/>
            <w:left w:w="108" w:type="dxa"/>
            <w:bottom w:w="0" w:type="dxa"/>
            <w:right w:w="108" w:type="dxa"/>
          </w:tblCellMar>
        </w:tblPrEx>
        <w:trPr>
          <w:trHeight w:val="2535" w:hRule="atLeast"/>
          <w:jc w:val="center"/>
        </w:trPr>
        <w:tc>
          <w:tcPr>
            <w:tcW w:w="8870" w:type="dxa"/>
            <w:gridSpan w:val="4"/>
            <w:shd w:val="clear" w:color="auto" w:fill="auto"/>
            <w:noWrap/>
            <w:vAlign w:val="center"/>
          </w:tcPr>
          <w:p>
            <w:pPr>
              <w:widowControl/>
              <w:autoSpaceDE w:val="0"/>
              <w:autoSpaceDN w:val="0"/>
              <w:adjustRightInd w:val="0"/>
              <w:snapToGrid w:val="0"/>
              <w:ind w:right="-57"/>
              <w:jc w:val="left"/>
              <w:rPr>
                <w:rFonts w:eastAsia="方正仿宋简体"/>
                <w:kern w:val="0"/>
                <w:sz w:val="24"/>
                <w:szCs w:val="24"/>
              </w:rPr>
            </w:pPr>
            <w:r>
              <w:rPr>
                <w:rFonts w:eastAsia="方正仿宋简体"/>
                <w:b/>
                <w:kern w:val="0"/>
                <w:sz w:val="24"/>
                <w:szCs w:val="24"/>
              </w:rPr>
              <w:t>申请人声明事项</w:t>
            </w:r>
          </w:p>
          <w:p>
            <w:pPr>
              <w:widowControl/>
              <w:autoSpaceDE w:val="0"/>
              <w:autoSpaceDN w:val="0"/>
              <w:adjustRightInd w:val="0"/>
              <w:snapToGrid w:val="0"/>
              <w:ind w:right="-57"/>
              <w:jc w:val="left"/>
              <w:rPr>
                <w:rFonts w:eastAsia="方正仿宋简体"/>
                <w:kern w:val="0"/>
                <w:sz w:val="24"/>
                <w:szCs w:val="24"/>
              </w:rPr>
            </w:pPr>
            <w:r>
              <w:rPr>
                <w:rFonts w:eastAsia="方正仿宋简体"/>
                <w:kern w:val="0"/>
                <w:sz w:val="24"/>
                <w:szCs w:val="24"/>
              </w:rPr>
              <w:t>1．提供的文件内容完整并且真实；</w:t>
            </w:r>
          </w:p>
          <w:p>
            <w:pPr>
              <w:widowControl/>
              <w:autoSpaceDE w:val="0"/>
              <w:autoSpaceDN w:val="0"/>
              <w:adjustRightInd w:val="0"/>
              <w:snapToGrid w:val="0"/>
              <w:jc w:val="left"/>
              <w:rPr>
                <w:rFonts w:eastAsia="方正仿宋简体"/>
                <w:kern w:val="0"/>
                <w:sz w:val="24"/>
                <w:szCs w:val="24"/>
              </w:rPr>
            </w:pPr>
            <w:r>
              <w:rPr>
                <w:rFonts w:eastAsia="方正仿宋简体"/>
                <w:kern w:val="0"/>
                <w:sz w:val="24"/>
                <w:szCs w:val="24"/>
              </w:rPr>
              <w:t>2．将依据报备的用途与内部控制程序从事期权交易；</w:t>
            </w:r>
          </w:p>
          <w:p>
            <w:pPr>
              <w:widowControl/>
              <w:autoSpaceDE w:val="0"/>
              <w:autoSpaceDN w:val="0"/>
              <w:adjustRightInd w:val="0"/>
              <w:snapToGrid w:val="0"/>
              <w:jc w:val="left"/>
              <w:rPr>
                <w:rFonts w:eastAsia="方正仿宋简体"/>
                <w:kern w:val="0"/>
                <w:sz w:val="24"/>
                <w:szCs w:val="24"/>
              </w:rPr>
            </w:pPr>
            <w:r>
              <w:rPr>
                <w:rFonts w:eastAsia="方正仿宋简体"/>
                <w:kern w:val="0"/>
                <w:sz w:val="24"/>
                <w:szCs w:val="24"/>
              </w:rPr>
              <w:t>3．遵守期权交易相关法律法规，绝不以不当手段干扰期权与相关现货市场运作，并且了解深圳证券交易所在执行监管时，对发现的异常情况有权依据《深圳证券交易所股票期权试点交易规则》及相关规定采取相应措施以维护市场秩序；</w:t>
            </w:r>
          </w:p>
          <w:p>
            <w:pPr>
              <w:widowControl/>
              <w:autoSpaceDE w:val="0"/>
              <w:autoSpaceDN w:val="0"/>
              <w:adjustRightInd w:val="0"/>
              <w:snapToGrid w:val="0"/>
              <w:jc w:val="left"/>
              <w:rPr>
                <w:rFonts w:eastAsia="方正仿宋简体"/>
                <w:kern w:val="0"/>
                <w:sz w:val="24"/>
                <w:szCs w:val="24"/>
              </w:rPr>
            </w:pPr>
            <w:r>
              <w:rPr>
                <w:rFonts w:eastAsia="方正仿宋简体"/>
                <w:kern w:val="0"/>
                <w:sz w:val="24"/>
                <w:szCs w:val="24"/>
              </w:rPr>
              <w:t>4．同意深圳证券交易所在申请人从事期权交易期间，可以依据相关规定要求申请人就有关事项限期提出书面说明或者补充文件，申请人不会规避或者拒绝。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6" w:space="0"/>
          </w:tblBorders>
          <w:tblCellMar>
            <w:top w:w="0" w:type="dxa"/>
            <w:left w:w="108" w:type="dxa"/>
            <w:bottom w:w="0" w:type="dxa"/>
            <w:right w:w="108" w:type="dxa"/>
          </w:tblCellMar>
        </w:tblPrEx>
        <w:trPr>
          <w:trHeight w:val="1707" w:hRule="exact"/>
          <w:jc w:val="center"/>
        </w:trPr>
        <w:tc>
          <w:tcPr>
            <w:tcW w:w="8870" w:type="dxa"/>
            <w:gridSpan w:val="4"/>
            <w:shd w:val="clear" w:color="auto" w:fill="auto"/>
            <w:noWrap/>
          </w:tcPr>
          <w:p>
            <w:pPr>
              <w:widowControl/>
              <w:autoSpaceDE w:val="0"/>
              <w:autoSpaceDN w:val="0"/>
              <w:adjustRightInd w:val="0"/>
              <w:snapToGrid w:val="0"/>
              <w:ind w:right="-57"/>
              <w:jc w:val="left"/>
              <w:rPr>
                <w:rFonts w:eastAsia="方正仿宋简体"/>
                <w:b/>
                <w:kern w:val="0"/>
                <w:sz w:val="24"/>
                <w:szCs w:val="24"/>
              </w:rPr>
            </w:pPr>
            <w:r>
              <w:rPr>
                <w:rFonts w:eastAsia="方正仿宋简体"/>
                <w:b/>
                <w:kern w:val="0"/>
                <w:sz w:val="24"/>
                <w:szCs w:val="24"/>
              </w:rPr>
              <w:t>申请人签字：</w:t>
            </w:r>
          </w:p>
          <w:p>
            <w:pPr>
              <w:widowControl/>
              <w:autoSpaceDE w:val="0"/>
              <w:autoSpaceDN w:val="0"/>
              <w:adjustRightInd w:val="0"/>
              <w:snapToGrid w:val="0"/>
              <w:ind w:right="-57"/>
              <w:jc w:val="left"/>
              <w:rPr>
                <w:rFonts w:eastAsia="方正仿宋简体"/>
                <w:b/>
                <w:kern w:val="0"/>
                <w:sz w:val="24"/>
                <w:szCs w:val="24"/>
              </w:rPr>
            </w:pPr>
          </w:p>
          <w:p>
            <w:pPr>
              <w:widowControl/>
              <w:autoSpaceDE w:val="0"/>
              <w:autoSpaceDN w:val="0"/>
              <w:adjustRightInd w:val="0"/>
              <w:snapToGrid w:val="0"/>
              <w:ind w:right="-57"/>
              <w:jc w:val="left"/>
              <w:rPr>
                <w:rFonts w:eastAsia="方正仿宋简体"/>
                <w:b/>
                <w:kern w:val="0"/>
                <w:sz w:val="24"/>
                <w:szCs w:val="24"/>
              </w:rPr>
            </w:pPr>
          </w:p>
          <w:p>
            <w:pPr>
              <w:widowControl/>
              <w:autoSpaceDE w:val="0"/>
              <w:autoSpaceDN w:val="0"/>
              <w:adjustRightInd w:val="0"/>
              <w:snapToGrid w:val="0"/>
              <w:ind w:right="-57"/>
              <w:jc w:val="left"/>
              <w:rPr>
                <w:rFonts w:eastAsia="方正仿宋简体"/>
                <w:b/>
                <w:kern w:val="0"/>
                <w:sz w:val="24"/>
                <w:szCs w:val="24"/>
              </w:rPr>
            </w:pPr>
          </w:p>
          <w:p>
            <w:pPr>
              <w:widowControl/>
              <w:autoSpaceDE w:val="0"/>
              <w:autoSpaceDN w:val="0"/>
              <w:adjustRightInd w:val="0"/>
              <w:snapToGrid w:val="0"/>
              <w:ind w:right="-57"/>
              <w:jc w:val="left"/>
              <w:rPr>
                <w:rFonts w:eastAsia="方正仿宋简体"/>
                <w:b/>
                <w:kern w:val="0"/>
                <w:sz w:val="24"/>
                <w:szCs w:val="24"/>
              </w:rPr>
            </w:pPr>
            <w:r>
              <w:rPr>
                <w:rFonts w:eastAsia="方正仿宋简体"/>
                <w:b/>
                <w:kern w:val="0"/>
                <w:sz w:val="24"/>
                <w:szCs w:val="24"/>
              </w:rPr>
              <w:t>申请人盖章：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6" w:space="0"/>
          </w:tblBorders>
          <w:tblCellMar>
            <w:top w:w="0" w:type="dxa"/>
            <w:left w:w="108" w:type="dxa"/>
            <w:bottom w:w="0" w:type="dxa"/>
            <w:right w:w="108" w:type="dxa"/>
          </w:tblCellMar>
        </w:tblPrEx>
        <w:trPr>
          <w:trHeight w:val="892" w:hRule="atLeast"/>
          <w:jc w:val="center"/>
        </w:trPr>
        <w:tc>
          <w:tcPr>
            <w:tcW w:w="8870" w:type="dxa"/>
            <w:gridSpan w:val="4"/>
            <w:shd w:val="clear" w:color="auto" w:fill="auto"/>
            <w:noWrap/>
            <w:vAlign w:val="center"/>
          </w:tcPr>
          <w:p>
            <w:pPr>
              <w:widowControl/>
              <w:autoSpaceDE w:val="0"/>
              <w:autoSpaceDN w:val="0"/>
              <w:adjustRightInd w:val="0"/>
              <w:snapToGrid w:val="0"/>
              <w:ind w:right="-57"/>
              <w:jc w:val="left"/>
              <w:rPr>
                <w:rFonts w:eastAsia="方正仿宋简体"/>
                <w:kern w:val="0"/>
                <w:sz w:val="24"/>
                <w:szCs w:val="24"/>
              </w:rPr>
            </w:pPr>
            <w:r>
              <w:rPr>
                <w:rFonts w:eastAsia="方正仿宋简体"/>
                <w:b/>
                <w:kern w:val="0"/>
                <w:sz w:val="24"/>
                <w:szCs w:val="24"/>
              </w:rPr>
              <w:t>期权经营机构对申请人材料真实性的声明事项：</w:t>
            </w:r>
            <w:r>
              <w:rPr>
                <w:rFonts w:eastAsia="方正仿宋简体"/>
                <w:kern w:val="0"/>
                <w:sz w:val="24"/>
                <w:szCs w:val="24"/>
              </w:rPr>
              <w:t>我公司保证申请人向贵所提供的各项证明材料均属实，同意向交易所提交相关申请，并在运作中按照深圳证券交易所的有关规定执行。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6" w:space="0"/>
          </w:tblBorders>
          <w:tblCellMar>
            <w:top w:w="0" w:type="dxa"/>
            <w:left w:w="108" w:type="dxa"/>
            <w:bottom w:w="0" w:type="dxa"/>
            <w:right w:w="108" w:type="dxa"/>
          </w:tblCellMar>
        </w:tblPrEx>
        <w:trPr>
          <w:trHeight w:val="2268" w:hRule="exact"/>
          <w:jc w:val="center"/>
        </w:trPr>
        <w:tc>
          <w:tcPr>
            <w:tcW w:w="8870" w:type="dxa"/>
            <w:gridSpan w:val="4"/>
            <w:shd w:val="clear" w:color="auto" w:fill="auto"/>
            <w:noWrap/>
          </w:tcPr>
          <w:p>
            <w:pPr>
              <w:widowControl/>
              <w:snapToGrid w:val="0"/>
              <w:rPr>
                <w:rFonts w:eastAsia="方正仿宋简体"/>
                <w:sz w:val="24"/>
                <w:szCs w:val="24"/>
              </w:rPr>
            </w:pPr>
          </w:p>
          <w:p>
            <w:pPr>
              <w:widowControl/>
              <w:snapToGrid w:val="0"/>
              <w:rPr>
                <w:rFonts w:eastAsia="方正仿宋简体"/>
                <w:sz w:val="24"/>
                <w:szCs w:val="24"/>
              </w:rPr>
            </w:pPr>
          </w:p>
          <w:p>
            <w:pPr>
              <w:widowControl/>
              <w:snapToGrid w:val="0"/>
              <w:rPr>
                <w:rFonts w:eastAsia="方正仿宋简体"/>
                <w:sz w:val="24"/>
                <w:szCs w:val="24"/>
              </w:rPr>
            </w:pPr>
          </w:p>
          <w:p>
            <w:pPr>
              <w:widowControl/>
              <w:snapToGrid w:val="0"/>
              <w:rPr>
                <w:rFonts w:eastAsia="方正仿宋简体"/>
                <w:sz w:val="24"/>
                <w:szCs w:val="24"/>
              </w:rPr>
            </w:pPr>
          </w:p>
          <w:p>
            <w:pPr>
              <w:widowControl/>
              <w:snapToGrid w:val="0"/>
              <w:rPr>
                <w:rFonts w:eastAsia="方正仿宋简体"/>
                <w:sz w:val="24"/>
                <w:szCs w:val="24"/>
              </w:rPr>
            </w:pPr>
          </w:p>
          <w:p>
            <w:pPr>
              <w:widowControl/>
              <w:snapToGrid w:val="0"/>
              <w:rPr>
                <w:rFonts w:eastAsia="方正仿宋简体"/>
                <w:sz w:val="24"/>
                <w:szCs w:val="24"/>
              </w:rPr>
            </w:pPr>
            <w:r>
              <w:rPr>
                <w:rFonts w:eastAsia="方正仿宋简体"/>
                <w:b/>
                <w:sz w:val="24"/>
                <w:szCs w:val="24"/>
              </w:rPr>
              <w:t>期权经营机构</w:t>
            </w:r>
            <w:r>
              <w:rPr>
                <w:rFonts w:eastAsia="方正仿宋简体"/>
                <w:b/>
                <w:kern w:val="0"/>
                <w:sz w:val="24"/>
                <w:szCs w:val="24"/>
              </w:rPr>
              <w:t xml:space="preserve">负责人（或被授权人）签字：                  </w:t>
            </w:r>
            <w:r>
              <w:rPr>
                <w:rFonts w:eastAsia="方正仿宋简体"/>
                <w:b/>
                <w:sz w:val="24"/>
                <w:szCs w:val="24"/>
              </w:rPr>
              <w:t>期权经营机构</w:t>
            </w:r>
            <w:r>
              <w:rPr>
                <w:rFonts w:eastAsia="方正仿宋简体"/>
                <w:b/>
                <w:kern w:val="0"/>
                <w:sz w:val="24"/>
                <w:szCs w:val="24"/>
              </w:rPr>
              <w:t>盖章：</w:t>
            </w:r>
          </w:p>
        </w:tc>
      </w:tr>
    </w:tbl>
    <w:p>
      <w:pPr>
        <w:widowControl/>
        <w:jc w:val="left"/>
        <w:rPr>
          <w:rFonts w:eastAsia="方正仿宋简体"/>
          <w:bCs/>
          <w:sz w:val="30"/>
          <w:szCs w:val="30"/>
        </w:rPr>
      </w:pPr>
      <w:r>
        <w:rPr>
          <w:rFonts w:eastAsia="方正仿宋简体"/>
          <w:b/>
          <w:bCs/>
          <w:sz w:val="32"/>
          <w:szCs w:val="32"/>
        </w:rPr>
        <w:br w:type="page"/>
      </w:r>
      <w:bookmarkStart w:id="268" w:name="_Toc533019209"/>
      <w:bookmarkStart w:id="269" w:name="_Toc25842062"/>
      <w:r>
        <w:rPr>
          <w:rFonts w:eastAsia="方正仿宋简体"/>
          <w:bCs/>
          <w:sz w:val="30"/>
          <w:szCs w:val="30"/>
        </w:rPr>
        <w:t>附件8：股票期权持仓限额调整报备表（特定产品用</w:t>
      </w:r>
      <w:r>
        <w:rPr>
          <w:rFonts w:hint="eastAsia" w:eastAsia="方正仿宋简体"/>
          <w:bCs/>
          <w:sz w:val="30"/>
          <w:szCs w:val="30"/>
          <w:lang w:eastAsia="zh-CN"/>
        </w:rPr>
        <w:t>样表</w:t>
      </w:r>
      <w:r>
        <w:rPr>
          <w:rFonts w:eastAsia="方正仿宋简体"/>
          <w:bCs/>
          <w:sz w:val="30"/>
          <w:szCs w:val="30"/>
        </w:rPr>
        <w:t>）</w:t>
      </w:r>
      <w:bookmarkEnd w:id="268"/>
      <w:bookmarkEnd w:id="269"/>
    </w:p>
    <w:tbl>
      <w:tblPr>
        <w:tblStyle w:val="37"/>
        <w:tblW w:w="84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61"/>
        <w:gridCol w:w="1715"/>
        <w:gridCol w:w="899"/>
        <w:gridCol w:w="363"/>
        <w:gridCol w:w="537"/>
        <w:gridCol w:w="900"/>
        <w:gridCol w:w="900"/>
        <w:gridCol w:w="900"/>
        <w:gridCol w:w="9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8475" w:type="dxa"/>
            <w:gridSpan w:val="9"/>
            <w:vAlign w:val="center"/>
          </w:tcPr>
          <w:p>
            <w:pPr>
              <w:spacing w:line="360" w:lineRule="auto"/>
              <w:jc w:val="center"/>
              <w:rPr>
                <w:rFonts w:eastAsia="方正仿宋简体"/>
                <w:sz w:val="24"/>
                <w:szCs w:val="24"/>
              </w:rPr>
            </w:pPr>
            <w:r>
              <w:rPr>
                <w:rFonts w:eastAsia="方正仿宋简体"/>
                <w:sz w:val="24"/>
                <w:szCs w:val="24"/>
              </w:rPr>
              <w:t>股票期权持仓限额调整申请表（特定产品用）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61" w:type="dxa"/>
            <w:vMerge w:val="restart"/>
            <w:vAlign w:val="center"/>
          </w:tcPr>
          <w:p>
            <w:pPr>
              <w:spacing w:line="360" w:lineRule="auto"/>
              <w:rPr>
                <w:rFonts w:eastAsia="方正仿宋简体"/>
                <w:sz w:val="24"/>
                <w:szCs w:val="24"/>
              </w:rPr>
            </w:pPr>
            <w:r>
              <w:rPr>
                <w:rFonts w:eastAsia="方正仿宋简体"/>
                <w:sz w:val="24"/>
                <w:szCs w:val="24"/>
              </w:rPr>
              <w:t>申请人信息</w:t>
            </w:r>
          </w:p>
        </w:tc>
        <w:tc>
          <w:tcPr>
            <w:tcW w:w="2977" w:type="dxa"/>
            <w:gridSpan w:val="3"/>
            <w:vAlign w:val="center"/>
          </w:tcPr>
          <w:p>
            <w:pPr>
              <w:spacing w:line="360" w:lineRule="auto"/>
              <w:rPr>
                <w:rFonts w:eastAsia="方正仿宋简体"/>
                <w:sz w:val="24"/>
                <w:szCs w:val="24"/>
              </w:rPr>
            </w:pPr>
            <w:r>
              <w:rPr>
                <w:rFonts w:eastAsia="方正仿宋简体"/>
                <w:sz w:val="24"/>
                <w:szCs w:val="24"/>
              </w:rPr>
              <w:t>产品发行人名称</w:t>
            </w:r>
          </w:p>
        </w:tc>
        <w:tc>
          <w:tcPr>
            <w:tcW w:w="4137" w:type="dxa"/>
            <w:gridSpan w:val="5"/>
            <w:vAlign w:val="center"/>
          </w:tcPr>
          <w:p>
            <w:pPr>
              <w:spacing w:line="360" w:lineRule="auto"/>
              <w:rPr>
                <w:rFonts w:eastAsia="方正仿宋简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61" w:type="dxa"/>
            <w:vMerge w:val="continue"/>
            <w:vAlign w:val="center"/>
          </w:tcPr>
          <w:p>
            <w:pPr>
              <w:spacing w:line="360" w:lineRule="auto"/>
              <w:rPr>
                <w:rFonts w:eastAsia="方正仿宋简体"/>
                <w:sz w:val="24"/>
                <w:szCs w:val="24"/>
              </w:rPr>
            </w:pPr>
          </w:p>
        </w:tc>
        <w:tc>
          <w:tcPr>
            <w:tcW w:w="2977" w:type="dxa"/>
            <w:gridSpan w:val="3"/>
            <w:vAlign w:val="center"/>
          </w:tcPr>
          <w:p>
            <w:pPr>
              <w:spacing w:line="360" w:lineRule="auto"/>
              <w:rPr>
                <w:rFonts w:eastAsia="方正仿宋简体"/>
                <w:sz w:val="24"/>
                <w:szCs w:val="24"/>
              </w:rPr>
            </w:pPr>
            <w:r>
              <w:rPr>
                <w:rFonts w:eastAsia="方正仿宋简体"/>
                <w:sz w:val="24"/>
                <w:szCs w:val="24"/>
              </w:rPr>
              <w:t>产品名称</w:t>
            </w:r>
          </w:p>
        </w:tc>
        <w:tc>
          <w:tcPr>
            <w:tcW w:w="4137" w:type="dxa"/>
            <w:gridSpan w:val="5"/>
            <w:vAlign w:val="center"/>
          </w:tcPr>
          <w:p>
            <w:pPr>
              <w:spacing w:line="360" w:lineRule="auto"/>
              <w:rPr>
                <w:rFonts w:eastAsia="方正仿宋简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61" w:type="dxa"/>
            <w:vMerge w:val="continue"/>
            <w:vAlign w:val="center"/>
          </w:tcPr>
          <w:p>
            <w:pPr>
              <w:spacing w:line="360" w:lineRule="auto"/>
              <w:rPr>
                <w:rFonts w:eastAsia="方正仿宋简体"/>
                <w:sz w:val="24"/>
                <w:szCs w:val="24"/>
              </w:rPr>
            </w:pPr>
          </w:p>
        </w:tc>
        <w:tc>
          <w:tcPr>
            <w:tcW w:w="2977" w:type="dxa"/>
            <w:gridSpan w:val="3"/>
            <w:vAlign w:val="center"/>
          </w:tcPr>
          <w:p>
            <w:pPr>
              <w:spacing w:line="360" w:lineRule="auto"/>
              <w:rPr>
                <w:rFonts w:eastAsia="方正仿宋简体"/>
                <w:sz w:val="24"/>
                <w:szCs w:val="24"/>
              </w:rPr>
            </w:pPr>
            <w:r>
              <w:rPr>
                <w:rFonts w:eastAsia="方正仿宋简体"/>
                <w:sz w:val="24"/>
                <w:szCs w:val="24"/>
              </w:rPr>
              <w:t>联系方式</w:t>
            </w:r>
          </w:p>
        </w:tc>
        <w:tc>
          <w:tcPr>
            <w:tcW w:w="4137" w:type="dxa"/>
            <w:gridSpan w:val="5"/>
            <w:vAlign w:val="center"/>
          </w:tcPr>
          <w:p>
            <w:pPr>
              <w:spacing w:line="360" w:lineRule="auto"/>
              <w:rPr>
                <w:rFonts w:eastAsia="方正仿宋简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61" w:type="dxa"/>
            <w:vMerge w:val="continue"/>
            <w:vAlign w:val="center"/>
          </w:tcPr>
          <w:p>
            <w:pPr>
              <w:spacing w:line="360" w:lineRule="auto"/>
              <w:rPr>
                <w:rFonts w:eastAsia="方正仿宋简体"/>
                <w:sz w:val="24"/>
                <w:szCs w:val="24"/>
              </w:rPr>
            </w:pPr>
          </w:p>
        </w:tc>
        <w:tc>
          <w:tcPr>
            <w:tcW w:w="2977" w:type="dxa"/>
            <w:gridSpan w:val="3"/>
            <w:vAlign w:val="center"/>
          </w:tcPr>
          <w:p>
            <w:pPr>
              <w:spacing w:line="360" w:lineRule="auto"/>
              <w:rPr>
                <w:rFonts w:eastAsia="方正仿宋简体"/>
                <w:sz w:val="24"/>
                <w:szCs w:val="24"/>
              </w:rPr>
            </w:pPr>
            <w:r>
              <w:rPr>
                <w:rFonts w:eastAsia="方正仿宋简体"/>
                <w:sz w:val="24"/>
                <w:szCs w:val="24"/>
              </w:rPr>
              <w:t>电子邮箱</w:t>
            </w:r>
          </w:p>
        </w:tc>
        <w:tc>
          <w:tcPr>
            <w:tcW w:w="4137" w:type="dxa"/>
            <w:gridSpan w:val="5"/>
            <w:vAlign w:val="center"/>
          </w:tcPr>
          <w:p>
            <w:pPr>
              <w:spacing w:line="360" w:lineRule="auto"/>
              <w:rPr>
                <w:rFonts w:eastAsia="方正仿宋简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61" w:type="dxa"/>
            <w:vMerge w:val="continue"/>
            <w:vAlign w:val="center"/>
          </w:tcPr>
          <w:p>
            <w:pPr>
              <w:spacing w:line="360" w:lineRule="auto"/>
              <w:rPr>
                <w:rFonts w:eastAsia="方正仿宋简体"/>
                <w:sz w:val="24"/>
                <w:szCs w:val="24"/>
              </w:rPr>
            </w:pPr>
          </w:p>
        </w:tc>
        <w:tc>
          <w:tcPr>
            <w:tcW w:w="2977" w:type="dxa"/>
            <w:gridSpan w:val="3"/>
            <w:vAlign w:val="center"/>
          </w:tcPr>
          <w:p>
            <w:pPr>
              <w:widowControl/>
              <w:jc w:val="left"/>
              <w:rPr>
                <w:rFonts w:eastAsia="方正仿宋简体"/>
                <w:kern w:val="0"/>
                <w:sz w:val="24"/>
                <w:szCs w:val="24"/>
              </w:rPr>
            </w:pPr>
            <w:r>
              <w:rPr>
                <w:rFonts w:eastAsia="方正仿宋简体"/>
                <w:kern w:val="0"/>
                <w:sz w:val="24"/>
                <w:szCs w:val="24"/>
              </w:rPr>
              <w:t>深市A股证券账户</w:t>
            </w:r>
          </w:p>
        </w:tc>
        <w:tc>
          <w:tcPr>
            <w:tcW w:w="4137" w:type="dxa"/>
            <w:gridSpan w:val="5"/>
            <w:vAlign w:val="center"/>
          </w:tcPr>
          <w:p>
            <w:pPr>
              <w:spacing w:line="360" w:lineRule="auto"/>
              <w:rPr>
                <w:rFonts w:eastAsia="方正仿宋简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61" w:type="dxa"/>
            <w:vMerge w:val="continue"/>
            <w:vAlign w:val="center"/>
          </w:tcPr>
          <w:p>
            <w:pPr>
              <w:spacing w:line="360" w:lineRule="auto"/>
              <w:rPr>
                <w:rFonts w:eastAsia="方正仿宋简体"/>
                <w:sz w:val="24"/>
                <w:szCs w:val="24"/>
              </w:rPr>
            </w:pPr>
          </w:p>
        </w:tc>
        <w:tc>
          <w:tcPr>
            <w:tcW w:w="2977" w:type="dxa"/>
            <w:gridSpan w:val="3"/>
            <w:vAlign w:val="center"/>
          </w:tcPr>
          <w:p>
            <w:pPr>
              <w:spacing w:line="360" w:lineRule="auto"/>
              <w:rPr>
                <w:rFonts w:eastAsia="方正仿宋简体"/>
                <w:sz w:val="24"/>
                <w:szCs w:val="24"/>
              </w:rPr>
            </w:pPr>
            <w:r>
              <w:rPr>
                <w:rFonts w:eastAsia="方正仿宋简体"/>
                <w:sz w:val="24"/>
                <w:szCs w:val="24"/>
              </w:rPr>
              <w:t>衍生品合约账</w:t>
            </w:r>
            <w:r>
              <w:rPr>
                <w:rFonts w:eastAsia="方正仿宋简体"/>
                <w:kern w:val="0"/>
                <w:sz w:val="24"/>
                <w:szCs w:val="24"/>
              </w:rPr>
              <w:t>户</w:t>
            </w:r>
          </w:p>
        </w:tc>
        <w:tc>
          <w:tcPr>
            <w:tcW w:w="4137" w:type="dxa"/>
            <w:gridSpan w:val="5"/>
            <w:vAlign w:val="center"/>
          </w:tcPr>
          <w:p>
            <w:pPr>
              <w:spacing w:line="360" w:lineRule="auto"/>
              <w:rPr>
                <w:rFonts w:eastAsia="方正仿宋简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5" w:hRule="atLeast"/>
          <w:jc w:val="center"/>
        </w:trPr>
        <w:tc>
          <w:tcPr>
            <w:tcW w:w="1361" w:type="dxa"/>
            <w:vAlign w:val="center"/>
          </w:tcPr>
          <w:p>
            <w:pPr>
              <w:spacing w:line="360" w:lineRule="auto"/>
              <w:rPr>
                <w:rFonts w:eastAsia="方正仿宋简体"/>
                <w:sz w:val="24"/>
                <w:szCs w:val="24"/>
              </w:rPr>
            </w:pPr>
            <w:r>
              <w:rPr>
                <w:rFonts w:eastAsia="方正仿宋简体"/>
                <w:sz w:val="24"/>
                <w:szCs w:val="24"/>
              </w:rPr>
              <w:t>申请用途</w:t>
            </w:r>
          </w:p>
        </w:tc>
        <w:tc>
          <w:tcPr>
            <w:tcW w:w="7114" w:type="dxa"/>
            <w:gridSpan w:val="8"/>
            <w:vAlign w:val="center"/>
          </w:tcPr>
          <w:p>
            <w:pPr>
              <w:spacing w:line="360" w:lineRule="auto"/>
              <w:rPr>
                <w:rFonts w:eastAsia="方正仿宋简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61" w:type="dxa"/>
            <w:vMerge w:val="restart"/>
            <w:vAlign w:val="center"/>
          </w:tcPr>
          <w:p>
            <w:pPr>
              <w:rPr>
                <w:rFonts w:eastAsia="方正仿宋简体"/>
                <w:sz w:val="24"/>
                <w:szCs w:val="24"/>
              </w:rPr>
            </w:pPr>
            <w:r>
              <w:rPr>
                <w:rFonts w:eastAsia="方正仿宋简体"/>
                <w:sz w:val="24"/>
                <w:szCs w:val="24"/>
              </w:rPr>
              <w:t>合约品种持仓限额调整</w:t>
            </w:r>
          </w:p>
        </w:tc>
        <w:tc>
          <w:tcPr>
            <w:tcW w:w="1715" w:type="dxa"/>
            <w:vMerge w:val="restart"/>
            <w:vAlign w:val="center"/>
          </w:tcPr>
          <w:p>
            <w:pPr>
              <w:rPr>
                <w:rFonts w:eastAsia="方正仿宋简体"/>
                <w:sz w:val="24"/>
                <w:szCs w:val="24"/>
              </w:rPr>
            </w:pPr>
            <w:r>
              <w:rPr>
                <w:rFonts w:eastAsia="方正仿宋简体"/>
                <w:sz w:val="24"/>
                <w:szCs w:val="24"/>
              </w:rPr>
              <w:t>单个合约品种</w:t>
            </w:r>
          </w:p>
        </w:tc>
        <w:tc>
          <w:tcPr>
            <w:tcW w:w="2699" w:type="dxa"/>
            <w:gridSpan w:val="4"/>
            <w:vAlign w:val="center"/>
          </w:tcPr>
          <w:p>
            <w:pPr>
              <w:jc w:val="center"/>
              <w:rPr>
                <w:rFonts w:eastAsia="方正仿宋简体"/>
                <w:sz w:val="24"/>
                <w:szCs w:val="24"/>
              </w:rPr>
            </w:pPr>
            <w:r>
              <w:rPr>
                <w:rFonts w:eastAsia="方正仿宋简体"/>
                <w:sz w:val="24"/>
                <w:szCs w:val="24"/>
              </w:rPr>
              <w:t>目前持仓限额</w:t>
            </w:r>
          </w:p>
        </w:tc>
        <w:tc>
          <w:tcPr>
            <w:tcW w:w="2700" w:type="dxa"/>
            <w:gridSpan w:val="3"/>
            <w:vAlign w:val="center"/>
          </w:tcPr>
          <w:p>
            <w:pPr>
              <w:jc w:val="center"/>
              <w:rPr>
                <w:rFonts w:eastAsia="方正仿宋简体"/>
                <w:sz w:val="24"/>
                <w:szCs w:val="24"/>
              </w:rPr>
            </w:pPr>
            <w:r>
              <w:rPr>
                <w:rFonts w:eastAsia="方正仿宋简体"/>
                <w:sz w:val="24"/>
                <w:szCs w:val="24"/>
              </w:rPr>
              <w:t>拟申请持仓限额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61" w:type="dxa"/>
            <w:vMerge w:val="continue"/>
            <w:vAlign w:val="center"/>
          </w:tcPr>
          <w:p>
            <w:pPr>
              <w:rPr>
                <w:rFonts w:eastAsia="方正仿宋简体"/>
                <w:sz w:val="24"/>
                <w:szCs w:val="24"/>
              </w:rPr>
            </w:pPr>
          </w:p>
        </w:tc>
        <w:tc>
          <w:tcPr>
            <w:tcW w:w="1715" w:type="dxa"/>
            <w:vMerge w:val="continue"/>
            <w:vAlign w:val="center"/>
          </w:tcPr>
          <w:p>
            <w:pPr>
              <w:rPr>
                <w:rFonts w:eastAsia="方正仿宋简体"/>
                <w:sz w:val="24"/>
                <w:szCs w:val="24"/>
              </w:rPr>
            </w:pPr>
          </w:p>
        </w:tc>
        <w:tc>
          <w:tcPr>
            <w:tcW w:w="899" w:type="dxa"/>
            <w:vAlign w:val="center"/>
          </w:tcPr>
          <w:p>
            <w:pPr>
              <w:jc w:val="center"/>
              <w:rPr>
                <w:rFonts w:eastAsia="方正仿宋简体"/>
                <w:sz w:val="24"/>
                <w:szCs w:val="24"/>
              </w:rPr>
            </w:pPr>
            <w:r>
              <w:rPr>
                <w:rFonts w:eastAsia="方正仿宋简体"/>
                <w:sz w:val="24"/>
                <w:szCs w:val="24"/>
              </w:rPr>
              <w:t>权利仓持仓限额</w:t>
            </w:r>
          </w:p>
        </w:tc>
        <w:tc>
          <w:tcPr>
            <w:tcW w:w="900" w:type="dxa"/>
            <w:gridSpan w:val="2"/>
            <w:vAlign w:val="center"/>
          </w:tcPr>
          <w:p>
            <w:pPr>
              <w:jc w:val="center"/>
              <w:rPr>
                <w:rFonts w:eastAsia="方正仿宋简体"/>
                <w:sz w:val="24"/>
                <w:szCs w:val="24"/>
              </w:rPr>
            </w:pPr>
            <w:r>
              <w:rPr>
                <w:rFonts w:eastAsia="方正仿宋简体"/>
                <w:sz w:val="24"/>
                <w:szCs w:val="24"/>
              </w:rPr>
              <w:t>总持仓限额</w:t>
            </w:r>
          </w:p>
        </w:tc>
        <w:tc>
          <w:tcPr>
            <w:tcW w:w="900" w:type="dxa"/>
            <w:vAlign w:val="center"/>
          </w:tcPr>
          <w:p>
            <w:pPr>
              <w:jc w:val="center"/>
              <w:rPr>
                <w:rFonts w:eastAsia="方正仿宋简体"/>
                <w:sz w:val="24"/>
                <w:szCs w:val="24"/>
              </w:rPr>
            </w:pPr>
            <w:r>
              <w:rPr>
                <w:rFonts w:eastAsia="方正仿宋简体"/>
                <w:sz w:val="24"/>
                <w:szCs w:val="24"/>
              </w:rPr>
              <w:t>单日买入开仓限额</w:t>
            </w:r>
          </w:p>
        </w:tc>
        <w:tc>
          <w:tcPr>
            <w:tcW w:w="900" w:type="dxa"/>
            <w:vAlign w:val="center"/>
          </w:tcPr>
          <w:p>
            <w:pPr>
              <w:jc w:val="center"/>
              <w:rPr>
                <w:rFonts w:eastAsia="方正仿宋简体"/>
                <w:sz w:val="24"/>
                <w:szCs w:val="24"/>
              </w:rPr>
            </w:pPr>
            <w:r>
              <w:rPr>
                <w:rFonts w:eastAsia="方正仿宋简体"/>
                <w:sz w:val="24"/>
                <w:szCs w:val="24"/>
              </w:rPr>
              <w:t>权利仓持仓限额</w:t>
            </w:r>
          </w:p>
        </w:tc>
        <w:tc>
          <w:tcPr>
            <w:tcW w:w="900" w:type="dxa"/>
            <w:vAlign w:val="center"/>
          </w:tcPr>
          <w:p>
            <w:pPr>
              <w:jc w:val="center"/>
              <w:rPr>
                <w:rFonts w:eastAsia="方正仿宋简体"/>
                <w:sz w:val="24"/>
                <w:szCs w:val="24"/>
              </w:rPr>
            </w:pPr>
            <w:r>
              <w:rPr>
                <w:rFonts w:eastAsia="方正仿宋简体"/>
                <w:sz w:val="24"/>
                <w:szCs w:val="24"/>
              </w:rPr>
              <w:t>总持仓限额</w:t>
            </w:r>
          </w:p>
        </w:tc>
        <w:tc>
          <w:tcPr>
            <w:tcW w:w="900" w:type="dxa"/>
            <w:vAlign w:val="center"/>
          </w:tcPr>
          <w:p>
            <w:pPr>
              <w:jc w:val="center"/>
              <w:rPr>
                <w:rFonts w:eastAsia="方正仿宋简体"/>
                <w:sz w:val="24"/>
                <w:szCs w:val="24"/>
              </w:rPr>
            </w:pPr>
            <w:r>
              <w:rPr>
                <w:rFonts w:eastAsia="方正仿宋简体"/>
                <w:sz w:val="24"/>
                <w:szCs w:val="24"/>
              </w:rPr>
              <w:t>单日买入开仓限额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61" w:type="dxa"/>
            <w:vMerge w:val="continue"/>
            <w:vAlign w:val="center"/>
          </w:tcPr>
          <w:p>
            <w:pPr>
              <w:rPr>
                <w:rFonts w:eastAsia="方正仿宋简体"/>
                <w:sz w:val="24"/>
                <w:szCs w:val="24"/>
              </w:rPr>
            </w:pPr>
          </w:p>
        </w:tc>
        <w:tc>
          <w:tcPr>
            <w:tcW w:w="1715" w:type="dxa"/>
            <w:vAlign w:val="center"/>
          </w:tcPr>
          <w:p>
            <w:pPr>
              <w:rPr>
                <w:rFonts w:eastAsia="方正仿宋简体"/>
                <w:sz w:val="24"/>
                <w:szCs w:val="24"/>
              </w:rPr>
            </w:pPr>
          </w:p>
          <w:p>
            <w:pPr>
              <w:rPr>
                <w:rFonts w:eastAsia="方正仿宋简体"/>
                <w:sz w:val="24"/>
                <w:szCs w:val="24"/>
              </w:rPr>
            </w:pPr>
          </w:p>
        </w:tc>
        <w:tc>
          <w:tcPr>
            <w:tcW w:w="899" w:type="dxa"/>
            <w:vAlign w:val="center"/>
          </w:tcPr>
          <w:p>
            <w:pPr>
              <w:rPr>
                <w:rFonts w:eastAsia="方正仿宋简体"/>
                <w:sz w:val="24"/>
                <w:szCs w:val="24"/>
              </w:rPr>
            </w:pPr>
          </w:p>
        </w:tc>
        <w:tc>
          <w:tcPr>
            <w:tcW w:w="900" w:type="dxa"/>
            <w:gridSpan w:val="2"/>
            <w:vAlign w:val="center"/>
          </w:tcPr>
          <w:p>
            <w:pPr>
              <w:rPr>
                <w:rFonts w:eastAsia="方正仿宋简体"/>
                <w:sz w:val="24"/>
                <w:szCs w:val="24"/>
              </w:rPr>
            </w:pPr>
          </w:p>
        </w:tc>
        <w:tc>
          <w:tcPr>
            <w:tcW w:w="900" w:type="dxa"/>
            <w:vAlign w:val="center"/>
          </w:tcPr>
          <w:p>
            <w:pPr>
              <w:rPr>
                <w:rFonts w:eastAsia="方正仿宋简体"/>
                <w:sz w:val="24"/>
                <w:szCs w:val="24"/>
              </w:rPr>
            </w:pPr>
          </w:p>
        </w:tc>
        <w:tc>
          <w:tcPr>
            <w:tcW w:w="900" w:type="dxa"/>
            <w:vAlign w:val="center"/>
          </w:tcPr>
          <w:p>
            <w:pPr>
              <w:rPr>
                <w:rFonts w:eastAsia="方正仿宋简体"/>
                <w:sz w:val="24"/>
                <w:szCs w:val="24"/>
              </w:rPr>
            </w:pPr>
          </w:p>
        </w:tc>
        <w:tc>
          <w:tcPr>
            <w:tcW w:w="900" w:type="dxa"/>
            <w:vAlign w:val="center"/>
          </w:tcPr>
          <w:p>
            <w:pPr>
              <w:rPr>
                <w:rFonts w:eastAsia="方正仿宋简体"/>
                <w:sz w:val="24"/>
                <w:szCs w:val="24"/>
              </w:rPr>
            </w:pPr>
          </w:p>
        </w:tc>
        <w:tc>
          <w:tcPr>
            <w:tcW w:w="900" w:type="dxa"/>
            <w:vAlign w:val="center"/>
          </w:tcPr>
          <w:p>
            <w:pPr>
              <w:rPr>
                <w:rFonts w:eastAsia="方正仿宋简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61" w:type="dxa"/>
            <w:vMerge w:val="restart"/>
            <w:vAlign w:val="center"/>
          </w:tcPr>
          <w:p>
            <w:pPr>
              <w:rPr>
                <w:rFonts w:eastAsia="方正仿宋简体"/>
                <w:sz w:val="24"/>
                <w:szCs w:val="24"/>
              </w:rPr>
            </w:pPr>
            <w:r>
              <w:rPr>
                <w:rFonts w:eastAsia="方正仿宋简体"/>
                <w:sz w:val="24"/>
                <w:szCs w:val="24"/>
              </w:rPr>
              <w:t>签字及公章</w:t>
            </w:r>
          </w:p>
        </w:tc>
        <w:tc>
          <w:tcPr>
            <w:tcW w:w="7114" w:type="dxa"/>
            <w:gridSpan w:val="8"/>
            <w:vAlign w:val="center"/>
          </w:tcPr>
          <w:p>
            <w:pPr>
              <w:rPr>
                <w:rFonts w:eastAsia="方正仿宋简体"/>
                <w:sz w:val="24"/>
                <w:szCs w:val="24"/>
              </w:rPr>
            </w:pPr>
            <w:r>
              <w:rPr>
                <w:rFonts w:eastAsia="方正仿宋简体"/>
                <w:sz w:val="24"/>
                <w:szCs w:val="24"/>
              </w:rPr>
              <w:t>申请人签字：</w:t>
            </w:r>
          </w:p>
          <w:p>
            <w:pPr>
              <w:rPr>
                <w:rFonts w:eastAsia="方正仿宋简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61" w:type="dxa"/>
            <w:vMerge w:val="continue"/>
            <w:vAlign w:val="center"/>
          </w:tcPr>
          <w:p>
            <w:pPr>
              <w:rPr>
                <w:rFonts w:eastAsia="方正仿宋简体"/>
                <w:sz w:val="24"/>
                <w:szCs w:val="24"/>
              </w:rPr>
            </w:pPr>
          </w:p>
        </w:tc>
        <w:tc>
          <w:tcPr>
            <w:tcW w:w="7114" w:type="dxa"/>
            <w:gridSpan w:val="8"/>
            <w:vAlign w:val="center"/>
          </w:tcPr>
          <w:p>
            <w:pPr>
              <w:rPr>
                <w:rFonts w:eastAsia="方正仿宋简体"/>
                <w:sz w:val="24"/>
                <w:szCs w:val="24"/>
              </w:rPr>
            </w:pPr>
            <w:r>
              <w:rPr>
                <w:rFonts w:eastAsia="方正仿宋简体"/>
                <w:sz w:val="24"/>
                <w:szCs w:val="24"/>
              </w:rPr>
              <w:t>营业部经办人签字：</w:t>
            </w:r>
          </w:p>
          <w:p>
            <w:pPr>
              <w:rPr>
                <w:rFonts w:eastAsia="方正仿宋简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61" w:type="dxa"/>
            <w:vMerge w:val="continue"/>
            <w:vAlign w:val="center"/>
          </w:tcPr>
          <w:p>
            <w:pPr>
              <w:rPr>
                <w:rFonts w:eastAsia="方正仿宋简体"/>
                <w:sz w:val="24"/>
                <w:szCs w:val="24"/>
              </w:rPr>
            </w:pPr>
          </w:p>
        </w:tc>
        <w:tc>
          <w:tcPr>
            <w:tcW w:w="7114" w:type="dxa"/>
            <w:gridSpan w:val="8"/>
            <w:vAlign w:val="center"/>
          </w:tcPr>
          <w:p>
            <w:pPr>
              <w:rPr>
                <w:rFonts w:eastAsia="方正仿宋简体"/>
                <w:sz w:val="24"/>
                <w:szCs w:val="24"/>
              </w:rPr>
            </w:pPr>
            <w:r>
              <w:rPr>
                <w:rFonts w:eastAsia="方正仿宋简体"/>
                <w:sz w:val="24"/>
                <w:szCs w:val="24"/>
              </w:rPr>
              <w:t>期权经营机构经纪业务负责人签字：</w:t>
            </w:r>
          </w:p>
          <w:p>
            <w:pPr>
              <w:rPr>
                <w:rFonts w:eastAsia="方正仿宋简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61" w:type="dxa"/>
            <w:vMerge w:val="continue"/>
            <w:vAlign w:val="center"/>
          </w:tcPr>
          <w:p>
            <w:pPr>
              <w:rPr>
                <w:rFonts w:eastAsia="方正仿宋简体"/>
                <w:sz w:val="24"/>
                <w:szCs w:val="24"/>
              </w:rPr>
            </w:pPr>
          </w:p>
        </w:tc>
        <w:tc>
          <w:tcPr>
            <w:tcW w:w="7114" w:type="dxa"/>
            <w:gridSpan w:val="8"/>
            <w:vAlign w:val="center"/>
          </w:tcPr>
          <w:p>
            <w:pPr>
              <w:rPr>
                <w:rFonts w:eastAsia="方正仿宋简体"/>
                <w:sz w:val="24"/>
                <w:szCs w:val="24"/>
              </w:rPr>
            </w:pPr>
            <w:r>
              <w:rPr>
                <w:rFonts w:eastAsia="方正仿宋简体"/>
                <w:sz w:val="24"/>
                <w:szCs w:val="24"/>
              </w:rPr>
              <w:t>期权经营机构单位公章：</w:t>
            </w:r>
          </w:p>
          <w:p>
            <w:pPr>
              <w:rPr>
                <w:rFonts w:eastAsia="方正仿宋简体"/>
                <w:sz w:val="24"/>
                <w:szCs w:val="24"/>
              </w:rPr>
            </w:pPr>
          </w:p>
          <w:p>
            <w:pPr>
              <w:rPr>
                <w:rFonts w:eastAsia="方正仿宋简体"/>
                <w:sz w:val="24"/>
                <w:szCs w:val="24"/>
              </w:rPr>
            </w:pPr>
          </w:p>
          <w:p>
            <w:pPr>
              <w:rPr>
                <w:rFonts w:eastAsia="方正仿宋简体"/>
                <w:sz w:val="24"/>
                <w:szCs w:val="24"/>
              </w:rPr>
            </w:pPr>
          </w:p>
          <w:p>
            <w:pPr>
              <w:rPr>
                <w:rFonts w:eastAsia="方正仿宋简体"/>
                <w:sz w:val="24"/>
                <w:szCs w:val="24"/>
              </w:rPr>
            </w:pPr>
          </w:p>
        </w:tc>
      </w:tr>
    </w:tbl>
    <w:p>
      <w:pPr>
        <w:widowControl/>
        <w:jc w:val="left"/>
        <w:rPr>
          <w:rFonts w:eastAsia="方正仿宋简体"/>
          <w:bCs/>
          <w:sz w:val="30"/>
          <w:szCs w:val="30"/>
        </w:rPr>
      </w:pPr>
      <w:r>
        <w:rPr>
          <w:rFonts w:eastAsia="方正仿宋简体"/>
          <w:b/>
          <w:bCs/>
          <w:sz w:val="32"/>
          <w:szCs w:val="32"/>
        </w:rPr>
        <w:br w:type="page"/>
      </w:r>
      <w:bookmarkStart w:id="270" w:name="_Toc25842063"/>
      <w:r>
        <w:rPr>
          <w:rFonts w:eastAsia="方正仿宋简体"/>
          <w:bCs/>
          <w:sz w:val="30"/>
          <w:szCs w:val="30"/>
        </w:rPr>
        <w:t>附件9：股票期权持仓限额调整申请表（期货公司用</w:t>
      </w:r>
      <w:r>
        <w:rPr>
          <w:rFonts w:hint="eastAsia" w:eastAsia="方正仿宋简体"/>
          <w:bCs/>
          <w:sz w:val="30"/>
          <w:szCs w:val="30"/>
          <w:lang w:eastAsia="zh-CN"/>
        </w:rPr>
        <w:t>样表</w:t>
      </w:r>
      <w:r>
        <w:rPr>
          <w:rFonts w:eastAsia="方正仿宋简体"/>
          <w:bCs/>
          <w:sz w:val="30"/>
          <w:szCs w:val="30"/>
        </w:rPr>
        <w:t>）</w:t>
      </w:r>
      <w:bookmarkEnd w:id="270"/>
    </w:p>
    <w:tbl>
      <w:tblPr>
        <w:tblStyle w:val="37"/>
        <w:tblW w:w="84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242"/>
        <w:gridCol w:w="2410"/>
        <w:gridCol w:w="567"/>
        <w:gridCol w:w="1843"/>
        <w:gridCol w:w="241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472" w:type="dxa"/>
            <w:gridSpan w:val="5"/>
            <w:vAlign w:val="center"/>
          </w:tcPr>
          <w:p>
            <w:pPr>
              <w:widowControl/>
              <w:snapToGrid w:val="0"/>
              <w:ind w:firstLine="158"/>
              <w:jc w:val="center"/>
              <w:rPr>
                <w:rFonts w:eastAsia="方正仿宋简体"/>
                <w:sz w:val="24"/>
                <w:szCs w:val="24"/>
              </w:rPr>
            </w:pPr>
            <w:r>
              <w:rPr>
                <w:rFonts w:eastAsia="方正仿宋简体"/>
                <w:sz w:val="24"/>
                <w:szCs w:val="24"/>
              </w:rPr>
              <w:t>股票期权持仓限额调整申请表（期货公司用）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42" w:type="dxa"/>
            <w:vMerge w:val="restart"/>
            <w:vAlign w:val="center"/>
          </w:tcPr>
          <w:p>
            <w:pPr>
              <w:rPr>
                <w:rFonts w:eastAsia="方正仿宋简体"/>
                <w:sz w:val="24"/>
                <w:szCs w:val="24"/>
              </w:rPr>
            </w:pPr>
            <w:r>
              <w:rPr>
                <w:rFonts w:eastAsia="方正仿宋简体"/>
                <w:sz w:val="24"/>
                <w:szCs w:val="24"/>
              </w:rPr>
              <w:t>申请人信息</w:t>
            </w:r>
          </w:p>
        </w:tc>
        <w:tc>
          <w:tcPr>
            <w:tcW w:w="2977" w:type="dxa"/>
            <w:gridSpan w:val="2"/>
            <w:vAlign w:val="center"/>
          </w:tcPr>
          <w:p>
            <w:pPr>
              <w:rPr>
                <w:rFonts w:eastAsia="方正仿宋简体"/>
                <w:sz w:val="24"/>
                <w:szCs w:val="24"/>
              </w:rPr>
            </w:pPr>
            <w:r>
              <w:rPr>
                <w:rFonts w:eastAsia="方正仿宋简体"/>
                <w:sz w:val="24"/>
                <w:szCs w:val="24"/>
              </w:rPr>
              <w:t>公司名称</w:t>
            </w:r>
          </w:p>
        </w:tc>
        <w:tc>
          <w:tcPr>
            <w:tcW w:w="4253" w:type="dxa"/>
            <w:gridSpan w:val="2"/>
            <w:vAlign w:val="center"/>
          </w:tcPr>
          <w:p>
            <w:pPr>
              <w:rPr>
                <w:rFonts w:eastAsia="方正仿宋简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42" w:type="dxa"/>
            <w:vMerge w:val="continue"/>
            <w:vAlign w:val="center"/>
          </w:tcPr>
          <w:p>
            <w:pPr>
              <w:rPr>
                <w:rFonts w:eastAsia="方正仿宋简体"/>
                <w:sz w:val="24"/>
                <w:szCs w:val="24"/>
              </w:rPr>
            </w:pPr>
          </w:p>
        </w:tc>
        <w:tc>
          <w:tcPr>
            <w:tcW w:w="2977" w:type="dxa"/>
            <w:gridSpan w:val="2"/>
            <w:vAlign w:val="center"/>
          </w:tcPr>
          <w:p>
            <w:pPr>
              <w:rPr>
                <w:rFonts w:eastAsia="方正仿宋简体"/>
                <w:sz w:val="24"/>
                <w:szCs w:val="24"/>
              </w:rPr>
            </w:pPr>
            <w:r>
              <w:rPr>
                <w:rFonts w:eastAsia="方正仿宋简体"/>
                <w:sz w:val="24"/>
                <w:szCs w:val="24"/>
              </w:rPr>
              <w:t>开通期权经纪业务时间</w:t>
            </w:r>
          </w:p>
        </w:tc>
        <w:tc>
          <w:tcPr>
            <w:tcW w:w="4253" w:type="dxa"/>
            <w:gridSpan w:val="2"/>
            <w:vAlign w:val="center"/>
          </w:tcPr>
          <w:p>
            <w:pPr>
              <w:rPr>
                <w:rFonts w:eastAsia="方正仿宋简体"/>
                <w:sz w:val="24"/>
                <w:szCs w:val="24"/>
              </w:rPr>
            </w:pPr>
            <w:r>
              <w:rPr>
                <w:rFonts w:eastAsia="方正仿宋简体"/>
                <w:sz w:val="24"/>
                <w:szCs w:val="24"/>
              </w:rPr>
              <w:t xml:space="preserve">          年    月    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42" w:type="dxa"/>
            <w:vMerge w:val="continue"/>
            <w:vAlign w:val="center"/>
          </w:tcPr>
          <w:p>
            <w:pPr>
              <w:rPr>
                <w:rFonts w:eastAsia="方正仿宋简体"/>
                <w:sz w:val="24"/>
                <w:szCs w:val="24"/>
              </w:rPr>
            </w:pPr>
          </w:p>
        </w:tc>
        <w:tc>
          <w:tcPr>
            <w:tcW w:w="2977" w:type="dxa"/>
            <w:gridSpan w:val="2"/>
            <w:vAlign w:val="center"/>
          </w:tcPr>
          <w:p>
            <w:pPr>
              <w:rPr>
                <w:rFonts w:eastAsia="方正仿宋简体"/>
                <w:sz w:val="24"/>
                <w:szCs w:val="24"/>
              </w:rPr>
            </w:pPr>
            <w:r>
              <w:rPr>
                <w:rFonts w:eastAsia="方正仿宋简体"/>
                <w:sz w:val="24"/>
                <w:szCs w:val="24"/>
              </w:rPr>
              <w:t>联系人姓名</w:t>
            </w:r>
          </w:p>
        </w:tc>
        <w:tc>
          <w:tcPr>
            <w:tcW w:w="4253" w:type="dxa"/>
            <w:gridSpan w:val="2"/>
            <w:vAlign w:val="center"/>
          </w:tcPr>
          <w:p>
            <w:pPr>
              <w:rPr>
                <w:rFonts w:eastAsia="方正仿宋简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42" w:type="dxa"/>
            <w:vMerge w:val="continue"/>
            <w:vAlign w:val="center"/>
          </w:tcPr>
          <w:p>
            <w:pPr>
              <w:rPr>
                <w:rFonts w:eastAsia="方正仿宋简体"/>
                <w:sz w:val="24"/>
                <w:szCs w:val="24"/>
              </w:rPr>
            </w:pPr>
          </w:p>
        </w:tc>
        <w:tc>
          <w:tcPr>
            <w:tcW w:w="2977" w:type="dxa"/>
            <w:gridSpan w:val="2"/>
            <w:vAlign w:val="center"/>
          </w:tcPr>
          <w:p>
            <w:pPr>
              <w:rPr>
                <w:rFonts w:eastAsia="方正仿宋简体"/>
                <w:sz w:val="24"/>
                <w:szCs w:val="24"/>
              </w:rPr>
            </w:pPr>
            <w:r>
              <w:rPr>
                <w:rFonts w:eastAsia="方正仿宋简体"/>
                <w:sz w:val="24"/>
                <w:szCs w:val="24"/>
              </w:rPr>
              <w:t>联系人联系方式</w:t>
            </w:r>
          </w:p>
        </w:tc>
        <w:tc>
          <w:tcPr>
            <w:tcW w:w="4253" w:type="dxa"/>
            <w:gridSpan w:val="2"/>
            <w:vAlign w:val="center"/>
          </w:tcPr>
          <w:p>
            <w:pPr>
              <w:rPr>
                <w:rFonts w:eastAsia="方正仿宋简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42" w:type="dxa"/>
            <w:vMerge w:val="continue"/>
            <w:vAlign w:val="center"/>
          </w:tcPr>
          <w:p>
            <w:pPr>
              <w:rPr>
                <w:rFonts w:eastAsia="方正仿宋简体"/>
                <w:sz w:val="24"/>
                <w:szCs w:val="24"/>
              </w:rPr>
            </w:pPr>
          </w:p>
        </w:tc>
        <w:tc>
          <w:tcPr>
            <w:tcW w:w="2977" w:type="dxa"/>
            <w:gridSpan w:val="2"/>
            <w:vAlign w:val="center"/>
          </w:tcPr>
          <w:p>
            <w:pPr>
              <w:rPr>
                <w:rFonts w:eastAsia="方正仿宋简体"/>
                <w:sz w:val="24"/>
                <w:szCs w:val="24"/>
              </w:rPr>
            </w:pPr>
            <w:r>
              <w:rPr>
                <w:rFonts w:eastAsia="方正仿宋简体"/>
                <w:sz w:val="24"/>
                <w:szCs w:val="24"/>
              </w:rPr>
              <w:t>联系人邮箱</w:t>
            </w:r>
          </w:p>
        </w:tc>
        <w:tc>
          <w:tcPr>
            <w:tcW w:w="4253" w:type="dxa"/>
            <w:gridSpan w:val="2"/>
            <w:vAlign w:val="center"/>
          </w:tcPr>
          <w:p>
            <w:pPr>
              <w:rPr>
                <w:rFonts w:eastAsia="方正仿宋简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42" w:type="dxa"/>
            <w:vAlign w:val="center"/>
          </w:tcPr>
          <w:p>
            <w:pPr>
              <w:rPr>
                <w:rFonts w:eastAsia="方正仿宋简体"/>
                <w:sz w:val="24"/>
                <w:szCs w:val="24"/>
                <w:highlight w:val="yellow"/>
              </w:rPr>
            </w:pPr>
            <w:r>
              <w:rPr>
                <w:rFonts w:eastAsia="方正仿宋简体"/>
                <w:sz w:val="24"/>
                <w:szCs w:val="24"/>
              </w:rPr>
              <w:t>结算账号（经纪）</w:t>
            </w:r>
          </w:p>
        </w:tc>
        <w:tc>
          <w:tcPr>
            <w:tcW w:w="7230" w:type="dxa"/>
            <w:gridSpan w:val="4"/>
            <w:vAlign w:val="center"/>
          </w:tcPr>
          <w:p>
            <w:pPr>
              <w:rPr>
                <w:rFonts w:eastAsia="方正仿宋简体"/>
                <w:sz w:val="24"/>
                <w:szCs w:val="24"/>
                <w:highlight w:val="yellow"/>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8" w:hRule="atLeast"/>
        </w:trPr>
        <w:tc>
          <w:tcPr>
            <w:tcW w:w="1242" w:type="dxa"/>
            <w:vMerge w:val="restart"/>
            <w:vAlign w:val="center"/>
          </w:tcPr>
          <w:p>
            <w:pPr>
              <w:rPr>
                <w:rFonts w:eastAsia="方正仿宋简体"/>
                <w:sz w:val="24"/>
                <w:szCs w:val="24"/>
              </w:rPr>
            </w:pPr>
            <w:r>
              <w:rPr>
                <w:rFonts w:eastAsia="方正仿宋简体"/>
                <w:sz w:val="24"/>
                <w:szCs w:val="24"/>
              </w:rPr>
              <w:t>合约品种持仓限额调整</w:t>
            </w:r>
          </w:p>
        </w:tc>
        <w:tc>
          <w:tcPr>
            <w:tcW w:w="2410" w:type="dxa"/>
            <w:vAlign w:val="center"/>
          </w:tcPr>
          <w:p>
            <w:pPr>
              <w:jc w:val="center"/>
              <w:rPr>
                <w:rFonts w:eastAsia="方正仿宋简体"/>
                <w:sz w:val="24"/>
                <w:szCs w:val="24"/>
              </w:rPr>
            </w:pPr>
            <w:r>
              <w:rPr>
                <w:rFonts w:eastAsia="方正仿宋简体"/>
                <w:sz w:val="24"/>
                <w:szCs w:val="24"/>
              </w:rPr>
              <w:t>单个合约品种</w:t>
            </w:r>
          </w:p>
        </w:tc>
        <w:tc>
          <w:tcPr>
            <w:tcW w:w="2410" w:type="dxa"/>
            <w:gridSpan w:val="2"/>
            <w:vAlign w:val="center"/>
          </w:tcPr>
          <w:p>
            <w:pPr>
              <w:jc w:val="center"/>
              <w:rPr>
                <w:rFonts w:eastAsia="方正仿宋简体"/>
                <w:sz w:val="24"/>
                <w:szCs w:val="24"/>
              </w:rPr>
            </w:pPr>
            <w:r>
              <w:rPr>
                <w:rFonts w:eastAsia="方正仿宋简体"/>
                <w:sz w:val="24"/>
                <w:szCs w:val="24"/>
              </w:rPr>
              <w:t>目前总持仓限额</w:t>
            </w:r>
          </w:p>
        </w:tc>
        <w:tc>
          <w:tcPr>
            <w:tcW w:w="2410" w:type="dxa"/>
            <w:vAlign w:val="center"/>
          </w:tcPr>
          <w:p>
            <w:pPr>
              <w:jc w:val="center"/>
              <w:rPr>
                <w:rFonts w:eastAsia="方正仿宋简体"/>
                <w:sz w:val="24"/>
                <w:szCs w:val="24"/>
              </w:rPr>
            </w:pPr>
            <w:r>
              <w:rPr>
                <w:rFonts w:eastAsia="方正仿宋简体"/>
                <w:sz w:val="24"/>
                <w:szCs w:val="24"/>
              </w:rPr>
              <w:t>拟申请总持仓限额</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42" w:type="dxa"/>
            <w:vMerge w:val="continue"/>
            <w:tcBorders>
              <w:bottom w:val="single" w:color="auto" w:sz="4" w:space="0"/>
            </w:tcBorders>
            <w:vAlign w:val="center"/>
          </w:tcPr>
          <w:p>
            <w:pPr>
              <w:rPr>
                <w:rFonts w:eastAsia="方正仿宋简体"/>
                <w:sz w:val="24"/>
                <w:szCs w:val="24"/>
              </w:rPr>
            </w:pPr>
          </w:p>
        </w:tc>
        <w:tc>
          <w:tcPr>
            <w:tcW w:w="2410" w:type="dxa"/>
            <w:vAlign w:val="center"/>
          </w:tcPr>
          <w:p>
            <w:pPr>
              <w:rPr>
                <w:rFonts w:eastAsia="方正仿宋简体"/>
                <w:sz w:val="24"/>
                <w:szCs w:val="24"/>
              </w:rPr>
            </w:pPr>
          </w:p>
          <w:p>
            <w:pPr>
              <w:rPr>
                <w:rFonts w:eastAsia="方正仿宋简体"/>
                <w:sz w:val="24"/>
                <w:szCs w:val="24"/>
              </w:rPr>
            </w:pPr>
          </w:p>
        </w:tc>
        <w:tc>
          <w:tcPr>
            <w:tcW w:w="2410" w:type="dxa"/>
            <w:gridSpan w:val="2"/>
            <w:vAlign w:val="center"/>
          </w:tcPr>
          <w:p>
            <w:pPr>
              <w:rPr>
                <w:rFonts w:eastAsia="方正仿宋简体"/>
                <w:sz w:val="24"/>
                <w:szCs w:val="24"/>
              </w:rPr>
            </w:pPr>
          </w:p>
        </w:tc>
        <w:tc>
          <w:tcPr>
            <w:tcW w:w="2410" w:type="dxa"/>
            <w:vAlign w:val="center"/>
          </w:tcPr>
          <w:p>
            <w:pPr>
              <w:rPr>
                <w:rFonts w:eastAsia="方正仿宋简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42" w:type="dxa"/>
            <w:vMerge w:val="restart"/>
            <w:vAlign w:val="center"/>
          </w:tcPr>
          <w:p>
            <w:pPr>
              <w:rPr>
                <w:rFonts w:eastAsia="方正仿宋简体"/>
                <w:sz w:val="24"/>
                <w:szCs w:val="24"/>
              </w:rPr>
            </w:pPr>
            <w:r>
              <w:rPr>
                <w:rFonts w:eastAsia="方正仿宋简体"/>
                <w:sz w:val="24"/>
                <w:szCs w:val="24"/>
              </w:rPr>
              <w:t>签字及公章</w:t>
            </w:r>
          </w:p>
        </w:tc>
        <w:tc>
          <w:tcPr>
            <w:tcW w:w="7230" w:type="dxa"/>
            <w:gridSpan w:val="4"/>
            <w:vAlign w:val="center"/>
          </w:tcPr>
          <w:p>
            <w:pPr>
              <w:rPr>
                <w:rFonts w:eastAsia="方正仿宋简体"/>
                <w:sz w:val="24"/>
                <w:szCs w:val="24"/>
              </w:rPr>
            </w:pPr>
            <w:r>
              <w:rPr>
                <w:rFonts w:eastAsia="方正仿宋简体"/>
                <w:sz w:val="24"/>
                <w:szCs w:val="24"/>
              </w:rPr>
              <w:t>经纪部门负责人签字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42" w:type="dxa"/>
            <w:vMerge w:val="continue"/>
            <w:vAlign w:val="center"/>
          </w:tcPr>
          <w:p>
            <w:pPr>
              <w:rPr>
                <w:rFonts w:eastAsia="方正仿宋简体"/>
                <w:sz w:val="24"/>
                <w:szCs w:val="24"/>
              </w:rPr>
            </w:pPr>
          </w:p>
        </w:tc>
        <w:tc>
          <w:tcPr>
            <w:tcW w:w="7230" w:type="dxa"/>
            <w:gridSpan w:val="4"/>
            <w:vAlign w:val="center"/>
          </w:tcPr>
          <w:p>
            <w:pPr>
              <w:rPr>
                <w:rFonts w:eastAsia="方正仿宋简体"/>
                <w:sz w:val="24"/>
                <w:szCs w:val="24"/>
              </w:rPr>
            </w:pPr>
            <w:r>
              <w:rPr>
                <w:rFonts w:eastAsia="方正仿宋简体"/>
                <w:sz w:val="24"/>
                <w:szCs w:val="24"/>
              </w:rPr>
              <w:t>首席风控管（或合规总监）签字：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42" w:type="dxa"/>
            <w:vMerge w:val="continue"/>
            <w:vAlign w:val="center"/>
          </w:tcPr>
          <w:p>
            <w:pPr>
              <w:rPr>
                <w:rFonts w:eastAsia="方正仿宋简体"/>
                <w:sz w:val="24"/>
                <w:szCs w:val="24"/>
              </w:rPr>
            </w:pPr>
          </w:p>
        </w:tc>
        <w:tc>
          <w:tcPr>
            <w:tcW w:w="7230" w:type="dxa"/>
            <w:gridSpan w:val="4"/>
            <w:vAlign w:val="center"/>
          </w:tcPr>
          <w:p>
            <w:pPr>
              <w:rPr>
                <w:rFonts w:eastAsia="方正仿宋简体"/>
                <w:sz w:val="24"/>
                <w:szCs w:val="24"/>
              </w:rPr>
            </w:pPr>
            <w:r>
              <w:rPr>
                <w:rFonts w:eastAsia="方正仿宋简体"/>
                <w:sz w:val="24"/>
                <w:szCs w:val="24"/>
              </w:rPr>
              <w:t>法人代表签字：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8" w:hRule="atLeast"/>
        </w:trPr>
        <w:tc>
          <w:tcPr>
            <w:tcW w:w="1242" w:type="dxa"/>
            <w:vMerge w:val="continue"/>
            <w:vAlign w:val="center"/>
          </w:tcPr>
          <w:p>
            <w:pPr>
              <w:rPr>
                <w:rFonts w:eastAsia="方正仿宋简体"/>
                <w:sz w:val="24"/>
                <w:szCs w:val="24"/>
              </w:rPr>
            </w:pPr>
          </w:p>
        </w:tc>
        <w:tc>
          <w:tcPr>
            <w:tcW w:w="7230" w:type="dxa"/>
            <w:gridSpan w:val="4"/>
            <w:vAlign w:val="center"/>
          </w:tcPr>
          <w:p>
            <w:pPr>
              <w:rPr>
                <w:rFonts w:eastAsia="方正仿宋简体"/>
                <w:sz w:val="24"/>
                <w:szCs w:val="24"/>
              </w:rPr>
            </w:pPr>
          </w:p>
          <w:p>
            <w:pPr>
              <w:rPr>
                <w:rFonts w:eastAsia="方正仿宋简体"/>
                <w:sz w:val="24"/>
                <w:szCs w:val="24"/>
              </w:rPr>
            </w:pPr>
            <w:r>
              <w:rPr>
                <w:rFonts w:eastAsia="方正仿宋简体"/>
                <w:sz w:val="24"/>
                <w:szCs w:val="24"/>
              </w:rPr>
              <w:t>期权经营机构单位公章：</w:t>
            </w:r>
          </w:p>
          <w:p>
            <w:pPr>
              <w:rPr>
                <w:rFonts w:eastAsia="方正仿宋简体"/>
                <w:sz w:val="24"/>
                <w:szCs w:val="24"/>
              </w:rPr>
            </w:pPr>
          </w:p>
          <w:p>
            <w:pPr>
              <w:rPr>
                <w:rFonts w:eastAsia="方正仿宋简体"/>
                <w:sz w:val="24"/>
                <w:szCs w:val="24"/>
              </w:rPr>
            </w:pPr>
          </w:p>
          <w:p>
            <w:pPr>
              <w:rPr>
                <w:rFonts w:eastAsia="方正仿宋简体"/>
                <w:sz w:val="24"/>
                <w:szCs w:val="24"/>
              </w:rPr>
            </w:pPr>
          </w:p>
          <w:p>
            <w:pPr>
              <w:rPr>
                <w:rFonts w:eastAsia="方正仿宋简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42" w:type="dxa"/>
            <w:vAlign w:val="center"/>
          </w:tcPr>
          <w:p>
            <w:pPr>
              <w:rPr>
                <w:rFonts w:eastAsia="方正仿宋简体"/>
                <w:sz w:val="24"/>
                <w:szCs w:val="24"/>
              </w:rPr>
            </w:pPr>
            <w:r>
              <w:rPr>
                <w:rFonts w:eastAsia="方正仿宋简体"/>
                <w:sz w:val="24"/>
                <w:szCs w:val="24"/>
              </w:rPr>
              <w:t>附情况说明</w:t>
            </w:r>
          </w:p>
        </w:tc>
        <w:tc>
          <w:tcPr>
            <w:tcW w:w="7230" w:type="dxa"/>
            <w:gridSpan w:val="4"/>
            <w:vAlign w:val="center"/>
          </w:tcPr>
          <w:p>
            <w:pPr>
              <w:rPr>
                <w:rFonts w:eastAsia="方正仿宋简体"/>
                <w:sz w:val="24"/>
                <w:szCs w:val="24"/>
              </w:rPr>
            </w:pPr>
          </w:p>
          <w:p>
            <w:pPr>
              <w:rPr>
                <w:rFonts w:eastAsia="方正仿宋简体"/>
                <w:sz w:val="24"/>
                <w:szCs w:val="24"/>
              </w:rPr>
            </w:pPr>
          </w:p>
          <w:p>
            <w:pPr>
              <w:rPr>
                <w:rFonts w:eastAsia="方正仿宋简体"/>
                <w:sz w:val="24"/>
                <w:szCs w:val="24"/>
              </w:rPr>
            </w:pPr>
          </w:p>
          <w:p>
            <w:pPr>
              <w:rPr>
                <w:rFonts w:eastAsia="方正仿宋简体"/>
                <w:sz w:val="24"/>
                <w:szCs w:val="24"/>
              </w:rPr>
            </w:pPr>
          </w:p>
          <w:p>
            <w:pPr>
              <w:rPr>
                <w:rFonts w:eastAsia="方正仿宋简体"/>
                <w:sz w:val="24"/>
                <w:szCs w:val="24"/>
              </w:rPr>
            </w:pPr>
          </w:p>
        </w:tc>
      </w:tr>
    </w:tbl>
    <w:p>
      <w:pPr>
        <w:widowControl/>
        <w:jc w:val="left"/>
        <w:rPr>
          <w:rFonts w:eastAsia="方正仿宋简体"/>
          <w:bCs/>
          <w:sz w:val="30"/>
          <w:szCs w:val="30"/>
        </w:rPr>
      </w:pPr>
      <w:r>
        <w:rPr>
          <w:rFonts w:eastAsia="方正仿宋简体"/>
          <w:b/>
          <w:bCs/>
          <w:sz w:val="32"/>
          <w:szCs w:val="32"/>
        </w:rPr>
        <w:br w:type="page"/>
      </w:r>
      <w:bookmarkStart w:id="271" w:name="_Toc25842064"/>
      <w:r>
        <w:rPr>
          <w:rFonts w:eastAsia="方正仿宋简体"/>
          <w:bCs/>
          <w:sz w:val="30"/>
          <w:szCs w:val="30"/>
        </w:rPr>
        <w:t>附件10：股票期权合格投资者数据报送接口定义表</w:t>
      </w:r>
      <w:bookmarkEnd w:id="271"/>
    </w:p>
    <w:tbl>
      <w:tblPr>
        <w:tblStyle w:val="37"/>
        <w:tblW w:w="86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776"/>
        <w:gridCol w:w="1378"/>
        <w:gridCol w:w="2291"/>
        <w:gridCol w:w="735"/>
        <w:gridCol w:w="709"/>
        <w:gridCol w:w="27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606" w:hRule="atLeast"/>
          <w:tblHeader/>
          <w:jc w:val="center"/>
        </w:trPr>
        <w:tc>
          <w:tcPr>
            <w:tcW w:w="776" w:type="dxa"/>
            <w:shd w:val="clear" w:color="auto" w:fill="auto"/>
            <w:vAlign w:val="center"/>
          </w:tcPr>
          <w:p>
            <w:pPr>
              <w:spacing w:before="20" w:after="20"/>
              <w:jc w:val="center"/>
              <w:rPr>
                <w:rFonts w:eastAsia="方正仿宋简体"/>
                <w:b/>
                <w:sz w:val="24"/>
                <w:szCs w:val="24"/>
              </w:rPr>
            </w:pPr>
            <w:r>
              <w:rPr>
                <w:rFonts w:eastAsia="方正仿宋简体"/>
                <w:b/>
                <w:sz w:val="24"/>
                <w:szCs w:val="24"/>
              </w:rPr>
              <w:t>序号</w:t>
            </w:r>
          </w:p>
        </w:tc>
        <w:tc>
          <w:tcPr>
            <w:tcW w:w="1378" w:type="dxa"/>
            <w:shd w:val="clear" w:color="auto" w:fill="auto"/>
            <w:vAlign w:val="center"/>
          </w:tcPr>
          <w:p>
            <w:pPr>
              <w:spacing w:before="20" w:after="20"/>
              <w:jc w:val="center"/>
              <w:rPr>
                <w:rFonts w:eastAsia="方正仿宋简体"/>
                <w:b/>
                <w:sz w:val="24"/>
                <w:szCs w:val="24"/>
              </w:rPr>
            </w:pPr>
            <w:r>
              <w:rPr>
                <w:rFonts w:eastAsia="方正仿宋简体"/>
                <w:b/>
                <w:sz w:val="24"/>
                <w:szCs w:val="24"/>
              </w:rPr>
              <w:t>字段名</w:t>
            </w:r>
          </w:p>
        </w:tc>
        <w:tc>
          <w:tcPr>
            <w:tcW w:w="2291" w:type="dxa"/>
            <w:shd w:val="clear" w:color="auto" w:fill="auto"/>
            <w:vAlign w:val="center"/>
          </w:tcPr>
          <w:p>
            <w:pPr>
              <w:spacing w:before="20" w:after="20"/>
              <w:jc w:val="center"/>
              <w:rPr>
                <w:rFonts w:eastAsia="方正仿宋简体"/>
                <w:b/>
                <w:sz w:val="24"/>
                <w:szCs w:val="24"/>
              </w:rPr>
            </w:pPr>
            <w:r>
              <w:rPr>
                <w:rFonts w:eastAsia="方正仿宋简体"/>
                <w:b/>
                <w:sz w:val="24"/>
                <w:szCs w:val="24"/>
              </w:rPr>
              <w:t>字段描述</w:t>
            </w:r>
          </w:p>
        </w:tc>
        <w:tc>
          <w:tcPr>
            <w:tcW w:w="735" w:type="dxa"/>
            <w:shd w:val="clear" w:color="auto" w:fill="auto"/>
            <w:vAlign w:val="center"/>
          </w:tcPr>
          <w:p>
            <w:pPr>
              <w:spacing w:before="20" w:after="20"/>
              <w:jc w:val="center"/>
              <w:rPr>
                <w:rFonts w:eastAsia="方正仿宋简体"/>
                <w:b/>
                <w:sz w:val="24"/>
                <w:szCs w:val="24"/>
              </w:rPr>
            </w:pPr>
            <w:r>
              <w:rPr>
                <w:rFonts w:eastAsia="方正仿宋简体"/>
                <w:b/>
                <w:sz w:val="24"/>
                <w:szCs w:val="24"/>
              </w:rPr>
              <w:t>类型</w:t>
            </w:r>
          </w:p>
        </w:tc>
        <w:tc>
          <w:tcPr>
            <w:tcW w:w="709" w:type="dxa"/>
            <w:shd w:val="clear" w:color="auto" w:fill="auto"/>
            <w:vAlign w:val="center"/>
          </w:tcPr>
          <w:p>
            <w:pPr>
              <w:spacing w:before="20" w:after="20"/>
              <w:jc w:val="center"/>
              <w:rPr>
                <w:rFonts w:eastAsia="方正仿宋简体"/>
                <w:b/>
                <w:sz w:val="24"/>
                <w:szCs w:val="24"/>
              </w:rPr>
            </w:pPr>
            <w:r>
              <w:rPr>
                <w:rFonts w:eastAsia="方正仿宋简体"/>
                <w:b/>
                <w:sz w:val="24"/>
                <w:szCs w:val="24"/>
              </w:rPr>
              <w:t>长度</w:t>
            </w:r>
          </w:p>
        </w:tc>
        <w:tc>
          <w:tcPr>
            <w:tcW w:w="2785" w:type="dxa"/>
            <w:shd w:val="clear" w:color="auto" w:fill="auto"/>
            <w:vAlign w:val="center"/>
          </w:tcPr>
          <w:p>
            <w:pPr>
              <w:spacing w:before="20" w:after="20"/>
              <w:jc w:val="center"/>
              <w:rPr>
                <w:rFonts w:eastAsia="方正仿宋简体"/>
                <w:b/>
                <w:sz w:val="24"/>
                <w:szCs w:val="24"/>
              </w:rPr>
            </w:pPr>
            <w:r>
              <w:rPr>
                <w:rFonts w:eastAsia="方正仿宋简体"/>
                <w:b/>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0" w:hRule="atLeast"/>
          <w:jc w:val="center"/>
        </w:trPr>
        <w:tc>
          <w:tcPr>
            <w:tcW w:w="776" w:type="dxa"/>
            <w:vAlign w:val="center"/>
          </w:tcPr>
          <w:p>
            <w:pPr>
              <w:widowControl/>
              <w:numPr>
                <w:ilvl w:val="0"/>
                <w:numId w:val="122"/>
              </w:numPr>
              <w:ind w:left="0" w:right="-162" w:rightChars="-77" w:firstLine="0"/>
              <w:jc w:val="center"/>
              <w:rPr>
                <w:rFonts w:eastAsia="方正仿宋简体"/>
                <w:sz w:val="24"/>
                <w:szCs w:val="24"/>
              </w:rPr>
            </w:pPr>
          </w:p>
        </w:tc>
        <w:tc>
          <w:tcPr>
            <w:tcW w:w="1378" w:type="dxa"/>
            <w:vAlign w:val="center"/>
          </w:tcPr>
          <w:p>
            <w:pPr>
              <w:jc w:val="left"/>
              <w:rPr>
                <w:rFonts w:eastAsia="方正仿宋简体"/>
                <w:sz w:val="24"/>
                <w:szCs w:val="24"/>
              </w:rPr>
            </w:pPr>
            <w:r>
              <w:rPr>
                <w:rFonts w:eastAsia="方正仿宋简体"/>
                <w:sz w:val="24"/>
                <w:szCs w:val="24"/>
              </w:rPr>
              <w:t>JYRQ</w:t>
            </w:r>
          </w:p>
        </w:tc>
        <w:tc>
          <w:tcPr>
            <w:tcW w:w="2291" w:type="dxa"/>
            <w:vAlign w:val="center"/>
          </w:tcPr>
          <w:p>
            <w:pPr>
              <w:rPr>
                <w:rFonts w:eastAsia="方正仿宋简体"/>
                <w:sz w:val="24"/>
                <w:szCs w:val="24"/>
              </w:rPr>
            </w:pPr>
            <w:r>
              <w:rPr>
                <w:rFonts w:eastAsia="方正仿宋简体"/>
                <w:sz w:val="24"/>
                <w:szCs w:val="24"/>
              </w:rPr>
              <w:t>交易日期</w:t>
            </w:r>
          </w:p>
        </w:tc>
        <w:tc>
          <w:tcPr>
            <w:tcW w:w="735" w:type="dxa"/>
            <w:vAlign w:val="center"/>
          </w:tcPr>
          <w:p>
            <w:pPr>
              <w:jc w:val="center"/>
              <w:rPr>
                <w:rFonts w:eastAsia="方正仿宋简体"/>
                <w:sz w:val="24"/>
                <w:szCs w:val="24"/>
              </w:rPr>
            </w:pPr>
            <w:r>
              <w:rPr>
                <w:rFonts w:eastAsia="方正仿宋简体"/>
                <w:sz w:val="24"/>
                <w:szCs w:val="24"/>
              </w:rPr>
              <w:t>C</w:t>
            </w:r>
          </w:p>
        </w:tc>
        <w:tc>
          <w:tcPr>
            <w:tcW w:w="709" w:type="dxa"/>
            <w:vAlign w:val="center"/>
          </w:tcPr>
          <w:p>
            <w:pPr>
              <w:jc w:val="center"/>
              <w:rPr>
                <w:rFonts w:eastAsia="方正仿宋简体"/>
                <w:sz w:val="24"/>
                <w:szCs w:val="24"/>
              </w:rPr>
            </w:pPr>
            <w:r>
              <w:rPr>
                <w:rFonts w:eastAsia="方正仿宋简体"/>
                <w:sz w:val="24"/>
                <w:szCs w:val="24"/>
              </w:rPr>
              <w:t>8</w:t>
            </w:r>
          </w:p>
        </w:tc>
        <w:tc>
          <w:tcPr>
            <w:tcW w:w="2785" w:type="dxa"/>
            <w:vAlign w:val="center"/>
          </w:tcPr>
          <w:p>
            <w:pPr>
              <w:rPr>
                <w:rFonts w:eastAsia="方正仿宋简体"/>
                <w:sz w:val="24"/>
                <w:szCs w:val="24"/>
              </w:rPr>
            </w:pPr>
            <w:r>
              <w:rPr>
                <w:rFonts w:eastAsia="方正仿宋简体"/>
                <w:sz w:val="24"/>
                <w:szCs w:val="24"/>
              </w:rPr>
              <w:t>格式:CCYYMMDD，即报送数据对应的交易日当日日期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0" w:hRule="atLeast"/>
          <w:jc w:val="center"/>
        </w:trPr>
        <w:tc>
          <w:tcPr>
            <w:tcW w:w="776" w:type="dxa"/>
            <w:vAlign w:val="center"/>
          </w:tcPr>
          <w:p>
            <w:pPr>
              <w:widowControl/>
              <w:numPr>
                <w:ilvl w:val="0"/>
                <w:numId w:val="122"/>
              </w:numPr>
              <w:ind w:left="0" w:right="-162" w:rightChars="-77" w:firstLine="0"/>
              <w:jc w:val="center"/>
              <w:rPr>
                <w:rFonts w:eastAsia="方正仿宋简体"/>
                <w:sz w:val="24"/>
                <w:szCs w:val="24"/>
              </w:rPr>
            </w:pPr>
          </w:p>
        </w:tc>
        <w:tc>
          <w:tcPr>
            <w:tcW w:w="1378" w:type="dxa"/>
            <w:vAlign w:val="center"/>
          </w:tcPr>
          <w:p>
            <w:pPr>
              <w:jc w:val="left"/>
              <w:rPr>
                <w:rFonts w:eastAsia="方正仿宋简体"/>
                <w:sz w:val="24"/>
                <w:szCs w:val="24"/>
              </w:rPr>
            </w:pPr>
            <w:r>
              <w:rPr>
                <w:rFonts w:eastAsia="方正仿宋简体"/>
                <w:sz w:val="24"/>
                <w:szCs w:val="24"/>
              </w:rPr>
              <w:t>KHMC</w:t>
            </w:r>
          </w:p>
        </w:tc>
        <w:tc>
          <w:tcPr>
            <w:tcW w:w="2291" w:type="dxa"/>
            <w:vAlign w:val="center"/>
          </w:tcPr>
          <w:p>
            <w:pPr>
              <w:rPr>
                <w:rFonts w:eastAsia="方正仿宋简体"/>
                <w:sz w:val="24"/>
                <w:szCs w:val="24"/>
              </w:rPr>
            </w:pPr>
            <w:r>
              <w:rPr>
                <w:rFonts w:eastAsia="方正仿宋简体"/>
                <w:sz w:val="24"/>
                <w:szCs w:val="24"/>
              </w:rPr>
              <w:t>投资者名称</w:t>
            </w:r>
          </w:p>
        </w:tc>
        <w:tc>
          <w:tcPr>
            <w:tcW w:w="735" w:type="dxa"/>
            <w:vAlign w:val="center"/>
          </w:tcPr>
          <w:p>
            <w:pPr>
              <w:jc w:val="center"/>
              <w:rPr>
                <w:rFonts w:eastAsia="方正仿宋简体"/>
                <w:sz w:val="24"/>
                <w:szCs w:val="24"/>
              </w:rPr>
            </w:pPr>
            <w:r>
              <w:rPr>
                <w:rFonts w:eastAsia="方正仿宋简体"/>
                <w:sz w:val="24"/>
                <w:szCs w:val="24"/>
              </w:rPr>
              <w:t>C</w:t>
            </w:r>
          </w:p>
        </w:tc>
        <w:tc>
          <w:tcPr>
            <w:tcW w:w="709" w:type="dxa"/>
            <w:vAlign w:val="center"/>
          </w:tcPr>
          <w:p>
            <w:pPr>
              <w:jc w:val="center"/>
              <w:rPr>
                <w:rFonts w:eastAsia="方正仿宋简体"/>
                <w:sz w:val="24"/>
                <w:szCs w:val="24"/>
              </w:rPr>
            </w:pPr>
            <w:r>
              <w:rPr>
                <w:rFonts w:eastAsia="方正仿宋简体"/>
                <w:sz w:val="24"/>
                <w:szCs w:val="24"/>
              </w:rPr>
              <w:t>128</w:t>
            </w:r>
          </w:p>
        </w:tc>
        <w:tc>
          <w:tcPr>
            <w:tcW w:w="2785" w:type="dxa"/>
            <w:vAlign w:val="center"/>
          </w:tcPr>
          <w:p>
            <w:pPr>
              <w:rPr>
                <w:rFonts w:eastAsia="方正仿宋简体"/>
                <w:sz w:val="24"/>
                <w:szCs w:val="24"/>
              </w:rPr>
            </w:pPr>
            <w:r>
              <w:rPr>
                <w:rFonts w:eastAsia="方正仿宋简体"/>
                <w:sz w:val="24"/>
                <w:szCs w:val="24"/>
              </w:rPr>
              <w:t>投资者开户名称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0" w:hRule="atLeast"/>
          <w:jc w:val="center"/>
        </w:trPr>
        <w:tc>
          <w:tcPr>
            <w:tcW w:w="776" w:type="dxa"/>
            <w:vAlign w:val="center"/>
          </w:tcPr>
          <w:p>
            <w:pPr>
              <w:widowControl/>
              <w:numPr>
                <w:ilvl w:val="0"/>
                <w:numId w:val="122"/>
              </w:numPr>
              <w:ind w:left="0" w:right="-162" w:rightChars="-77" w:firstLine="0"/>
              <w:jc w:val="center"/>
              <w:rPr>
                <w:rFonts w:eastAsia="方正仿宋简体"/>
                <w:sz w:val="24"/>
                <w:szCs w:val="24"/>
              </w:rPr>
            </w:pPr>
          </w:p>
        </w:tc>
        <w:tc>
          <w:tcPr>
            <w:tcW w:w="1378" w:type="dxa"/>
            <w:vAlign w:val="center"/>
          </w:tcPr>
          <w:p>
            <w:pPr>
              <w:jc w:val="left"/>
              <w:rPr>
                <w:rFonts w:eastAsia="方正仿宋简体"/>
                <w:sz w:val="24"/>
                <w:szCs w:val="24"/>
              </w:rPr>
            </w:pPr>
            <w:r>
              <w:rPr>
                <w:rFonts w:eastAsia="方正仿宋简体"/>
                <w:sz w:val="24"/>
                <w:szCs w:val="24"/>
              </w:rPr>
              <w:t>KHHYZH</w:t>
            </w:r>
          </w:p>
        </w:tc>
        <w:tc>
          <w:tcPr>
            <w:tcW w:w="2291" w:type="dxa"/>
            <w:vAlign w:val="center"/>
          </w:tcPr>
          <w:p>
            <w:pPr>
              <w:rPr>
                <w:rFonts w:eastAsia="方正仿宋简体"/>
                <w:sz w:val="24"/>
                <w:szCs w:val="24"/>
              </w:rPr>
            </w:pPr>
            <w:r>
              <w:rPr>
                <w:rFonts w:eastAsia="方正仿宋简体"/>
                <w:sz w:val="24"/>
                <w:szCs w:val="24"/>
              </w:rPr>
              <w:t>衍生品合约账户</w:t>
            </w:r>
          </w:p>
        </w:tc>
        <w:tc>
          <w:tcPr>
            <w:tcW w:w="735" w:type="dxa"/>
            <w:vAlign w:val="center"/>
          </w:tcPr>
          <w:p>
            <w:pPr>
              <w:jc w:val="center"/>
              <w:rPr>
                <w:rFonts w:eastAsia="方正仿宋简体"/>
                <w:sz w:val="24"/>
                <w:szCs w:val="24"/>
              </w:rPr>
            </w:pPr>
            <w:r>
              <w:rPr>
                <w:rFonts w:eastAsia="方正仿宋简体"/>
                <w:sz w:val="24"/>
                <w:szCs w:val="24"/>
              </w:rPr>
              <w:t>C</w:t>
            </w:r>
          </w:p>
        </w:tc>
        <w:tc>
          <w:tcPr>
            <w:tcW w:w="709" w:type="dxa"/>
            <w:vAlign w:val="center"/>
          </w:tcPr>
          <w:p>
            <w:pPr>
              <w:jc w:val="center"/>
              <w:rPr>
                <w:rFonts w:eastAsia="方正仿宋简体"/>
                <w:sz w:val="24"/>
                <w:szCs w:val="24"/>
              </w:rPr>
            </w:pPr>
            <w:r>
              <w:rPr>
                <w:rFonts w:eastAsia="方正仿宋简体"/>
                <w:sz w:val="24"/>
                <w:szCs w:val="24"/>
              </w:rPr>
              <w:t>16</w:t>
            </w:r>
          </w:p>
        </w:tc>
        <w:tc>
          <w:tcPr>
            <w:tcW w:w="2785" w:type="dxa"/>
            <w:vAlign w:val="center"/>
          </w:tcPr>
          <w:p>
            <w:pPr>
              <w:rPr>
                <w:rFonts w:eastAsia="方正仿宋简体"/>
                <w:sz w:val="24"/>
                <w:szCs w:val="24"/>
              </w:rPr>
            </w:pPr>
            <w:r>
              <w:rPr>
                <w:rFonts w:eastAsia="方正仿宋简体"/>
                <w:sz w:val="24"/>
                <w:szCs w:val="24"/>
              </w:rPr>
              <w:t>投资者衍生品合约账户，参见说明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0" w:hRule="atLeast"/>
          <w:jc w:val="center"/>
        </w:trPr>
        <w:tc>
          <w:tcPr>
            <w:tcW w:w="776" w:type="dxa"/>
            <w:vAlign w:val="center"/>
          </w:tcPr>
          <w:p>
            <w:pPr>
              <w:widowControl/>
              <w:numPr>
                <w:ilvl w:val="0"/>
                <w:numId w:val="122"/>
              </w:numPr>
              <w:ind w:left="0" w:right="-162" w:rightChars="-77" w:firstLine="0"/>
              <w:jc w:val="center"/>
              <w:rPr>
                <w:rFonts w:eastAsia="方正仿宋简体"/>
                <w:sz w:val="24"/>
                <w:szCs w:val="24"/>
              </w:rPr>
            </w:pPr>
          </w:p>
        </w:tc>
        <w:tc>
          <w:tcPr>
            <w:tcW w:w="1378" w:type="dxa"/>
            <w:vAlign w:val="center"/>
          </w:tcPr>
          <w:p>
            <w:pPr>
              <w:jc w:val="left"/>
              <w:rPr>
                <w:rFonts w:eastAsia="方正仿宋简体"/>
                <w:sz w:val="24"/>
                <w:szCs w:val="24"/>
              </w:rPr>
            </w:pPr>
            <w:r>
              <w:rPr>
                <w:rFonts w:eastAsia="方正仿宋简体"/>
                <w:sz w:val="24"/>
                <w:szCs w:val="24"/>
              </w:rPr>
              <w:t>KHZQZH</w:t>
            </w:r>
          </w:p>
        </w:tc>
        <w:tc>
          <w:tcPr>
            <w:tcW w:w="2291" w:type="dxa"/>
            <w:vAlign w:val="center"/>
          </w:tcPr>
          <w:p>
            <w:pPr>
              <w:rPr>
                <w:rFonts w:eastAsia="方正仿宋简体"/>
                <w:sz w:val="24"/>
                <w:szCs w:val="24"/>
              </w:rPr>
            </w:pPr>
            <w:r>
              <w:rPr>
                <w:rFonts w:eastAsia="方正仿宋简体"/>
                <w:sz w:val="24"/>
                <w:szCs w:val="24"/>
              </w:rPr>
              <w:t>深市A股证券账户</w:t>
            </w:r>
          </w:p>
        </w:tc>
        <w:tc>
          <w:tcPr>
            <w:tcW w:w="735" w:type="dxa"/>
            <w:vAlign w:val="center"/>
          </w:tcPr>
          <w:p>
            <w:pPr>
              <w:jc w:val="center"/>
              <w:rPr>
                <w:rFonts w:eastAsia="方正仿宋简体"/>
                <w:sz w:val="24"/>
                <w:szCs w:val="24"/>
              </w:rPr>
            </w:pPr>
            <w:r>
              <w:rPr>
                <w:rFonts w:eastAsia="方正仿宋简体"/>
                <w:sz w:val="24"/>
                <w:szCs w:val="24"/>
              </w:rPr>
              <w:t>C</w:t>
            </w:r>
          </w:p>
        </w:tc>
        <w:tc>
          <w:tcPr>
            <w:tcW w:w="709" w:type="dxa"/>
            <w:vAlign w:val="center"/>
          </w:tcPr>
          <w:p>
            <w:pPr>
              <w:jc w:val="center"/>
              <w:rPr>
                <w:rFonts w:eastAsia="方正仿宋简体"/>
                <w:sz w:val="24"/>
                <w:szCs w:val="24"/>
              </w:rPr>
            </w:pPr>
            <w:r>
              <w:rPr>
                <w:rFonts w:eastAsia="方正仿宋简体"/>
                <w:sz w:val="24"/>
                <w:szCs w:val="24"/>
              </w:rPr>
              <w:t>10</w:t>
            </w:r>
          </w:p>
        </w:tc>
        <w:tc>
          <w:tcPr>
            <w:tcW w:w="2785" w:type="dxa"/>
            <w:vAlign w:val="center"/>
          </w:tcPr>
          <w:p>
            <w:pPr>
              <w:rPr>
                <w:rFonts w:eastAsia="方正仿宋简体"/>
                <w:sz w:val="24"/>
                <w:szCs w:val="24"/>
              </w:rPr>
            </w:pPr>
            <w:r>
              <w:rPr>
                <w:rFonts w:eastAsia="方正仿宋简体"/>
                <w:sz w:val="24"/>
                <w:szCs w:val="24"/>
              </w:rPr>
              <w:t>合约账户对应深市A股普通证券账户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0" w:hRule="atLeast"/>
          <w:jc w:val="center"/>
        </w:trPr>
        <w:tc>
          <w:tcPr>
            <w:tcW w:w="776" w:type="dxa"/>
            <w:vAlign w:val="center"/>
          </w:tcPr>
          <w:p>
            <w:pPr>
              <w:widowControl/>
              <w:numPr>
                <w:ilvl w:val="0"/>
                <w:numId w:val="122"/>
              </w:numPr>
              <w:ind w:left="0" w:right="-162" w:rightChars="-77" w:firstLine="0"/>
              <w:jc w:val="center"/>
              <w:rPr>
                <w:rFonts w:eastAsia="方正仿宋简体"/>
                <w:sz w:val="24"/>
                <w:szCs w:val="24"/>
              </w:rPr>
            </w:pPr>
          </w:p>
        </w:tc>
        <w:tc>
          <w:tcPr>
            <w:tcW w:w="1378" w:type="dxa"/>
            <w:vAlign w:val="center"/>
          </w:tcPr>
          <w:p>
            <w:pPr>
              <w:rPr>
                <w:rFonts w:eastAsia="方正仿宋简体"/>
                <w:sz w:val="24"/>
                <w:szCs w:val="24"/>
              </w:rPr>
            </w:pPr>
            <w:r>
              <w:rPr>
                <w:rFonts w:eastAsia="方正仿宋简体"/>
                <w:sz w:val="24"/>
                <w:szCs w:val="24"/>
              </w:rPr>
              <w:t>KHJSZH</w:t>
            </w:r>
          </w:p>
        </w:tc>
        <w:tc>
          <w:tcPr>
            <w:tcW w:w="2291" w:type="dxa"/>
            <w:vAlign w:val="center"/>
          </w:tcPr>
          <w:p>
            <w:pPr>
              <w:rPr>
                <w:rFonts w:eastAsia="方正仿宋简体"/>
                <w:sz w:val="24"/>
                <w:szCs w:val="24"/>
              </w:rPr>
            </w:pPr>
            <w:r>
              <w:rPr>
                <w:rFonts w:eastAsia="方正仿宋简体"/>
                <w:sz w:val="24"/>
                <w:szCs w:val="24"/>
              </w:rPr>
              <w:t>深市衍生品结算账户</w:t>
            </w:r>
          </w:p>
        </w:tc>
        <w:tc>
          <w:tcPr>
            <w:tcW w:w="735" w:type="dxa"/>
            <w:vAlign w:val="center"/>
          </w:tcPr>
          <w:p>
            <w:pPr>
              <w:jc w:val="center"/>
              <w:rPr>
                <w:rFonts w:eastAsia="方正仿宋简体"/>
                <w:sz w:val="24"/>
                <w:szCs w:val="24"/>
              </w:rPr>
            </w:pPr>
            <w:r>
              <w:rPr>
                <w:rFonts w:eastAsia="方正仿宋简体"/>
                <w:sz w:val="24"/>
                <w:szCs w:val="24"/>
              </w:rPr>
              <w:t>C</w:t>
            </w:r>
          </w:p>
        </w:tc>
        <w:tc>
          <w:tcPr>
            <w:tcW w:w="709" w:type="dxa"/>
            <w:vAlign w:val="center"/>
          </w:tcPr>
          <w:p>
            <w:pPr>
              <w:jc w:val="center"/>
              <w:rPr>
                <w:rFonts w:eastAsia="方正仿宋简体"/>
                <w:sz w:val="24"/>
                <w:szCs w:val="24"/>
              </w:rPr>
            </w:pPr>
            <w:r>
              <w:rPr>
                <w:rFonts w:eastAsia="方正仿宋简体"/>
                <w:sz w:val="24"/>
                <w:szCs w:val="24"/>
              </w:rPr>
              <w:t>6</w:t>
            </w:r>
          </w:p>
        </w:tc>
        <w:tc>
          <w:tcPr>
            <w:tcW w:w="2785" w:type="dxa"/>
            <w:vAlign w:val="center"/>
          </w:tcPr>
          <w:p>
            <w:pPr>
              <w:rPr>
                <w:rFonts w:eastAsia="方正仿宋简体"/>
                <w:sz w:val="24"/>
                <w:szCs w:val="24"/>
              </w:rPr>
            </w:pPr>
            <w:r>
              <w:rPr>
                <w:rFonts w:eastAsia="方正仿宋简体"/>
                <w:sz w:val="24"/>
                <w:szCs w:val="24"/>
              </w:rPr>
              <w:t>中国结算为结算参与人配置的衍生品结算账户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0" w:hRule="atLeast"/>
          <w:jc w:val="center"/>
        </w:trPr>
        <w:tc>
          <w:tcPr>
            <w:tcW w:w="776" w:type="dxa"/>
            <w:vAlign w:val="center"/>
          </w:tcPr>
          <w:p>
            <w:pPr>
              <w:widowControl/>
              <w:numPr>
                <w:ilvl w:val="0"/>
                <w:numId w:val="122"/>
              </w:numPr>
              <w:ind w:left="0" w:right="-162" w:rightChars="-77" w:firstLine="0"/>
              <w:jc w:val="center"/>
              <w:rPr>
                <w:rFonts w:eastAsia="方正仿宋简体"/>
                <w:sz w:val="24"/>
                <w:szCs w:val="24"/>
              </w:rPr>
            </w:pPr>
          </w:p>
        </w:tc>
        <w:tc>
          <w:tcPr>
            <w:tcW w:w="1378" w:type="dxa"/>
            <w:vAlign w:val="center"/>
          </w:tcPr>
          <w:p>
            <w:pPr>
              <w:jc w:val="left"/>
              <w:rPr>
                <w:rFonts w:eastAsia="方正仿宋简体"/>
                <w:sz w:val="24"/>
                <w:szCs w:val="24"/>
              </w:rPr>
            </w:pPr>
            <w:r>
              <w:rPr>
                <w:rFonts w:eastAsia="方正仿宋简体"/>
                <w:sz w:val="24"/>
                <w:szCs w:val="24"/>
              </w:rPr>
              <w:t>KHXYZH</w:t>
            </w:r>
          </w:p>
        </w:tc>
        <w:tc>
          <w:tcPr>
            <w:tcW w:w="2291" w:type="dxa"/>
            <w:vAlign w:val="center"/>
          </w:tcPr>
          <w:p>
            <w:pPr>
              <w:rPr>
                <w:rFonts w:eastAsia="方正仿宋简体"/>
                <w:sz w:val="24"/>
                <w:szCs w:val="24"/>
              </w:rPr>
            </w:pPr>
            <w:r>
              <w:rPr>
                <w:rFonts w:eastAsia="方正仿宋简体"/>
                <w:sz w:val="24"/>
                <w:szCs w:val="24"/>
              </w:rPr>
              <w:t>深市信用证券账户</w:t>
            </w:r>
          </w:p>
        </w:tc>
        <w:tc>
          <w:tcPr>
            <w:tcW w:w="735" w:type="dxa"/>
            <w:vAlign w:val="center"/>
          </w:tcPr>
          <w:p>
            <w:pPr>
              <w:jc w:val="center"/>
              <w:rPr>
                <w:rFonts w:eastAsia="方正仿宋简体"/>
                <w:sz w:val="24"/>
                <w:szCs w:val="24"/>
              </w:rPr>
            </w:pPr>
            <w:r>
              <w:rPr>
                <w:rFonts w:eastAsia="方正仿宋简体"/>
                <w:sz w:val="24"/>
                <w:szCs w:val="24"/>
              </w:rPr>
              <w:t>C</w:t>
            </w:r>
          </w:p>
        </w:tc>
        <w:tc>
          <w:tcPr>
            <w:tcW w:w="709" w:type="dxa"/>
            <w:vAlign w:val="center"/>
          </w:tcPr>
          <w:p>
            <w:pPr>
              <w:jc w:val="center"/>
              <w:rPr>
                <w:rFonts w:eastAsia="方正仿宋简体"/>
                <w:sz w:val="24"/>
                <w:szCs w:val="24"/>
              </w:rPr>
            </w:pPr>
            <w:r>
              <w:rPr>
                <w:rFonts w:eastAsia="方正仿宋简体"/>
                <w:sz w:val="24"/>
                <w:szCs w:val="24"/>
              </w:rPr>
              <w:t>10</w:t>
            </w:r>
          </w:p>
        </w:tc>
        <w:tc>
          <w:tcPr>
            <w:tcW w:w="2785" w:type="dxa"/>
            <w:vAlign w:val="center"/>
          </w:tcPr>
          <w:p>
            <w:pPr>
              <w:rPr>
                <w:rFonts w:eastAsia="方正仿宋简体"/>
                <w:sz w:val="24"/>
                <w:szCs w:val="24"/>
              </w:rPr>
            </w:pPr>
            <w:r>
              <w:rPr>
                <w:rFonts w:eastAsia="方正仿宋简体"/>
                <w:sz w:val="24"/>
                <w:szCs w:val="24"/>
              </w:rPr>
              <w:t>投资者深市信用（融资融券）证券账户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0" w:hRule="atLeast"/>
          <w:jc w:val="center"/>
        </w:trPr>
        <w:tc>
          <w:tcPr>
            <w:tcW w:w="776" w:type="dxa"/>
            <w:vAlign w:val="center"/>
          </w:tcPr>
          <w:p>
            <w:pPr>
              <w:widowControl/>
              <w:numPr>
                <w:ilvl w:val="0"/>
                <w:numId w:val="122"/>
              </w:numPr>
              <w:ind w:left="0" w:right="-162" w:rightChars="-77" w:firstLine="0"/>
              <w:jc w:val="center"/>
              <w:rPr>
                <w:rFonts w:eastAsia="方正仿宋简体"/>
                <w:sz w:val="24"/>
                <w:szCs w:val="24"/>
              </w:rPr>
            </w:pPr>
          </w:p>
        </w:tc>
        <w:tc>
          <w:tcPr>
            <w:tcW w:w="1378" w:type="dxa"/>
            <w:vAlign w:val="center"/>
          </w:tcPr>
          <w:p>
            <w:pPr>
              <w:jc w:val="left"/>
              <w:rPr>
                <w:rFonts w:eastAsia="方正仿宋简体"/>
                <w:sz w:val="24"/>
                <w:szCs w:val="24"/>
              </w:rPr>
            </w:pPr>
            <w:r>
              <w:rPr>
                <w:rFonts w:eastAsia="方正仿宋简体"/>
                <w:sz w:val="24"/>
                <w:szCs w:val="24"/>
              </w:rPr>
              <w:t>BZJZE</w:t>
            </w:r>
          </w:p>
        </w:tc>
        <w:tc>
          <w:tcPr>
            <w:tcW w:w="2291" w:type="dxa"/>
            <w:vAlign w:val="center"/>
          </w:tcPr>
          <w:p>
            <w:pPr>
              <w:rPr>
                <w:rFonts w:eastAsia="方正仿宋简体"/>
                <w:sz w:val="24"/>
                <w:szCs w:val="24"/>
              </w:rPr>
            </w:pPr>
            <w:r>
              <w:rPr>
                <w:rFonts w:eastAsia="方正仿宋简体"/>
                <w:sz w:val="24"/>
                <w:szCs w:val="24"/>
              </w:rPr>
              <w:t>衍生品资金账户保证金总额</w:t>
            </w:r>
          </w:p>
        </w:tc>
        <w:tc>
          <w:tcPr>
            <w:tcW w:w="735" w:type="dxa"/>
            <w:vAlign w:val="center"/>
          </w:tcPr>
          <w:p>
            <w:pPr>
              <w:jc w:val="center"/>
              <w:rPr>
                <w:rFonts w:eastAsia="方正仿宋简体"/>
                <w:sz w:val="24"/>
                <w:szCs w:val="24"/>
              </w:rPr>
            </w:pPr>
            <w:r>
              <w:rPr>
                <w:rFonts w:eastAsia="方正仿宋简体"/>
                <w:sz w:val="24"/>
                <w:szCs w:val="24"/>
              </w:rPr>
              <w:t>N</w:t>
            </w:r>
          </w:p>
        </w:tc>
        <w:tc>
          <w:tcPr>
            <w:tcW w:w="709" w:type="dxa"/>
            <w:vAlign w:val="center"/>
          </w:tcPr>
          <w:p>
            <w:pPr>
              <w:jc w:val="center"/>
              <w:rPr>
                <w:rFonts w:eastAsia="方正仿宋简体"/>
                <w:sz w:val="24"/>
                <w:szCs w:val="24"/>
              </w:rPr>
            </w:pPr>
            <w:r>
              <w:rPr>
                <w:rFonts w:eastAsia="方正仿宋简体"/>
                <w:sz w:val="24"/>
                <w:szCs w:val="24"/>
              </w:rPr>
              <w:t>18,2</w:t>
            </w:r>
          </w:p>
        </w:tc>
        <w:tc>
          <w:tcPr>
            <w:tcW w:w="2785" w:type="dxa"/>
            <w:vAlign w:val="center"/>
          </w:tcPr>
          <w:p>
            <w:pPr>
              <w:rPr>
                <w:rFonts w:eastAsia="方正仿宋简体"/>
                <w:sz w:val="24"/>
                <w:szCs w:val="24"/>
              </w:rPr>
            </w:pPr>
            <w:r>
              <w:rPr>
                <w:rFonts w:eastAsia="方正仿宋简体"/>
                <w:sz w:val="24"/>
                <w:szCs w:val="24"/>
              </w:rPr>
              <w:t>当日投资者衍生品资金账户保证金总额，单位：元，精确到分，人民币计价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0" w:hRule="atLeast"/>
          <w:jc w:val="center"/>
        </w:trPr>
        <w:tc>
          <w:tcPr>
            <w:tcW w:w="776" w:type="dxa"/>
            <w:vAlign w:val="center"/>
          </w:tcPr>
          <w:p>
            <w:pPr>
              <w:widowControl/>
              <w:numPr>
                <w:ilvl w:val="0"/>
                <w:numId w:val="122"/>
              </w:numPr>
              <w:ind w:left="0" w:right="-162" w:rightChars="-77" w:firstLine="0"/>
              <w:jc w:val="center"/>
              <w:rPr>
                <w:rFonts w:eastAsia="方正仿宋简体"/>
                <w:sz w:val="24"/>
                <w:szCs w:val="24"/>
              </w:rPr>
            </w:pPr>
          </w:p>
        </w:tc>
        <w:tc>
          <w:tcPr>
            <w:tcW w:w="1378" w:type="dxa"/>
            <w:vAlign w:val="center"/>
          </w:tcPr>
          <w:p>
            <w:pPr>
              <w:jc w:val="left"/>
              <w:rPr>
                <w:rFonts w:eastAsia="方正仿宋简体"/>
                <w:sz w:val="24"/>
                <w:szCs w:val="24"/>
              </w:rPr>
            </w:pPr>
            <w:r>
              <w:rPr>
                <w:rFonts w:eastAsia="方正仿宋简体"/>
                <w:sz w:val="24"/>
                <w:szCs w:val="24"/>
              </w:rPr>
              <w:t>BZJWCJE</w:t>
            </w:r>
          </w:p>
        </w:tc>
        <w:tc>
          <w:tcPr>
            <w:tcW w:w="2291" w:type="dxa"/>
            <w:vAlign w:val="center"/>
          </w:tcPr>
          <w:p>
            <w:pPr>
              <w:rPr>
                <w:rFonts w:eastAsia="方正仿宋简体"/>
                <w:sz w:val="24"/>
                <w:szCs w:val="24"/>
              </w:rPr>
            </w:pPr>
            <w:r>
              <w:rPr>
                <w:rFonts w:eastAsia="方正仿宋简体"/>
                <w:sz w:val="24"/>
                <w:szCs w:val="24"/>
              </w:rPr>
              <w:t>深市衍生品维持保证金金额</w:t>
            </w:r>
          </w:p>
        </w:tc>
        <w:tc>
          <w:tcPr>
            <w:tcW w:w="735" w:type="dxa"/>
            <w:vAlign w:val="center"/>
          </w:tcPr>
          <w:p>
            <w:pPr>
              <w:jc w:val="center"/>
              <w:rPr>
                <w:rFonts w:eastAsia="方正仿宋简体"/>
                <w:sz w:val="24"/>
                <w:szCs w:val="24"/>
              </w:rPr>
            </w:pPr>
            <w:r>
              <w:rPr>
                <w:rFonts w:eastAsia="方正仿宋简体"/>
                <w:sz w:val="24"/>
                <w:szCs w:val="24"/>
              </w:rPr>
              <w:t>N</w:t>
            </w:r>
          </w:p>
        </w:tc>
        <w:tc>
          <w:tcPr>
            <w:tcW w:w="709" w:type="dxa"/>
            <w:vAlign w:val="center"/>
          </w:tcPr>
          <w:p>
            <w:pPr>
              <w:jc w:val="center"/>
              <w:rPr>
                <w:rFonts w:eastAsia="方正仿宋简体"/>
                <w:sz w:val="24"/>
                <w:szCs w:val="24"/>
              </w:rPr>
            </w:pPr>
            <w:r>
              <w:rPr>
                <w:rFonts w:eastAsia="方正仿宋简体"/>
                <w:sz w:val="24"/>
                <w:szCs w:val="24"/>
              </w:rPr>
              <w:t>18,2</w:t>
            </w:r>
          </w:p>
        </w:tc>
        <w:tc>
          <w:tcPr>
            <w:tcW w:w="2785" w:type="dxa"/>
            <w:vAlign w:val="center"/>
          </w:tcPr>
          <w:p>
            <w:pPr>
              <w:rPr>
                <w:rFonts w:eastAsia="方正仿宋简体"/>
                <w:sz w:val="24"/>
                <w:szCs w:val="24"/>
              </w:rPr>
            </w:pPr>
            <w:r>
              <w:rPr>
                <w:rFonts w:eastAsia="方正仿宋简体"/>
                <w:sz w:val="24"/>
                <w:szCs w:val="24"/>
              </w:rPr>
              <w:t>上一交易日结算后投资者衍生品维持保证金金额，按期货公司保证金水平计算，单位：元，精确到分，人民币计价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0" w:hRule="atLeast"/>
          <w:jc w:val="center"/>
        </w:trPr>
        <w:tc>
          <w:tcPr>
            <w:tcW w:w="776" w:type="dxa"/>
            <w:vAlign w:val="center"/>
          </w:tcPr>
          <w:p>
            <w:pPr>
              <w:widowControl/>
              <w:numPr>
                <w:ilvl w:val="0"/>
                <w:numId w:val="122"/>
              </w:numPr>
              <w:ind w:left="0" w:right="-162" w:rightChars="-77" w:firstLine="0"/>
              <w:jc w:val="center"/>
              <w:rPr>
                <w:rFonts w:eastAsia="方正仿宋简体"/>
                <w:sz w:val="24"/>
                <w:szCs w:val="24"/>
              </w:rPr>
            </w:pPr>
          </w:p>
        </w:tc>
        <w:tc>
          <w:tcPr>
            <w:tcW w:w="1378" w:type="dxa"/>
            <w:vAlign w:val="center"/>
          </w:tcPr>
          <w:p>
            <w:pPr>
              <w:jc w:val="left"/>
              <w:rPr>
                <w:rFonts w:eastAsia="方正仿宋简体"/>
                <w:sz w:val="24"/>
                <w:szCs w:val="24"/>
              </w:rPr>
            </w:pPr>
            <w:r>
              <w:rPr>
                <w:rFonts w:eastAsia="方正仿宋简体"/>
                <w:sz w:val="24"/>
                <w:szCs w:val="24"/>
              </w:rPr>
              <w:t>BZJKYYE</w:t>
            </w:r>
          </w:p>
        </w:tc>
        <w:tc>
          <w:tcPr>
            <w:tcW w:w="2291" w:type="dxa"/>
            <w:vAlign w:val="center"/>
          </w:tcPr>
          <w:p>
            <w:pPr>
              <w:rPr>
                <w:rFonts w:eastAsia="方正仿宋简体"/>
                <w:sz w:val="24"/>
                <w:szCs w:val="24"/>
              </w:rPr>
            </w:pPr>
            <w:r>
              <w:rPr>
                <w:rFonts w:eastAsia="方正仿宋简体"/>
                <w:sz w:val="24"/>
                <w:szCs w:val="24"/>
              </w:rPr>
              <w:t>衍生品资金账户可用保证金余额</w:t>
            </w:r>
          </w:p>
        </w:tc>
        <w:tc>
          <w:tcPr>
            <w:tcW w:w="735" w:type="dxa"/>
            <w:vAlign w:val="center"/>
          </w:tcPr>
          <w:p>
            <w:pPr>
              <w:jc w:val="center"/>
              <w:rPr>
                <w:rFonts w:eastAsia="方正仿宋简体"/>
                <w:sz w:val="24"/>
                <w:szCs w:val="24"/>
              </w:rPr>
            </w:pPr>
            <w:r>
              <w:rPr>
                <w:rFonts w:eastAsia="方正仿宋简体"/>
                <w:sz w:val="24"/>
                <w:szCs w:val="24"/>
              </w:rPr>
              <w:t>N</w:t>
            </w:r>
          </w:p>
        </w:tc>
        <w:tc>
          <w:tcPr>
            <w:tcW w:w="709" w:type="dxa"/>
            <w:vAlign w:val="center"/>
          </w:tcPr>
          <w:p>
            <w:pPr>
              <w:jc w:val="center"/>
              <w:rPr>
                <w:rFonts w:eastAsia="方正仿宋简体"/>
                <w:sz w:val="24"/>
                <w:szCs w:val="24"/>
              </w:rPr>
            </w:pPr>
            <w:r>
              <w:rPr>
                <w:rFonts w:eastAsia="方正仿宋简体"/>
                <w:sz w:val="24"/>
                <w:szCs w:val="24"/>
              </w:rPr>
              <w:t>18,2</w:t>
            </w:r>
          </w:p>
        </w:tc>
        <w:tc>
          <w:tcPr>
            <w:tcW w:w="2785" w:type="dxa"/>
            <w:vAlign w:val="center"/>
          </w:tcPr>
          <w:p>
            <w:pPr>
              <w:rPr>
                <w:rFonts w:eastAsia="方正仿宋简体"/>
                <w:sz w:val="24"/>
                <w:szCs w:val="24"/>
              </w:rPr>
            </w:pPr>
            <w:r>
              <w:rPr>
                <w:rFonts w:eastAsia="方正仿宋简体"/>
                <w:sz w:val="24"/>
                <w:szCs w:val="24"/>
              </w:rPr>
              <w:t>上一交易日结算后投资者衍生品资金账户可用保证金余额，单位：元，精确到分，人民币计价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0" w:hRule="atLeast"/>
          <w:jc w:val="center"/>
        </w:trPr>
        <w:tc>
          <w:tcPr>
            <w:tcW w:w="776" w:type="dxa"/>
            <w:vAlign w:val="center"/>
          </w:tcPr>
          <w:p>
            <w:pPr>
              <w:widowControl/>
              <w:numPr>
                <w:ilvl w:val="0"/>
                <w:numId w:val="122"/>
              </w:numPr>
              <w:ind w:left="0" w:right="-162" w:rightChars="-77" w:firstLine="0"/>
              <w:jc w:val="center"/>
              <w:rPr>
                <w:rFonts w:eastAsia="方正仿宋简体"/>
                <w:sz w:val="24"/>
                <w:szCs w:val="24"/>
              </w:rPr>
            </w:pPr>
          </w:p>
        </w:tc>
        <w:tc>
          <w:tcPr>
            <w:tcW w:w="1378" w:type="dxa"/>
            <w:vAlign w:val="center"/>
          </w:tcPr>
          <w:p>
            <w:pPr>
              <w:jc w:val="left"/>
              <w:rPr>
                <w:rFonts w:eastAsia="方正仿宋简体"/>
                <w:sz w:val="24"/>
                <w:szCs w:val="24"/>
              </w:rPr>
            </w:pPr>
            <w:r>
              <w:rPr>
                <w:rFonts w:eastAsia="方正仿宋简体"/>
                <w:sz w:val="24"/>
                <w:szCs w:val="24"/>
              </w:rPr>
              <w:t>BZJCRJE</w:t>
            </w:r>
          </w:p>
        </w:tc>
        <w:tc>
          <w:tcPr>
            <w:tcW w:w="2291" w:type="dxa"/>
            <w:vAlign w:val="center"/>
          </w:tcPr>
          <w:p>
            <w:pPr>
              <w:rPr>
                <w:rFonts w:eastAsia="方正仿宋简体"/>
                <w:sz w:val="24"/>
                <w:szCs w:val="24"/>
              </w:rPr>
            </w:pPr>
            <w:r>
              <w:rPr>
                <w:rFonts w:eastAsia="方正仿宋简体"/>
                <w:sz w:val="24"/>
                <w:szCs w:val="24"/>
              </w:rPr>
              <w:t>衍生品资金账户当日资金划入划出净额</w:t>
            </w:r>
          </w:p>
        </w:tc>
        <w:tc>
          <w:tcPr>
            <w:tcW w:w="735" w:type="dxa"/>
            <w:vAlign w:val="center"/>
          </w:tcPr>
          <w:p>
            <w:pPr>
              <w:jc w:val="center"/>
              <w:rPr>
                <w:rFonts w:eastAsia="方正仿宋简体"/>
                <w:sz w:val="24"/>
                <w:szCs w:val="24"/>
              </w:rPr>
            </w:pPr>
            <w:r>
              <w:rPr>
                <w:rFonts w:eastAsia="方正仿宋简体"/>
                <w:sz w:val="24"/>
                <w:szCs w:val="24"/>
              </w:rPr>
              <w:t>N</w:t>
            </w:r>
          </w:p>
        </w:tc>
        <w:tc>
          <w:tcPr>
            <w:tcW w:w="709" w:type="dxa"/>
            <w:vAlign w:val="center"/>
          </w:tcPr>
          <w:p>
            <w:pPr>
              <w:jc w:val="center"/>
              <w:rPr>
                <w:rFonts w:eastAsia="方正仿宋简体"/>
                <w:sz w:val="24"/>
                <w:szCs w:val="24"/>
              </w:rPr>
            </w:pPr>
            <w:r>
              <w:rPr>
                <w:rFonts w:eastAsia="方正仿宋简体"/>
                <w:sz w:val="24"/>
                <w:szCs w:val="24"/>
              </w:rPr>
              <w:t>18,2</w:t>
            </w:r>
          </w:p>
        </w:tc>
        <w:tc>
          <w:tcPr>
            <w:tcW w:w="2785" w:type="dxa"/>
            <w:vAlign w:val="center"/>
          </w:tcPr>
          <w:p>
            <w:pPr>
              <w:rPr>
                <w:rFonts w:eastAsia="方正仿宋简体"/>
                <w:sz w:val="24"/>
                <w:szCs w:val="24"/>
              </w:rPr>
            </w:pPr>
            <w:r>
              <w:rPr>
                <w:rFonts w:eastAsia="方正仿宋简体"/>
                <w:sz w:val="24"/>
                <w:szCs w:val="24"/>
              </w:rPr>
              <w:t>当日投资者衍生品资金账户资金划入划出净额，划入资金为正，划出资金为负，合并轧差计算，单位：元，精确到分，人民币计价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0" w:hRule="atLeast"/>
          <w:jc w:val="center"/>
        </w:trPr>
        <w:tc>
          <w:tcPr>
            <w:tcW w:w="776" w:type="dxa"/>
            <w:vAlign w:val="center"/>
          </w:tcPr>
          <w:p>
            <w:pPr>
              <w:widowControl/>
              <w:numPr>
                <w:ilvl w:val="0"/>
                <w:numId w:val="122"/>
              </w:numPr>
              <w:ind w:left="0" w:right="-162" w:rightChars="-77" w:firstLine="0"/>
              <w:jc w:val="center"/>
              <w:rPr>
                <w:rFonts w:eastAsia="方正仿宋简体"/>
                <w:sz w:val="24"/>
                <w:szCs w:val="24"/>
              </w:rPr>
            </w:pPr>
          </w:p>
        </w:tc>
        <w:tc>
          <w:tcPr>
            <w:tcW w:w="1378" w:type="dxa"/>
            <w:vAlign w:val="center"/>
          </w:tcPr>
          <w:p>
            <w:pPr>
              <w:jc w:val="left"/>
              <w:rPr>
                <w:rFonts w:eastAsia="方正仿宋简体"/>
                <w:sz w:val="24"/>
                <w:szCs w:val="24"/>
              </w:rPr>
            </w:pPr>
            <w:r>
              <w:rPr>
                <w:rFonts w:eastAsia="方正仿宋简体"/>
                <w:sz w:val="24"/>
                <w:szCs w:val="24"/>
              </w:rPr>
              <w:t>HYSZ</w:t>
            </w:r>
          </w:p>
        </w:tc>
        <w:tc>
          <w:tcPr>
            <w:tcW w:w="2291" w:type="dxa"/>
            <w:vAlign w:val="center"/>
          </w:tcPr>
          <w:p>
            <w:pPr>
              <w:rPr>
                <w:rFonts w:eastAsia="方正仿宋简体"/>
                <w:sz w:val="24"/>
                <w:szCs w:val="24"/>
              </w:rPr>
            </w:pPr>
            <w:r>
              <w:rPr>
                <w:rFonts w:eastAsia="方正仿宋简体"/>
                <w:sz w:val="24"/>
                <w:szCs w:val="24"/>
              </w:rPr>
              <w:t>衍生品合约市值权益</w:t>
            </w:r>
          </w:p>
        </w:tc>
        <w:tc>
          <w:tcPr>
            <w:tcW w:w="735" w:type="dxa"/>
            <w:vAlign w:val="center"/>
          </w:tcPr>
          <w:p>
            <w:pPr>
              <w:jc w:val="center"/>
              <w:rPr>
                <w:rFonts w:eastAsia="方正仿宋简体"/>
                <w:sz w:val="24"/>
                <w:szCs w:val="24"/>
              </w:rPr>
            </w:pPr>
            <w:r>
              <w:rPr>
                <w:rFonts w:eastAsia="方正仿宋简体"/>
                <w:sz w:val="24"/>
                <w:szCs w:val="24"/>
              </w:rPr>
              <w:t>N</w:t>
            </w:r>
          </w:p>
        </w:tc>
        <w:tc>
          <w:tcPr>
            <w:tcW w:w="709" w:type="dxa"/>
            <w:vAlign w:val="center"/>
          </w:tcPr>
          <w:p>
            <w:pPr>
              <w:jc w:val="center"/>
              <w:rPr>
                <w:rFonts w:eastAsia="方正仿宋简体"/>
                <w:sz w:val="24"/>
                <w:szCs w:val="24"/>
              </w:rPr>
            </w:pPr>
            <w:r>
              <w:rPr>
                <w:rFonts w:eastAsia="方正仿宋简体"/>
                <w:sz w:val="24"/>
                <w:szCs w:val="24"/>
              </w:rPr>
              <w:t>18,2</w:t>
            </w:r>
          </w:p>
        </w:tc>
        <w:tc>
          <w:tcPr>
            <w:tcW w:w="2785" w:type="dxa"/>
            <w:vAlign w:val="center"/>
          </w:tcPr>
          <w:p>
            <w:pPr>
              <w:rPr>
                <w:rFonts w:eastAsia="方正仿宋简体"/>
                <w:sz w:val="24"/>
                <w:szCs w:val="24"/>
              </w:rPr>
            </w:pPr>
            <w:r>
              <w:rPr>
                <w:rFonts w:eastAsia="方正仿宋简体"/>
                <w:sz w:val="24"/>
                <w:szCs w:val="24"/>
              </w:rPr>
              <w:t>上一交易日结算后投资者衍生品合约市值权益数据，深沪合计，单位：元，精确到分，人民币计价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0" w:hRule="atLeast"/>
          <w:jc w:val="center"/>
        </w:trPr>
        <w:tc>
          <w:tcPr>
            <w:tcW w:w="776" w:type="dxa"/>
            <w:vAlign w:val="center"/>
          </w:tcPr>
          <w:p>
            <w:pPr>
              <w:widowControl/>
              <w:numPr>
                <w:ilvl w:val="0"/>
                <w:numId w:val="122"/>
              </w:numPr>
              <w:ind w:left="0" w:right="-162" w:rightChars="-77" w:firstLine="0"/>
              <w:jc w:val="center"/>
              <w:rPr>
                <w:rFonts w:eastAsia="方正仿宋简体"/>
                <w:sz w:val="24"/>
                <w:szCs w:val="24"/>
              </w:rPr>
            </w:pPr>
          </w:p>
        </w:tc>
        <w:tc>
          <w:tcPr>
            <w:tcW w:w="1378" w:type="dxa"/>
            <w:vAlign w:val="center"/>
          </w:tcPr>
          <w:p>
            <w:pPr>
              <w:jc w:val="left"/>
              <w:rPr>
                <w:rFonts w:eastAsia="方正仿宋简体"/>
                <w:sz w:val="24"/>
                <w:szCs w:val="24"/>
              </w:rPr>
            </w:pPr>
            <w:r>
              <w:rPr>
                <w:rFonts w:eastAsia="方正仿宋简体"/>
                <w:sz w:val="24"/>
                <w:szCs w:val="24"/>
              </w:rPr>
              <w:t>ZQZHSZ</w:t>
            </w:r>
          </w:p>
        </w:tc>
        <w:tc>
          <w:tcPr>
            <w:tcW w:w="2291" w:type="dxa"/>
            <w:vAlign w:val="center"/>
          </w:tcPr>
          <w:p>
            <w:pPr>
              <w:rPr>
                <w:rFonts w:eastAsia="方正仿宋简体"/>
                <w:sz w:val="24"/>
                <w:szCs w:val="24"/>
              </w:rPr>
            </w:pPr>
            <w:r>
              <w:rPr>
                <w:rFonts w:eastAsia="方正仿宋简体"/>
                <w:sz w:val="24"/>
                <w:szCs w:val="24"/>
              </w:rPr>
              <w:t>证券账户市值总额</w:t>
            </w:r>
          </w:p>
        </w:tc>
        <w:tc>
          <w:tcPr>
            <w:tcW w:w="735" w:type="dxa"/>
            <w:vAlign w:val="center"/>
          </w:tcPr>
          <w:p>
            <w:pPr>
              <w:jc w:val="center"/>
              <w:rPr>
                <w:rFonts w:eastAsia="方正仿宋简体"/>
                <w:sz w:val="24"/>
                <w:szCs w:val="24"/>
              </w:rPr>
            </w:pPr>
            <w:r>
              <w:rPr>
                <w:rFonts w:eastAsia="方正仿宋简体"/>
                <w:sz w:val="24"/>
                <w:szCs w:val="24"/>
              </w:rPr>
              <w:t>N</w:t>
            </w:r>
          </w:p>
        </w:tc>
        <w:tc>
          <w:tcPr>
            <w:tcW w:w="709" w:type="dxa"/>
            <w:vAlign w:val="center"/>
          </w:tcPr>
          <w:p>
            <w:pPr>
              <w:jc w:val="center"/>
              <w:rPr>
                <w:rFonts w:eastAsia="方正仿宋简体"/>
                <w:sz w:val="24"/>
                <w:szCs w:val="24"/>
              </w:rPr>
            </w:pPr>
            <w:r>
              <w:rPr>
                <w:rFonts w:eastAsia="方正仿宋简体"/>
                <w:sz w:val="24"/>
                <w:szCs w:val="24"/>
              </w:rPr>
              <w:t>18,2</w:t>
            </w:r>
          </w:p>
        </w:tc>
        <w:tc>
          <w:tcPr>
            <w:tcW w:w="2785" w:type="dxa"/>
            <w:vAlign w:val="center"/>
          </w:tcPr>
          <w:p>
            <w:pPr>
              <w:rPr>
                <w:rFonts w:eastAsia="方正仿宋简体"/>
                <w:sz w:val="24"/>
                <w:szCs w:val="24"/>
              </w:rPr>
            </w:pPr>
            <w:r>
              <w:rPr>
                <w:rFonts w:eastAsia="方正仿宋简体"/>
                <w:sz w:val="24"/>
                <w:szCs w:val="24"/>
              </w:rPr>
              <w:t>上一交易日结算后投资者证券账户市值总额，深沪合计，持有证券按照收盘价计算，精确到分，单位：元，精确到分，人民币计价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0" w:hRule="atLeast"/>
          <w:jc w:val="center"/>
        </w:trPr>
        <w:tc>
          <w:tcPr>
            <w:tcW w:w="776" w:type="dxa"/>
            <w:vAlign w:val="center"/>
          </w:tcPr>
          <w:p>
            <w:pPr>
              <w:widowControl/>
              <w:numPr>
                <w:ilvl w:val="0"/>
                <w:numId w:val="122"/>
              </w:numPr>
              <w:ind w:left="0" w:right="-162" w:rightChars="-77" w:firstLine="0"/>
              <w:jc w:val="center"/>
              <w:rPr>
                <w:rFonts w:eastAsia="方正仿宋简体"/>
                <w:sz w:val="24"/>
                <w:szCs w:val="24"/>
              </w:rPr>
            </w:pPr>
          </w:p>
        </w:tc>
        <w:tc>
          <w:tcPr>
            <w:tcW w:w="1378" w:type="dxa"/>
            <w:vAlign w:val="center"/>
          </w:tcPr>
          <w:p>
            <w:pPr>
              <w:jc w:val="left"/>
              <w:rPr>
                <w:rFonts w:eastAsia="方正仿宋简体"/>
                <w:sz w:val="24"/>
                <w:szCs w:val="24"/>
              </w:rPr>
            </w:pPr>
            <w:r>
              <w:rPr>
                <w:rFonts w:eastAsia="方正仿宋简体"/>
                <w:sz w:val="24"/>
                <w:szCs w:val="24"/>
              </w:rPr>
              <w:t>ZQZHZJYE</w:t>
            </w:r>
          </w:p>
        </w:tc>
        <w:tc>
          <w:tcPr>
            <w:tcW w:w="2291" w:type="dxa"/>
            <w:vAlign w:val="center"/>
          </w:tcPr>
          <w:p>
            <w:pPr>
              <w:rPr>
                <w:rFonts w:eastAsia="方正仿宋简体"/>
                <w:sz w:val="24"/>
                <w:szCs w:val="24"/>
              </w:rPr>
            </w:pPr>
            <w:r>
              <w:rPr>
                <w:rFonts w:eastAsia="方正仿宋简体"/>
                <w:sz w:val="24"/>
                <w:szCs w:val="24"/>
              </w:rPr>
              <w:t>证券资金账户可用资金余额</w:t>
            </w:r>
          </w:p>
        </w:tc>
        <w:tc>
          <w:tcPr>
            <w:tcW w:w="735" w:type="dxa"/>
            <w:vAlign w:val="center"/>
          </w:tcPr>
          <w:p>
            <w:pPr>
              <w:jc w:val="center"/>
              <w:rPr>
                <w:rFonts w:eastAsia="方正仿宋简体"/>
                <w:sz w:val="24"/>
                <w:szCs w:val="24"/>
              </w:rPr>
            </w:pPr>
            <w:r>
              <w:rPr>
                <w:rFonts w:eastAsia="方正仿宋简体"/>
                <w:sz w:val="24"/>
                <w:szCs w:val="24"/>
              </w:rPr>
              <w:t>N</w:t>
            </w:r>
          </w:p>
        </w:tc>
        <w:tc>
          <w:tcPr>
            <w:tcW w:w="709" w:type="dxa"/>
            <w:vAlign w:val="center"/>
          </w:tcPr>
          <w:p>
            <w:pPr>
              <w:jc w:val="center"/>
              <w:rPr>
                <w:rFonts w:eastAsia="方正仿宋简体"/>
                <w:sz w:val="24"/>
                <w:szCs w:val="24"/>
              </w:rPr>
            </w:pPr>
            <w:r>
              <w:rPr>
                <w:rFonts w:eastAsia="方正仿宋简体"/>
                <w:sz w:val="24"/>
                <w:szCs w:val="24"/>
              </w:rPr>
              <w:t>18,2</w:t>
            </w:r>
          </w:p>
        </w:tc>
        <w:tc>
          <w:tcPr>
            <w:tcW w:w="2785" w:type="dxa"/>
            <w:vAlign w:val="center"/>
          </w:tcPr>
          <w:p>
            <w:pPr>
              <w:rPr>
                <w:rFonts w:eastAsia="方正仿宋简体"/>
                <w:sz w:val="24"/>
                <w:szCs w:val="24"/>
              </w:rPr>
            </w:pPr>
            <w:r>
              <w:rPr>
                <w:rFonts w:eastAsia="方正仿宋简体"/>
                <w:sz w:val="24"/>
                <w:szCs w:val="24"/>
              </w:rPr>
              <w:t>上一交易日结算后投资者证券资金账户可用资金余额，单位：元，精确到分，人民币计价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0" w:hRule="atLeast"/>
          <w:jc w:val="center"/>
        </w:trPr>
        <w:tc>
          <w:tcPr>
            <w:tcW w:w="776" w:type="dxa"/>
            <w:vAlign w:val="center"/>
          </w:tcPr>
          <w:p>
            <w:pPr>
              <w:widowControl/>
              <w:numPr>
                <w:ilvl w:val="0"/>
                <w:numId w:val="122"/>
              </w:numPr>
              <w:ind w:left="0" w:right="-162" w:rightChars="-77" w:firstLine="0"/>
              <w:jc w:val="center"/>
              <w:rPr>
                <w:rFonts w:eastAsia="方正仿宋简体"/>
                <w:sz w:val="24"/>
                <w:szCs w:val="24"/>
              </w:rPr>
            </w:pPr>
          </w:p>
        </w:tc>
        <w:tc>
          <w:tcPr>
            <w:tcW w:w="1378" w:type="dxa"/>
            <w:vAlign w:val="center"/>
          </w:tcPr>
          <w:p>
            <w:pPr>
              <w:jc w:val="left"/>
              <w:rPr>
                <w:rFonts w:eastAsia="方正仿宋简体"/>
                <w:sz w:val="24"/>
                <w:szCs w:val="24"/>
              </w:rPr>
            </w:pPr>
            <w:r>
              <w:rPr>
                <w:rFonts w:eastAsia="方正仿宋简体"/>
                <w:sz w:val="24"/>
                <w:szCs w:val="24"/>
              </w:rPr>
              <w:t>RZRQSZ</w:t>
            </w:r>
          </w:p>
        </w:tc>
        <w:tc>
          <w:tcPr>
            <w:tcW w:w="2291" w:type="dxa"/>
            <w:vAlign w:val="center"/>
          </w:tcPr>
          <w:p>
            <w:pPr>
              <w:rPr>
                <w:rFonts w:eastAsia="方正仿宋简体"/>
                <w:sz w:val="24"/>
                <w:szCs w:val="24"/>
              </w:rPr>
            </w:pPr>
            <w:r>
              <w:rPr>
                <w:rFonts w:eastAsia="方正仿宋简体"/>
                <w:sz w:val="24"/>
                <w:szCs w:val="24"/>
              </w:rPr>
              <w:t>融资融券账户证券总市值</w:t>
            </w:r>
          </w:p>
        </w:tc>
        <w:tc>
          <w:tcPr>
            <w:tcW w:w="735" w:type="dxa"/>
            <w:vAlign w:val="center"/>
          </w:tcPr>
          <w:p>
            <w:pPr>
              <w:jc w:val="center"/>
              <w:rPr>
                <w:rFonts w:eastAsia="方正仿宋简体"/>
                <w:sz w:val="24"/>
                <w:szCs w:val="24"/>
              </w:rPr>
            </w:pPr>
            <w:r>
              <w:rPr>
                <w:rFonts w:eastAsia="方正仿宋简体"/>
                <w:sz w:val="24"/>
                <w:szCs w:val="24"/>
              </w:rPr>
              <w:t>N</w:t>
            </w:r>
          </w:p>
        </w:tc>
        <w:tc>
          <w:tcPr>
            <w:tcW w:w="709" w:type="dxa"/>
            <w:vAlign w:val="center"/>
          </w:tcPr>
          <w:p>
            <w:pPr>
              <w:jc w:val="center"/>
              <w:rPr>
                <w:rFonts w:eastAsia="方正仿宋简体"/>
                <w:sz w:val="24"/>
                <w:szCs w:val="24"/>
              </w:rPr>
            </w:pPr>
            <w:r>
              <w:rPr>
                <w:rFonts w:eastAsia="方正仿宋简体"/>
                <w:sz w:val="24"/>
                <w:szCs w:val="24"/>
              </w:rPr>
              <w:t>18,2</w:t>
            </w:r>
          </w:p>
        </w:tc>
        <w:tc>
          <w:tcPr>
            <w:tcW w:w="2785" w:type="dxa"/>
            <w:vAlign w:val="center"/>
          </w:tcPr>
          <w:p>
            <w:pPr>
              <w:rPr>
                <w:rFonts w:eastAsia="方正仿宋简体"/>
                <w:sz w:val="24"/>
                <w:szCs w:val="24"/>
              </w:rPr>
            </w:pPr>
            <w:r>
              <w:rPr>
                <w:rFonts w:eastAsia="方正仿宋简体"/>
                <w:sz w:val="24"/>
                <w:szCs w:val="24"/>
              </w:rPr>
              <w:t>上一交易日结算后投资者融资融券账户证券总市值，深沪合计，持有证券按当日收盘价计算，单位：元，精确到分，人民币计价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0" w:hRule="atLeast"/>
          <w:jc w:val="center"/>
        </w:trPr>
        <w:tc>
          <w:tcPr>
            <w:tcW w:w="776" w:type="dxa"/>
            <w:vAlign w:val="center"/>
          </w:tcPr>
          <w:p>
            <w:pPr>
              <w:widowControl/>
              <w:numPr>
                <w:ilvl w:val="0"/>
                <w:numId w:val="122"/>
              </w:numPr>
              <w:ind w:left="0" w:right="-162" w:rightChars="-77" w:firstLine="0"/>
              <w:jc w:val="center"/>
              <w:rPr>
                <w:rFonts w:eastAsia="方正仿宋简体"/>
                <w:sz w:val="24"/>
                <w:szCs w:val="24"/>
              </w:rPr>
            </w:pPr>
          </w:p>
        </w:tc>
        <w:tc>
          <w:tcPr>
            <w:tcW w:w="1378" w:type="dxa"/>
            <w:vAlign w:val="center"/>
          </w:tcPr>
          <w:p>
            <w:pPr>
              <w:jc w:val="left"/>
              <w:rPr>
                <w:rFonts w:eastAsia="方正仿宋简体"/>
                <w:sz w:val="24"/>
                <w:szCs w:val="24"/>
              </w:rPr>
            </w:pPr>
            <w:r>
              <w:rPr>
                <w:rFonts w:eastAsia="方正仿宋简体"/>
                <w:sz w:val="24"/>
                <w:szCs w:val="24"/>
              </w:rPr>
              <w:t>RZRQZJ</w:t>
            </w:r>
          </w:p>
        </w:tc>
        <w:tc>
          <w:tcPr>
            <w:tcW w:w="2291" w:type="dxa"/>
            <w:vAlign w:val="center"/>
          </w:tcPr>
          <w:p>
            <w:pPr>
              <w:rPr>
                <w:rFonts w:eastAsia="方正仿宋简体"/>
                <w:sz w:val="24"/>
                <w:szCs w:val="24"/>
              </w:rPr>
            </w:pPr>
            <w:r>
              <w:rPr>
                <w:rFonts w:eastAsia="方正仿宋简体"/>
                <w:sz w:val="24"/>
                <w:szCs w:val="24"/>
              </w:rPr>
              <w:t>融资融券账户资金总额</w:t>
            </w:r>
          </w:p>
        </w:tc>
        <w:tc>
          <w:tcPr>
            <w:tcW w:w="735" w:type="dxa"/>
            <w:vAlign w:val="center"/>
          </w:tcPr>
          <w:p>
            <w:pPr>
              <w:jc w:val="center"/>
              <w:rPr>
                <w:rFonts w:eastAsia="方正仿宋简体"/>
                <w:sz w:val="24"/>
                <w:szCs w:val="24"/>
              </w:rPr>
            </w:pPr>
            <w:r>
              <w:rPr>
                <w:rFonts w:eastAsia="方正仿宋简体"/>
                <w:sz w:val="24"/>
                <w:szCs w:val="24"/>
              </w:rPr>
              <w:t>N</w:t>
            </w:r>
          </w:p>
        </w:tc>
        <w:tc>
          <w:tcPr>
            <w:tcW w:w="709" w:type="dxa"/>
            <w:vAlign w:val="center"/>
          </w:tcPr>
          <w:p>
            <w:pPr>
              <w:jc w:val="center"/>
              <w:rPr>
                <w:rFonts w:eastAsia="方正仿宋简体"/>
                <w:sz w:val="24"/>
                <w:szCs w:val="24"/>
              </w:rPr>
            </w:pPr>
            <w:r>
              <w:rPr>
                <w:rFonts w:eastAsia="方正仿宋简体"/>
                <w:sz w:val="24"/>
                <w:szCs w:val="24"/>
              </w:rPr>
              <w:t>18,2</w:t>
            </w:r>
          </w:p>
        </w:tc>
        <w:tc>
          <w:tcPr>
            <w:tcW w:w="2785" w:type="dxa"/>
            <w:vAlign w:val="center"/>
          </w:tcPr>
          <w:p>
            <w:pPr>
              <w:rPr>
                <w:rFonts w:eastAsia="方正仿宋简体"/>
                <w:sz w:val="24"/>
                <w:szCs w:val="24"/>
              </w:rPr>
            </w:pPr>
            <w:r>
              <w:rPr>
                <w:rFonts w:eastAsia="方正仿宋简体"/>
                <w:sz w:val="24"/>
                <w:szCs w:val="24"/>
              </w:rPr>
              <w:t>上一交易日结算后投资者融资融券账户资金总额，单位：元，精确到分，人民币计价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0" w:hRule="atLeast"/>
          <w:jc w:val="center"/>
        </w:trPr>
        <w:tc>
          <w:tcPr>
            <w:tcW w:w="776" w:type="dxa"/>
            <w:vAlign w:val="center"/>
          </w:tcPr>
          <w:p>
            <w:pPr>
              <w:widowControl/>
              <w:numPr>
                <w:ilvl w:val="0"/>
                <w:numId w:val="122"/>
              </w:numPr>
              <w:ind w:left="0" w:right="-162" w:rightChars="-77" w:firstLine="0"/>
              <w:jc w:val="center"/>
              <w:rPr>
                <w:rFonts w:eastAsia="方正仿宋简体"/>
                <w:sz w:val="24"/>
                <w:szCs w:val="24"/>
              </w:rPr>
            </w:pPr>
          </w:p>
        </w:tc>
        <w:tc>
          <w:tcPr>
            <w:tcW w:w="1378" w:type="dxa"/>
            <w:vAlign w:val="center"/>
          </w:tcPr>
          <w:p>
            <w:pPr>
              <w:jc w:val="left"/>
              <w:rPr>
                <w:rFonts w:eastAsia="方正仿宋简体"/>
                <w:sz w:val="24"/>
                <w:szCs w:val="24"/>
              </w:rPr>
            </w:pPr>
            <w:r>
              <w:rPr>
                <w:rFonts w:eastAsia="方正仿宋简体"/>
                <w:sz w:val="24"/>
                <w:szCs w:val="24"/>
              </w:rPr>
              <w:t>RZZJ</w:t>
            </w:r>
          </w:p>
        </w:tc>
        <w:tc>
          <w:tcPr>
            <w:tcW w:w="2291" w:type="dxa"/>
            <w:vAlign w:val="center"/>
          </w:tcPr>
          <w:p>
            <w:pPr>
              <w:rPr>
                <w:rFonts w:eastAsia="方正仿宋简体"/>
                <w:sz w:val="24"/>
                <w:szCs w:val="24"/>
              </w:rPr>
            </w:pPr>
            <w:r>
              <w:rPr>
                <w:rFonts w:eastAsia="方正仿宋简体"/>
                <w:sz w:val="24"/>
                <w:szCs w:val="24"/>
              </w:rPr>
              <w:t>融资融券账户融入资金总额</w:t>
            </w:r>
          </w:p>
        </w:tc>
        <w:tc>
          <w:tcPr>
            <w:tcW w:w="735" w:type="dxa"/>
            <w:vAlign w:val="center"/>
          </w:tcPr>
          <w:p>
            <w:pPr>
              <w:jc w:val="center"/>
              <w:rPr>
                <w:rFonts w:eastAsia="方正仿宋简体"/>
                <w:sz w:val="24"/>
                <w:szCs w:val="24"/>
              </w:rPr>
            </w:pPr>
            <w:r>
              <w:rPr>
                <w:rFonts w:eastAsia="方正仿宋简体"/>
                <w:sz w:val="24"/>
                <w:szCs w:val="24"/>
              </w:rPr>
              <w:t>N</w:t>
            </w:r>
          </w:p>
        </w:tc>
        <w:tc>
          <w:tcPr>
            <w:tcW w:w="709" w:type="dxa"/>
            <w:vAlign w:val="center"/>
          </w:tcPr>
          <w:p>
            <w:pPr>
              <w:jc w:val="center"/>
              <w:rPr>
                <w:rFonts w:eastAsia="方正仿宋简体"/>
                <w:sz w:val="24"/>
                <w:szCs w:val="24"/>
              </w:rPr>
            </w:pPr>
            <w:r>
              <w:rPr>
                <w:rFonts w:eastAsia="方正仿宋简体"/>
                <w:sz w:val="24"/>
                <w:szCs w:val="24"/>
              </w:rPr>
              <w:t>18,2</w:t>
            </w:r>
          </w:p>
        </w:tc>
        <w:tc>
          <w:tcPr>
            <w:tcW w:w="2785" w:type="dxa"/>
            <w:vAlign w:val="center"/>
          </w:tcPr>
          <w:p>
            <w:pPr>
              <w:rPr>
                <w:rFonts w:eastAsia="方正仿宋简体"/>
                <w:sz w:val="24"/>
                <w:szCs w:val="24"/>
              </w:rPr>
            </w:pPr>
            <w:r>
              <w:rPr>
                <w:rFonts w:eastAsia="方正仿宋简体"/>
                <w:sz w:val="24"/>
                <w:szCs w:val="24"/>
              </w:rPr>
              <w:t>上一交易日结算后投资者融资融券账户融入资金总额，单位：元，精确到分，人民币计价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0" w:hRule="atLeast"/>
          <w:jc w:val="center"/>
        </w:trPr>
        <w:tc>
          <w:tcPr>
            <w:tcW w:w="776" w:type="dxa"/>
            <w:vAlign w:val="center"/>
          </w:tcPr>
          <w:p>
            <w:pPr>
              <w:widowControl/>
              <w:numPr>
                <w:ilvl w:val="0"/>
                <w:numId w:val="122"/>
              </w:numPr>
              <w:ind w:left="0" w:right="-162" w:rightChars="-77" w:firstLine="0"/>
              <w:jc w:val="center"/>
              <w:rPr>
                <w:rFonts w:eastAsia="方正仿宋简体"/>
                <w:sz w:val="24"/>
                <w:szCs w:val="24"/>
              </w:rPr>
            </w:pPr>
          </w:p>
        </w:tc>
        <w:tc>
          <w:tcPr>
            <w:tcW w:w="1378" w:type="dxa"/>
            <w:vAlign w:val="center"/>
          </w:tcPr>
          <w:p>
            <w:pPr>
              <w:jc w:val="left"/>
              <w:rPr>
                <w:rFonts w:eastAsia="方正仿宋简体"/>
                <w:sz w:val="24"/>
                <w:szCs w:val="24"/>
              </w:rPr>
            </w:pPr>
            <w:r>
              <w:rPr>
                <w:rFonts w:eastAsia="方正仿宋简体"/>
                <w:sz w:val="24"/>
                <w:szCs w:val="24"/>
              </w:rPr>
              <w:t>RQSZ</w:t>
            </w:r>
          </w:p>
        </w:tc>
        <w:tc>
          <w:tcPr>
            <w:tcW w:w="2291" w:type="dxa"/>
            <w:vAlign w:val="center"/>
          </w:tcPr>
          <w:p>
            <w:pPr>
              <w:rPr>
                <w:rFonts w:eastAsia="方正仿宋简体"/>
                <w:sz w:val="24"/>
                <w:szCs w:val="24"/>
              </w:rPr>
            </w:pPr>
            <w:r>
              <w:rPr>
                <w:rFonts w:eastAsia="方正仿宋简体"/>
                <w:sz w:val="24"/>
                <w:szCs w:val="24"/>
              </w:rPr>
              <w:t>融资融券账户融券总市值</w:t>
            </w:r>
          </w:p>
        </w:tc>
        <w:tc>
          <w:tcPr>
            <w:tcW w:w="735" w:type="dxa"/>
            <w:vAlign w:val="center"/>
          </w:tcPr>
          <w:p>
            <w:pPr>
              <w:jc w:val="center"/>
              <w:rPr>
                <w:rFonts w:eastAsia="方正仿宋简体"/>
                <w:sz w:val="24"/>
                <w:szCs w:val="24"/>
              </w:rPr>
            </w:pPr>
            <w:r>
              <w:rPr>
                <w:rFonts w:eastAsia="方正仿宋简体"/>
                <w:sz w:val="24"/>
                <w:szCs w:val="24"/>
              </w:rPr>
              <w:t>N</w:t>
            </w:r>
          </w:p>
        </w:tc>
        <w:tc>
          <w:tcPr>
            <w:tcW w:w="709" w:type="dxa"/>
            <w:vAlign w:val="center"/>
          </w:tcPr>
          <w:p>
            <w:pPr>
              <w:jc w:val="center"/>
              <w:rPr>
                <w:rFonts w:eastAsia="方正仿宋简体"/>
                <w:sz w:val="24"/>
                <w:szCs w:val="24"/>
              </w:rPr>
            </w:pPr>
            <w:r>
              <w:rPr>
                <w:rFonts w:eastAsia="方正仿宋简体"/>
                <w:sz w:val="24"/>
                <w:szCs w:val="24"/>
              </w:rPr>
              <w:t>18,2</w:t>
            </w:r>
          </w:p>
        </w:tc>
        <w:tc>
          <w:tcPr>
            <w:tcW w:w="2785" w:type="dxa"/>
            <w:vAlign w:val="center"/>
          </w:tcPr>
          <w:p>
            <w:pPr>
              <w:rPr>
                <w:rFonts w:eastAsia="方正仿宋简体"/>
                <w:sz w:val="24"/>
                <w:szCs w:val="24"/>
              </w:rPr>
            </w:pPr>
            <w:r>
              <w:rPr>
                <w:rFonts w:eastAsia="方正仿宋简体"/>
                <w:sz w:val="24"/>
                <w:szCs w:val="24"/>
              </w:rPr>
              <w:t>上一交易日结算后投资者融资融券账户融券总市值，深沪合计，持有证券按当日收盘价计算，单位：元，精确到分，人民币计价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0" w:hRule="atLeast"/>
          <w:jc w:val="center"/>
        </w:trPr>
        <w:tc>
          <w:tcPr>
            <w:tcW w:w="776" w:type="dxa"/>
            <w:vAlign w:val="center"/>
          </w:tcPr>
          <w:p>
            <w:pPr>
              <w:widowControl/>
              <w:numPr>
                <w:ilvl w:val="0"/>
                <w:numId w:val="122"/>
              </w:numPr>
              <w:ind w:left="0" w:right="-162" w:rightChars="-77" w:firstLine="0"/>
              <w:jc w:val="center"/>
              <w:rPr>
                <w:rFonts w:eastAsia="方正仿宋简体"/>
                <w:sz w:val="24"/>
                <w:szCs w:val="24"/>
              </w:rPr>
            </w:pPr>
          </w:p>
        </w:tc>
        <w:tc>
          <w:tcPr>
            <w:tcW w:w="1378" w:type="dxa"/>
            <w:vAlign w:val="center"/>
          </w:tcPr>
          <w:p>
            <w:pPr>
              <w:jc w:val="left"/>
              <w:rPr>
                <w:rFonts w:eastAsia="方正仿宋简体"/>
                <w:sz w:val="24"/>
                <w:szCs w:val="24"/>
              </w:rPr>
            </w:pPr>
            <w:r>
              <w:rPr>
                <w:rFonts w:eastAsia="方正仿宋简体"/>
                <w:sz w:val="24"/>
                <w:szCs w:val="24"/>
              </w:rPr>
              <w:t>KHJYJB</w:t>
            </w:r>
          </w:p>
        </w:tc>
        <w:tc>
          <w:tcPr>
            <w:tcW w:w="2291" w:type="dxa"/>
            <w:vAlign w:val="center"/>
          </w:tcPr>
          <w:p>
            <w:pPr>
              <w:rPr>
                <w:rFonts w:eastAsia="方正仿宋简体"/>
                <w:sz w:val="24"/>
                <w:szCs w:val="24"/>
              </w:rPr>
            </w:pPr>
            <w:r>
              <w:rPr>
                <w:rFonts w:eastAsia="方正仿宋简体"/>
                <w:sz w:val="24"/>
                <w:szCs w:val="24"/>
              </w:rPr>
              <w:t>投资者交易分级级别</w:t>
            </w:r>
          </w:p>
        </w:tc>
        <w:tc>
          <w:tcPr>
            <w:tcW w:w="735" w:type="dxa"/>
            <w:vAlign w:val="center"/>
          </w:tcPr>
          <w:p>
            <w:pPr>
              <w:jc w:val="center"/>
              <w:rPr>
                <w:rFonts w:eastAsia="方正仿宋简体"/>
                <w:sz w:val="24"/>
                <w:szCs w:val="24"/>
              </w:rPr>
            </w:pPr>
            <w:r>
              <w:rPr>
                <w:rFonts w:eastAsia="方正仿宋简体"/>
                <w:sz w:val="24"/>
                <w:szCs w:val="24"/>
              </w:rPr>
              <w:t>C</w:t>
            </w:r>
          </w:p>
        </w:tc>
        <w:tc>
          <w:tcPr>
            <w:tcW w:w="709" w:type="dxa"/>
            <w:vAlign w:val="center"/>
          </w:tcPr>
          <w:p>
            <w:pPr>
              <w:jc w:val="center"/>
              <w:rPr>
                <w:rFonts w:eastAsia="方正仿宋简体"/>
                <w:sz w:val="24"/>
                <w:szCs w:val="24"/>
              </w:rPr>
            </w:pPr>
            <w:r>
              <w:rPr>
                <w:rFonts w:eastAsia="方正仿宋简体"/>
                <w:sz w:val="24"/>
                <w:szCs w:val="24"/>
              </w:rPr>
              <w:t>1</w:t>
            </w:r>
          </w:p>
        </w:tc>
        <w:tc>
          <w:tcPr>
            <w:tcW w:w="2785" w:type="dxa"/>
            <w:vAlign w:val="center"/>
          </w:tcPr>
          <w:p>
            <w:pPr>
              <w:rPr>
                <w:rFonts w:eastAsia="方正仿宋简体"/>
                <w:sz w:val="24"/>
                <w:szCs w:val="24"/>
              </w:rPr>
            </w:pPr>
            <w:r>
              <w:rPr>
                <w:rFonts w:eastAsia="方正仿宋简体"/>
                <w:sz w:val="24"/>
                <w:szCs w:val="24"/>
              </w:rPr>
              <w:t>当日投资者情况，参照投资者适当性指引中定义，自然人账户需填写</w:t>
            </w:r>
          </w:p>
          <w:p>
            <w:pPr>
              <w:rPr>
                <w:rFonts w:eastAsia="方正仿宋简体"/>
                <w:sz w:val="24"/>
                <w:szCs w:val="24"/>
              </w:rPr>
            </w:pPr>
            <w:r>
              <w:rPr>
                <w:rFonts w:hint="eastAsia" w:ascii="方正仿宋简体" w:eastAsia="方正仿宋简体"/>
                <w:sz w:val="24"/>
                <w:szCs w:val="24"/>
              </w:rPr>
              <w:t>“</w:t>
            </w:r>
            <w:r>
              <w:rPr>
                <w:rFonts w:eastAsia="方正仿宋简体"/>
                <w:sz w:val="24"/>
                <w:szCs w:val="24"/>
              </w:rPr>
              <w:t>1</w:t>
            </w:r>
            <w:r>
              <w:rPr>
                <w:rFonts w:hint="eastAsia" w:ascii="方正仿宋简体" w:eastAsia="方正仿宋简体"/>
                <w:sz w:val="24"/>
                <w:szCs w:val="24"/>
              </w:rPr>
              <w:t>”</w:t>
            </w:r>
            <w:r>
              <w:rPr>
                <w:rFonts w:eastAsia="方正仿宋简体"/>
                <w:sz w:val="24"/>
                <w:szCs w:val="24"/>
              </w:rPr>
              <w:t>=一级</w:t>
            </w:r>
          </w:p>
          <w:p>
            <w:pPr>
              <w:rPr>
                <w:rFonts w:eastAsia="方正仿宋简体"/>
                <w:sz w:val="24"/>
                <w:szCs w:val="24"/>
              </w:rPr>
            </w:pPr>
            <w:r>
              <w:rPr>
                <w:rFonts w:hint="eastAsia" w:ascii="方正仿宋简体" w:eastAsia="方正仿宋简体"/>
                <w:sz w:val="24"/>
                <w:szCs w:val="24"/>
              </w:rPr>
              <w:t>“</w:t>
            </w:r>
            <w:r>
              <w:rPr>
                <w:rFonts w:eastAsia="方正仿宋简体"/>
                <w:sz w:val="24"/>
                <w:szCs w:val="24"/>
              </w:rPr>
              <w:t>2</w:t>
            </w:r>
            <w:r>
              <w:rPr>
                <w:rFonts w:hint="eastAsia" w:ascii="方正仿宋简体" w:eastAsia="方正仿宋简体"/>
                <w:sz w:val="24"/>
                <w:szCs w:val="24"/>
              </w:rPr>
              <w:t>”</w:t>
            </w:r>
            <w:r>
              <w:rPr>
                <w:rFonts w:eastAsia="方正仿宋简体"/>
                <w:sz w:val="24"/>
                <w:szCs w:val="24"/>
              </w:rPr>
              <w:t>=二级</w:t>
            </w:r>
          </w:p>
          <w:p>
            <w:pPr>
              <w:rPr>
                <w:rFonts w:eastAsia="方正仿宋简体"/>
                <w:sz w:val="24"/>
                <w:szCs w:val="24"/>
              </w:rPr>
            </w:pPr>
            <w:r>
              <w:rPr>
                <w:rFonts w:hint="eastAsia" w:ascii="方正仿宋简体" w:eastAsia="方正仿宋简体"/>
                <w:sz w:val="24"/>
                <w:szCs w:val="24"/>
              </w:rPr>
              <w:t>“</w:t>
            </w:r>
            <w:r>
              <w:rPr>
                <w:rFonts w:eastAsia="方正仿宋简体"/>
                <w:sz w:val="24"/>
                <w:szCs w:val="24"/>
              </w:rPr>
              <w:t>3</w:t>
            </w:r>
            <w:r>
              <w:rPr>
                <w:rFonts w:hint="eastAsia" w:ascii="方正仿宋简体" w:eastAsia="方正仿宋简体"/>
                <w:sz w:val="24"/>
                <w:szCs w:val="24"/>
              </w:rPr>
              <w:t>”</w:t>
            </w:r>
            <w:r>
              <w:rPr>
                <w:rFonts w:eastAsia="方正仿宋简体"/>
                <w:sz w:val="24"/>
                <w:szCs w:val="24"/>
              </w:rPr>
              <w:t>=三级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0" w:hRule="atLeast"/>
          <w:jc w:val="center"/>
        </w:trPr>
        <w:tc>
          <w:tcPr>
            <w:tcW w:w="776" w:type="dxa"/>
            <w:vAlign w:val="center"/>
          </w:tcPr>
          <w:p>
            <w:pPr>
              <w:widowControl/>
              <w:numPr>
                <w:ilvl w:val="0"/>
                <w:numId w:val="122"/>
              </w:numPr>
              <w:ind w:left="0" w:right="-162" w:rightChars="-77" w:firstLine="0"/>
              <w:jc w:val="center"/>
              <w:rPr>
                <w:rFonts w:eastAsia="方正仿宋简体"/>
                <w:sz w:val="24"/>
                <w:szCs w:val="24"/>
              </w:rPr>
            </w:pPr>
          </w:p>
        </w:tc>
        <w:tc>
          <w:tcPr>
            <w:tcW w:w="1378" w:type="dxa"/>
            <w:vAlign w:val="center"/>
          </w:tcPr>
          <w:p>
            <w:pPr>
              <w:jc w:val="left"/>
              <w:rPr>
                <w:rFonts w:eastAsia="方正仿宋简体"/>
                <w:sz w:val="24"/>
                <w:szCs w:val="24"/>
              </w:rPr>
            </w:pPr>
            <w:r>
              <w:rPr>
                <w:rFonts w:eastAsia="方正仿宋简体"/>
                <w:sz w:val="24"/>
                <w:szCs w:val="24"/>
              </w:rPr>
              <w:t>KHXGED</w:t>
            </w:r>
          </w:p>
        </w:tc>
        <w:tc>
          <w:tcPr>
            <w:tcW w:w="2291" w:type="dxa"/>
            <w:vAlign w:val="center"/>
          </w:tcPr>
          <w:p>
            <w:pPr>
              <w:rPr>
                <w:rFonts w:eastAsia="方正仿宋简体"/>
                <w:sz w:val="24"/>
                <w:szCs w:val="24"/>
              </w:rPr>
            </w:pPr>
            <w:r>
              <w:rPr>
                <w:rFonts w:eastAsia="方正仿宋简体"/>
                <w:sz w:val="24"/>
                <w:szCs w:val="24"/>
              </w:rPr>
              <w:t>投资者限购可买入额度</w:t>
            </w:r>
          </w:p>
        </w:tc>
        <w:tc>
          <w:tcPr>
            <w:tcW w:w="735" w:type="dxa"/>
            <w:vAlign w:val="center"/>
          </w:tcPr>
          <w:p>
            <w:pPr>
              <w:jc w:val="center"/>
              <w:rPr>
                <w:rFonts w:eastAsia="方正仿宋简体"/>
                <w:sz w:val="24"/>
                <w:szCs w:val="24"/>
              </w:rPr>
            </w:pPr>
            <w:r>
              <w:rPr>
                <w:rFonts w:eastAsia="方正仿宋简体"/>
                <w:sz w:val="24"/>
                <w:szCs w:val="24"/>
              </w:rPr>
              <w:t>N</w:t>
            </w:r>
          </w:p>
        </w:tc>
        <w:tc>
          <w:tcPr>
            <w:tcW w:w="709" w:type="dxa"/>
            <w:vAlign w:val="center"/>
          </w:tcPr>
          <w:p>
            <w:pPr>
              <w:jc w:val="center"/>
              <w:rPr>
                <w:rFonts w:eastAsia="方正仿宋简体"/>
                <w:sz w:val="24"/>
                <w:szCs w:val="24"/>
              </w:rPr>
            </w:pPr>
            <w:r>
              <w:rPr>
                <w:rFonts w:eastAsia="方正仿宋简体"/>
                <w:sz w:val="24"/>
                <w:szCs w:val="24"/>
              </w:rPr>
              <w:t>18,2</w:t>
            </w:r>
          </w:p>
        </w:tc>
        <w:tc>
          <w:tcPr>
            <w:tcW w:w="2785" w:type="dxa"/>
            <w:vAlign w:val="center"/>
          </w:tcPr>
          <w:p>
            <w:pPr>
              <w:rPr>
                <w:rFonts w:eastAsia="方正仿宋简体"/>
                <w:sz w:val="24"/>
                <w:szCs w:val="24"/>
              </w:rPr>
            </w:pPr>
            <w:r>
              <w:rPr>
                <w:rFonts w:eastAsia="方正仿宋简体"/>
                <w:sz w:val="24"/>
                <w:szCs w:val="24"/>
              </w:rPr>
              <w:t>当日个人投资者限购总金额额度（买入额度，包括已使用和未使用），单位：元，人民币计价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0" w:hRule="atLeast"/>
          <w:jc w:val="center"/>
        </w:trPr>
        <w:tc>
          <w:tcPr>
            <w:tcW w:w="776" w:type="dxa"/>
            <w:vAlign w:val="center"/>
          </w:tcPr>
          <w:p>
            <w:pPr>
              <w:widowControl/>
              <w:numPr>
                <w:ilvl w:val="0"/>
                <w:numId w:val="122"/>
              </w:numPr>
              <w:ind w:left="0" w:right="-162" w:rightChars="-77" w:firstLine="0"/>
              <w:jc w:val="center"/>
              <w:rPr>
                <w:rFonts w:eastAsia="方正仿宋简体"/>
                <w:sz w:val="24"/>
                <w:szCs w:val="24"/>
              </w:rPr>
            </w:pPr>
          </w:p>
        </w:tc>
        <w:tc>
          <w:tcPr>
            <w:tcW w:w="1378" w:type="dxa"/>
            <w:vAlign w:val="center"/>
          </w:tcPr>
          <w:p>
            <w:pPr>
              <w:jc w:val="left"/>
              <w:rPr>
                <w:rFonts w:eastAsia="方正仿宋简体"/>
                <w:sz w:val="24"/>
                <w:szCs w:val="24"/>
              </w:rPr>
            </w:pPr>
            <w:r>
              <w:rPr>
                <w:rFonts w:eastAsia="方正仿宋简体"/>
                <w:sz w:val="24"/>
                <w:szCs w:val="24"/>
              </w:rPr>
              <w:t>YMTH</w:t>
            </w:r>
          </w:p>
        </w:tc>
        <w:tc>
          <w:tcPr>
            <w:tcW w:w="2291" w:type="dxa"/>
            <w:vAlign w:val="center"/>
          </w:tcPr>
          <w:p>
            <w:pPr>
              <w:rPr>
                <w:rFonts w:eastAsia="方正仿宋简体"/>
                <w:sz w:val="24"/>
                <w:szCs w:val="24"/>
              </w:rPr>
            </w:pPr>
            <w:r>
              <w:rPr>
                <w:rFonts w:eastAsia="方正仿宋简体"/>
                <w:sz w:val="24"/>
                <w:szCs w:val="24"/>
              </w:rPr>
              <w:t>一码通账户号码</w:t>
            </w:r>
          </w:p>
        </w:tc>
        <w:tc>
          <w:tcPr>
            <w:tcW w:w="735" w:type="dxa"/>
            <w:vAlign w:val="center"/>
          </w:tcPr>
          <w:p>
            <w:pPr>
              <w:jc w:val="center"/>
              <w:rPr>
                <w:rFonts w:eastAsia="方正仿宋简体"/>
                <w:sz w:val="24"/>
                <w:szCs w:val="24"/>
              </w:rPr>
            </w:pPr>
            <w:r>
              <w:rPr>
                <w:rFonts w:eastAsia="方正仿宋简体"/>
                <w:sz w:val="24"/>
                <w:szCs w:val="24"/>
              </w:rPr>
              <w:t>N</w:t>
            </w:r>
          </w:p>
        </w:tc>
        <w:tc>
          <w:tcPr>
            <w:tcW w:w="709" w:type="dxa"/>
            <w:vAlign w:val="center"/>
          </w:tcPr>
          <w:p>
            <w:pPr>
              <w:jc w:val="center"/>
              <w:rPr>
                <w:rFonts w:eastAsia="方正仿宋简体"/>
                <w:sz w:val="24"/>
                <w:szCs w:val="24"/>
              </w:rPr>
            </w:pPr>
            <w:r>
              <w:rPr>
                <w:rFonts w:eastAsia="方正仿宋简体"/>
                <w:sz w:val="24"/>
                <w:szCs w:val="24"/>
              </w:rPr>
              <w:t>20</w:t>
            </w:r>
          </w:p>
        </w:tc>
        <w:tc>
          <w:tcPr>
            <w:tcW w:w="2785" w:type="dxa"/>
            <w:vAlign w:val="center"/>
          </w:tcPr>
          <w:p>
            <w:pPr>
              <w:rPr>
                <w:rFonts w:eastAsia="方正仿宋简体"/>
                <w:sz w:val="24"/>
                <w:szCs w:val="24"/>
              </w:rPr>
            </w:pPr>
            <w:r>
              <w:rPr>
                <w:rFonts w:eastAsia="方正仿宋简体"/>
                <w:sz w:val="24"/>
                <w:szCs w:val="24"/>
              </w:rPr>
              <w:t>中国结算为投资者配发的一码通账户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0" w:hRule="atLeast"/>
          <w:jc w:val="center"/>
        </w:trPr>
        <w:tc>
          <w:tcPr>
            <w:tcW w:w="776" w:type="dxa"/>
            <w:vAlign w:val="center"/>
          </w:tcPr>
          <w:p>
            <w:pPr>
              <w:widowControl/>
              <w:numPr>
                <w:ilvl w:val="0"/>
                <w:numId w:val="122"/>
              </w:numPr>
              <w:ind w:left="0" w:right="-162" w:rightChars="-77" w:firstLine="0"/>
              <w:jc w:val="center"/>
              <w:rPr>
                <w:rFonts w:eastAsia="方正仿宋简体"/>
                <w:sz w:val="24"/>
                <w:szCs w:val="24"/>
              </w:rPr>
            </w:pPr>
          </w:p>
        </w:tc>
        <w:tc>
          <w:tcPr>
            <w:tcW w:w="1378" w:type="dxa"/>
            <w:vAlign w:val="center"/>
          </w:tcPr>
          <w:p>
            <w:pPr>
              <w:jc w:val="left"/>
              <w:rPr>
                <w:rFonts w:eastAsia="方正仿宋简体"/>
                <w:sz w:val="24"/>
                <w:szCs w:val="24"/>
              </w:rPr>
            </w:pPr>
            <w:r>
              <w:rPr>
                <w:rFonts w:eastAsia="方正仿宋简体"/>
                <w:sz w:val="24"/>
                <w:szCs w:val="24"/>
              </w:rPr>
              <w:t>BLZD</w:t>
            </w:r>
          </w:p>
        </w:tc>
        <w:tc>
          <w:tcPr>
            <w:tcW w:w="2291" w:type="dxa"/>
            <w:vAlign w:val="center"/>
          </w:tcPr>
          <w:p>
            <w:pPr>
              <w:rPr>
                <w:rFonts w:eastAsia="方正仿宋简体"/>
                <w:sz w:val="24"/>
                <w:szCs w:val="24"/>
              </w:rPr>
            </w:pPr>
            <w:r>
              <w:rPr>
                <w:rFonts w:eastAsia="方正仿宋简体"/>
                <w:sz w:val="24"/>
                <w:szCs w:val="24"/>
              </w:rPr>
              <w:t>保留字段</w:t>
            </w:r>
          </w:p>
        </w:tc>
        <w:tc>
          <w:tcPr>
            <w:tcW w:w="735" w:type="dxa"/>
            <w:vAlign w:val="center"/>
          </w:tcPr>
          <w:p>
            <w:pPr>
              <w:jc w:val="center"/>
              <w:rPr>
                <w:rFonts w:eastAsia="方正仿宋简体"/>
                <w:sz w:val="24"/>
                <w:szCs w:val="24"/>
              </w:rPr>
            </w:pPr>
            <w:r>
              <w:rPr>
                <w:rFonts w:eastAsia="方正仿宋简体"/>
                <w:sz w:val="24"/>
                <w:szCs w:val="24"/>
              </w:rPr>
              <w:t>C</w:t>
            </w:r>
          </w:p>
        </w:tc>
        <w:tc>
          <w:tcPr>
            <w:tcW w:w="709" w:type="dxa"/>
            <w:vAlign w:val="center"/>
          </w:tcPr>
          <w:p>
            <w:pPr>
              <w:jc w:val="center"/>
              <w:rPr>
                <w:rFonts w:eastAsia="方正仿宋简体"/>
                <w:sz w:val="24"/>
                <w:szCs w:val="24"/>
              </w:rPr>
            </w:pPr>
            <w:r>
              <w:rPr>
                <w:rFonts w:eastAsia="方正仿宋简体"/>
                <w:sz w:val="24"/>
                <w:szCs w:val="24"/>
              </w:rPr>
              <w:t>2</w:t>
            </w:r>
          </w:p>
        </w:tc>
        <w:tc>
          <w:tcPr>
            <w:tcW w:w="2785" w:type="dxa"/>
            <w:vAlign w:val="center"/>
          </w:tcPr>
          <w:p>
            <w:pPr>
              <w:rPr>
                <w:rFonts w:eastAsia="方正仿宋简体"/>
                <w:sz w:val="24"/>
                <w:szCs w:val="24"/>
              </w:rPr>
            </w:pPr>
            <w:r>
              <w:rPr>
                <w:rFonts w:eastAsia="方正仿宋简体"/>
                <w:sz w:val="24"/>
                <w:szCs w:val="24"/>
              </w:rPr>
              <w:t>保留字段，暂时无业务含义，空格填充</w:t>
            </w:r>
          </w:p>
        </w:tc>
      </w:tr>
    </w:tbl>
    <w:p>
      <w:pPr>
        <w:spacing w:before="240" w:line="500" w:lineRule="exact"/>
        <w:rPr>
          <w:rFonts w:eastAsia="方正仿宋简体"/>
          <w:sz w:val="24"/>
          <w:szCs w:val="22"/>
        </w:rPr>
      </w:pPr>
      <w:r>
        <w:rPr>
          <w:rFonts w:eastAsia="方正仿宋简体"/>
          <w:sz w:val="24"/>
          <w:szCs w:val="22"/>
        </w:rPr>
        <w:t>说明：</w:t>
      </w:r>
    </w:p>
    <w:p>
      <w:pPr>
        <w:numPr>
          <w:ilvl w:val="0"/>
          <w:numId w:val="123"/>
        </w:numPr>
        <w:spacing w:line="500" w:lineRule="exact"/>
        <w:ind w:left="0" w:firstLine="480" w:firstLineChars="200"/>
        <w:contextualSpacing/>
        <w:rPr>
          <w:rFonts w:eastAsia="方正仿宋简体"/>
          <w:sz w:val="24"/>
          <w:szCs w:val="22"/>
        </w:rPr>
      </w:pPr>
      <w:r>
        <w:rPr>
          <w:rFonts w:eastAsia="方正仿宋简体"/>
          <w:sz w:val="24"/>
          <w:szCs w:val="22"/>
        </w:rPr>
        <w:t>数据按每个投资者一条记录的形式汇总统计报送，如单个投资者开立有多个衍生品合约账户，取开户时间最早的有效合约账户及其对应的A股证券账户；如投资者存在多个信用证券账户，取开户时间最早的有效信用证券账户。</w:t>
      </w:r>
    </w:p>
    <w:p>
      <w:pPr>
        <w:numPr>
          <w:ilvl w:val="0"/>
          <w:numId w:val="123"/>
        </w:numPr>
        <w:spacing w:line="500" w:lineRule="exact"/>
        <w:ind w:left="0" w:firstLine="480" w:firstLineChars="200"/>
        <w:contextualSpacing/>
        <w:rPr>
          <w:rFonts w:eastAsia="方正仿宋简体"/>
          <w:sz w:val="24"/>
          <w:szCs w:val="22"/>
        </w:rPr>
      </w:pPr>
      <w:r>
        <w:rPr>
          <w:rFonts w:eastAsia="方正仿宋简体"/>
          <w:sz w:val="24"/>
          <w:szCs w:val="22"/>
        </w:rPr>
        <w:t>数据文件采用DBF文件格式；</w:t>
      </w:r>
    </w:p>
    <w:p>
      <w:pPr>
        <w:numPr>
          <w:ilvl w:val="0"/>
          <w:numId w:val="123"/>
        </w:numPr>
        <w:spacing w:line="500" w:lineRule="exact"/>
        <w:ind w:left="0" w:firstLine="480" w:firstLineChars="200"/>
        <w:contextualSpacing/>
        <w:rPr>
          <w:rFonts w:eastAsia="方正仿宋简体"/>
          <w:sz w:val="24"/>
          <w:szCs w:val="22"/>
        </w:rPr>
      </w:pPr>
      <w:r>
        <w:rPr>
          <w:rFonts w:eastAsia="方正仿宋简体"/>
          <w:sz w:val="24"/>
          <w:szCs w:val="22"/>
        </w:rPr>
        <w:t>对于数值型字段，如果含小数部分，则字段长度包含小数点位；对于字符型字段，如无特别说明，字段内容要求左对齐，字段长度不得超过规定长度；</w:t>
      </w:r>
    </w:p>
    <w:p>
      <w:pPr>
        <w:numPr>
          <w:ilvl w:val="0"/>
          <w:numId w:val="123"/>
        </w:numPr>
        <w:spacing w:line="500" w:lineRule="exact"/>
        <w:ind w:left="0" w:firstLine="480" w:firstLineChars="200"/>
        <w:contextualSpacing/>
        <w:rPr>
          <w:rFonts w:eastAsia="方正仿宋简体"/>
          <w:sz w:val="24"/>
          <w:szCs w:val="22"/>
        </w:rPr>
      </w:pPr>
      <w:r>
        <w:rPr>
          <w:rFonts w:eastAsia="方正仿宋简体"/>
          <w:sz w:val="24"/>
          <w:szCs w:val="22"/>
        </w:rPr>
        <w:t>数据文件名采用形如</w:t>
      </w:r>
      <w:r>
        <w:rPr>
          <w:rFonts w:hint="eastAsia" w:ascii="方正仿宋简体" w:eastAsia="方正仿宋简体"/>
          <w:sz w:val="24"/>
          <w:szCs w:val="22"/>
        </w:rPr>
        <w:t>“</w:t>
      </w:r>
      <w:r>
        <w:rPr>
          <w:rFonts w:eastAsia="方正仿宋简体"/>
          <w:sz w:val="24"/>
          <w:szCs w:val="22"/>
        </w:rPr>
        <w:t>QQHGBS_XXXXXX_CCYYMMDD.dbf</w:t>
      </w:r>
      <w:r>
        <w:rPr>
          <w:rFonts w:hint="eastAsia" w:ascii="方正仿宋简体" w:eastAsia="方正仿宋简体"/>
          <w:sz w:val="24"/>
          <w:szCs w:val="22"/>
        </w:rPr>
        <w:t>”</w:t>
      </w:r>
      <w:r>
        <w:rPr>
          <w:rFonts w:eastAsia="方正仿宋简体"/>
          <w:sz w:val="24"/>
          <w:szCs w:val="22"/>
        </w:rPr>
        <w:t>的命名规范，其中CCYY、MM、DD对应报送日期的年、月、日；</w:t>
      </w:r>
      <w:r>
        <w:rPr>
          <w:rFonts w:hint="eastAsia" w:ascii="方正仿宋简体" w:eastAsia="方正仿宋简体"/>
          <w:sz w:val="24"/>
          <w:szCs w:val="22"/>
        </w:rPr>
        <w:t>“</w:t>
      </w:r>
      <w:r>
        <w:rPr>
          <w:rFonts w:eastAsia="方正仿宋简体"/>
          <w:sz w:val="24"/>
          <w:szCs w:val="22"/>
        </w:rPr>
        <w:t>.dbf</w:t>
      </w:r>
      <w:r>
        <w:rPr>
          <w:rFonts w:hint="eastAsia" w:ascii="方正仿宋简体" w:eastAsia="方正仿宋简体"/>
          <w:sz w:val="24"/>
          <w:szCs w:val="22"/>
        </w:rPr>
        <w:t>”</w:t>
      </w:r>
      <w:r>
        <w:rPr>
          <w:rFonts w:eastAsia="方正仿宋简体"/>
          <w:sz w:val="24"/>
          <w:szCs w:val="22"/>
        </w:rPr>
        <w:t>为文件扩展名。例如:报送日期为2015年6月1日</w:t>
      </w:r>
      <w:r>
        <w:rPr>
          <w:rFonts w:eastAsia="方正仿宋简体"/>
          <w:sz w:val="24"/>
          <w:szCs w:val="24"/>
        </w:rPr>
        <w:t>，</w:t>
      </w:r>
      <w:r>
        <w:rPr>
          <w:rFonts w:eastAsia="方正仿宋简体"/>
          <w:sz w:val="24"/>
          <w:szCs w:val="22"/>
        </w:rPr>
        <w:t>则对应报送的数据文件名为</w:t>
      </w:r>
      <w:r>
        <w:rPr>
          <w:rFonts w:hint="eastAsia" w:ascii="方正仿宋简体" w:eastAsia="方正仿宋简体"/>
          <w:sz w:val="24"/>
          <w:szCs w:val="22"/>
        </w:rPr>
        <w:t>“</w:t>
      </w:r>
      <w:r>
        <w:rPr>
          <w:rFonts w:eastAsia="方正仿宋简体"/>
          <w:sz w:val="24"/>
          <w:szCs w:val="22"/>
        </w:rPr>
        <w:t>QQHGBS_000100_20150601.dbf</w:t>
      </w:r>
      <w:r>
        <w:rPr>
          <w:rFonts w:hint="eastAsia" w:ascii="方正仿宋简体" w:eastAsia="方正仿宋简体"/>
          <w:sz w:val="24"/>
          <w:szCs w:val="22"/>
        </w:rPr>
        <w:t>”</w:t>
      </w:r>
      <w:r>
        <w:rPr>
          <w:rFonts w:eastAsia="方正仿宋简体"/>
          <w:sz w:val="24"/>
          <w:szCs w:val="22"/>
        </w:rPr>
        <w:t>；</w:t>
      </w:r>
    </w:p>
    <w:p>
      <w:pPr>
        <w:numPr>
          <w:ilvl w:val="0"/>
          <w:numId w:val="123"/>
        </w:numPr>
        <w:spacing w:line="500" w:lineRule="exact"/>
        <w:ind w:left="0" w:firstLine="480" w:firstLineChars="200"/>
        <w:contextualSpacing/>
        <w:rPr>
          <w:rFonts w:eastAsia="方正仿宋简体"/>
          <w:sz w:val="24"/>
          <w:szCs w:val="22"/>
        </w:rPr>
      </w:pPr>
      <w:r>
        <w:rPr>
          <w:rFonts w:eastAsia="方正仿宋简体"/>
          <w:sz w:val="24"/>
          <w:szCs w:val="22"/>
        </w:rPr>
        <w:t>当日资金划入划出净额=当日总资金划入金额-当日总资金划出金额。涉及多家银行的应合并计算；</w:t>
      </w:r>
    </w:p>
    <w:p>
      <w:pPr>
        <w:numPr>
          <w:ilvl w:val="0"/>
          <w:numId w:val="123"/>
        </w:numPr>
        <w:spacing w:line="500" w:lineRule="exact"/>
        <w:ind w:left="0" w:firstLine="480"/>
        <w:contextualSpacing/>
        <w:rPr>
          <w:rFonts w:eastAsia="方正仿宋简体"/>
          <w:sz w:val="24"/>
          <w:szCs w:val="22"/>
        </w:rPr>
      </w:pPr>
      <w:r>
        <w:rPr>
          <w:rFonts w:eastAsia="方正仿宋简体"/>
          <w:sz w:val="24"/>
          <w:szCs w:val="22"/>
        </w:rPr>
        <w:t>上一交易日衍生品资金账户可用保证金余额=上一交易日衍生品资金账户保证金总额-上一交易日衍生品维持保证金金额（深、沪证券市场及其他市场维持保证金合计）-其他原因冻结的保证金（如行权交收等）。</w:t>
      </w:r>
    </w:p>
    <w:p>
      <w:pPr>
        <w:numPr>
          <w:ilvl w:val="0"/>
          <w:numId w:val="123"/>
        </w:numPr>
        <w:spacing w:line="500" w:lineRule="exact"/>
        <w:ind w:left="0" w:firstLine="480"/>
        <w:contextualSpacing/>
        <w:rPr>
          <w:rFonts w:eastAsia="方正仿宋简体"/>
          <w:sz w:val="24"/>
          <w:szCs w:val="22"/>
        </w:rPr>
      </w:pPr>
      <w:r>
        <w:rPr>
          <w:rFonts w:eastAsia="方正仿宋简体"/>
          <w:sz w:val="24"/>
          <w:szCs w:val="22"/>
        </w:rPr>
        <w:t>衍生品合约市值权益=∑（合约结算价×权利仓张数×合约单位）-∑[合约结算价×义务仓张数（含备兑）×合约单位]。按所持有合约汇总。单位：元，保留两位小数。</w:t>
      </w:r>
    </w:p>
    <w:p>
      <w:pPr>
        <w:widowControl/>
        <w:jc w:val="left"/>
        <w:rPr>
          <w:rFonts w:hint="eastAsia" w:eastAsia="方正仿宋简体"/>
          <w:bCs/>
          <w:sz w:val="30"/>
          <w:szCs w:val="30"/>
          <w:lang w:eastAsia="zh-CN"/>
        </w:rPr>
      </w:pPr>
      <w:r>
        <w:rPr>
          <w:rFonts w:eastAsia="方正仿宋简体"/>
          <w:sz w:val="24"/>
          <w:szCs w:val="22"/>
        </w:rPr>
        <w:br w:type="page"/>
      </w:r>
      <w:bookmarkStart w:id="272" w:name="_Toc25842065"/>
      <w:r>
        <w:rPr>
          <w:rFonts w:eastAsia="方正仿宋简体"/>
          <w:bCs/>
          <w:sz w:val="30"/>
          <w:szCs w:val="30"/>
        </w:rPr>
        <w:t>附件11：股票期权业务程序化交易</w:t>
      </w:r>
      <w:bookmarkEnd w:id="262"/>
      <w:r>
        <w:rPr>
          <w:rFonts w:eastAsia="方正仿宋简体"/>
          <w:bCs/>
          <w:sz w:val="30"/>
          <w:szCs w:val="30"/>
        </w:rPr>
        <w:t>报备表</w:t>
      </w:r>
      <w:bookmarkEnd w:id="272"/>
      <w:r>
        <w:rPr>
          <w:rFonts w:hint="eastAsia" w:eastAsia="方正仿宋简体"/>
          <w:bCs/>
          <w:sz w:val="30"/>
          <w:szCs w:val="30"/>
          <w:lang w:eastAsia="zh-CN"/>
        </w:rPr>
        <w:t>样表</w:t>
      </w:r>
    </w:p>
    <w:tbl>
      <w:tblPr>
        <w:tblStyle w:val="37"/>
        <w:tblW w:w="10492" w:type="dxa"/>
        <w:tblInd w:w="-885" w:type="dxa"/>
        <w:tblLayout w:type="autofit"/>
        <w:tblCellMar>
          <w:top w:w="0" w:type="dxa"/>
          <w:left w:w="108" w:type="dxa"/>
          <w:bottom w:w="0" w:type="dxa"/>
          <w:right w:w="108" w:type="dxa"/>
        </w:tblCellMar>
      </w:tblPr>
      <w:tblGrid>
        <w:gridCol w:w="728"/>
        <w:gridCol w:w="1133"/>
        <w:gridCol w:w="833"/>
        <w:gridCol w:w="15"/>
        <w:gridCol w:w="566"/>
        <w:gridCol w:w="1274"/>
        <w:gridCol w:w="849"/>
        <w:gridCol w:w="566"/>
        <w:gridCol w:w="636"/>
        <w:gridCol w:w="71"/>
        <w:gridCol w:w="1132"/>
        <w:gridCol w:w="283"/>
        <w:gridCol w:w="142"/>
        <w:gridCol w:w="2264"/>
      </w:tblGrid>
      <w:tr>
        <w:tblPrEx>
          <w:tblCellMar>
            <w:top w:w="0" w:type="dxa"/>
            <w:left w:w="108" w:type="dxa"/>
            <w:bottom w:w="0" w:type="dxa"/>
            <w:right w:w="108" w:type="dxa"/>
          </w:tblCellMar>
        </w:tblPrEx>
        <w:trPr>
          <w:trHeight w:val="270" w:hRule="atLeast"/>
        </w:trPr>
        <w:tc>
          <w:tcPr>
            <w:tcW w:w="2694" w:type="dxa"/>
            <w:gridSpan w:val="3"/>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ind w:right="-573" w:rightChars="-273"/>
              <w:jc w:val="left"/>
              <w:rPr>
                <w:rFonts w:eastAsia="方正仿宋简体"/>
                <w:kern w:val="0"/>
                <w:sz w:val="24"/>
                <w:szCs w:val="28"/>
              </w:rPr>
            </w:pPr>
            <w:r>
              <w:rPr>
                <w:rFonts w:eastAsia="方正仿宋简体"/>
                <w:kern w:val="0"/>
                <w:sz w:val="24"/>
                <w:szCs w:val="28"/>
              </w:rPr>
              <w:t>期权经营机构名称</w:t>
            </w:r>
          </w:p>
        </w:tc>
        <w:tc>
          <w:tcPr>
            <w:tcW w:w="2704" w:type="dxa"/>
            <w:gridSpan w:val="4"/>
            <w:tcBorders>
              <w:top w:val="single" w:color="auto" w:sz="4" w:space="0"/>
              <w:left w:val="nil"/>
              <w:bottom w:val="single" w:color="auto" w:sz="4" w:space="0"/>
              <w:right w:val="single" w:color="000000" w:sz="4" w:space="0"/>
            </w:tcBorders>
            <w:shd w:val="clear" w:color="auto" w:fill="auto"/>
            <w:noWrap/>
            <w:vAlign w:val="center"/>
          </w:tcPr>
          <w:p>
            <w:pPr>
              <w:widowControl/>
              <w:rPr>
                <w:rFonts w:eastAsia="方正仿宋简体"/>
                <w:kern w:val="0"/>
                <w:sz w:val="24"/>
                <w:szCs w:val="28"/>
              </w:rPr>
            </w:pPr>
          </w:p>
        </w:tc>
        <w:tc>
          <w:tcPr>
            <w:tcW w:w="2405" w:type="dxa"/>
            <w:gridSpan w:val="4"/>
            <w:tcBorders>
              <w:top w:val="single" w:color="auto" w:sz="4" w:space="0"/>
              <w:left w:val="nil"/>
              <w:bottom w:val="single" w:color="auto" w:sz="4" w:space="0"/>
              <w:right w:val="single" w:color="auto" w:sz="4" w:space="0"/>
            </w:tcBorders>
            <w:shd w:val="clear" w:color="auto" w:fill="auto"/>
            <w:noWrap/>
            <w:vAlign w:val="center"/>
          </w:tcPr>
          <w:p>
            <w:pPr>
              <w:widowControl/>
              <w:jc w:val="left"/>
              <w:rPr>
                <w:rFonts w:eastAsia="方正仿宋简体"/>
                <w:kern w:val="0"/>
                <w:sz w:val="24"/>
                <w:szCs w:val="28"/>
              </w:rPr>
            </w:pPr>
            <w:r>
              <w:rPr>
                <w:rFonts w:eastAsia="方正仿宋简体"/>
                <w:kern w:val="0"/>
                <w:sz w:val="24"/>
                <w:szCs w:val="28"/>
              </w:rPr>
              <w:t>期权经营机构编码</w:t>
            </w:r>
          </w:p>
        </w:tc>
        <w:tc>
          <w:tcPr>
            <w:tcW w:w="2689" w:type="dxa"/>
            <w:gridSpan w:val="3"/>
            <w:tcBorders>
              <w:top w:val="single" w:color="auto" w:sz="4" w:space="0"/>
              <w:left w:val="nil"/>
              <w:bottom w:val="single" w:color="auto" w:sz="4" w:space="0"/>
              <w:right w:val="single" w:color="auto" w:sz="4" w:space="0"/>
            </w:tcBorders>
            <w:shd w:val="clear" w:color="auto" w:fill="auto"/>
            <w:noWrap/>
            <w:vAlign w:val="center"/>
          </w:tcPr>
          <w:p>
            <w:pPr>
              <w:widowControl/>
              <w:rPr>
                <w:rFonts w:eastAsia="方正仿宋简体"/>
                <w:kern w:val="0"/>
                <w:sz w:val="24"/>
                <w:szCs w:val="28"/>
              </w:rPr>
            </w:pPr>
          </w:p>
        </w:tc>
      </w:tr>
      <w:tr>
        <w:tblPrEx>
          <w:tblCellMar>
            <w:top w:w="0" w:type="dxa"/>
            <w:left w:w="108" w:type="dxa"/>
            <w:bottom w:w="0" w:type="dxa"/>
            <w:right w:w="108" w:type="dxa"/>
          </w:tblCellMar>
        </w:tblPrEx>
        <w:trPr>
          <w:trHeight w:val="270" w:hRule="atLeast"/>
        </w:trPr>
        <w:tc>
          <w:tcPr>
            <w:tcW w:w="2694" w:type="dxa"/>
            <w:gridSpan w:val="3"/>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ind w:right="-573" w:rightChars="-273"/>
              <w:jc w:val="left"/>
              <w:rPr>
                <w:rFonts w:eastAsia="方正仿宋简体"/>
                <w:kern w:val="0"/>
                <w:sz w:val="24"/>
                <w:szCs w:val="28"/>
              </w:rPr>
            </w:pPr>
            <w:r>
              <w:rPr>
                <w:rFonts w:eastAsia="方正仿宋简体"/>
                <w:kern w:val="0"/>
                <w:sz w:val="24"/>
                <w:szCs w:val="28"/>
              </w:rPr>
              <w:t>报备账户类型</w:t>
            </w:r>
          </w:p>
        </w:tc>
        <w:tc>
          <w:tcPr>
            <w:tcW w:w="2704" w:type="dxa"/>
            <w:gridSpan w:val="4"/>
            <w:tcBorders>
              <w:top w:val="single" w:color="auto" w:sz="4" w:space="0"/>
              <w:left w:val="nil"/>
              <w:bottom w:val="single" w:color="auto" w:sz="4" w:space="0"/>
              <w:right w:val="single" w:color="000000" w:sz="4" w:space="0"/>
            </w:tcBorders>
            <w:shd w:val="clear" w:color="auto" w:fill="auto"/>
            <w:noWrap/>
            <w:vAlign w:val="center"/>
          </w:tcPr>
          <w:p>
            <w:pPr>
              <w:numPr>
                <w:ilvl w:val="0"/>
                <w:numId w:val="124"/>
              </w:numPr>
              <w:spacing w:before="156" w:beforeLines="50" w:after="156" w:afterLines="50"/>
              <w:rPr>
                <w:rFonts w:eastAsia="方正仿宋简体"/>
                <w:kern w:val="0"/>
                <w:sz w:val="24"/>
                <w:szCs w:val="28"/>
              </w:rPr>
            </w:pPr>
            <w:r>
              <w:rPr>
                <w:rFonts w:eastAsia="方正仿宋简体"/>
                <w:kern w:val="0"/>
                <w:sz w:val="24"/>
                <w:szCs w:val="28"/>
              </w:rPr>
              <w:t>首次报备</w:t>
            </w:r>
          </w:p>
          <w:p>
            <w:pPr>
              <w:numPr>
                <w:ilvl w:val="0"/>
                <w:numId w:val="124"/>
              </w:numPr>
              <w:spacing w:before="156" w:beforeLines="50" w:after="156" w:afterLines="50"/>
              <w:rPr>
                <w:rFonts w:eastAsia="方正仿宋简体"/>
                <w:kern w:val="0"/>
                <w:sz w:val="24"/>
                <w:szCs w:val="28"/>
              </w:rPr>
            </w:pPr>
            <w:r>
              <w:rPr>
                <w:rFonts w:eastAsia="方正仿宋简体"/>
                <w:kern w:val="0"/>
                <w:sz w:val="24"/>
                <w:szCs w:val="28"/>
              </w:rPr>
              <w:t>变更报备</w:t>
            </w:r>
          </w:p>
          <w:p>
            <w:pPr>
              <w:numPr>
                <w:ilvl w:val="0"/>
                <w:numId w:val="124"/>
              </w:numPr>
              <w:spacing w:before="156" w:beforeLines="50" w:after="156" w:afterLines="50"/>
              <w:rPr>
                <w:rFonts w:eastAsia="方正仿宋简体"/>
                <w:kern w:val="0"/>
                <w:sz w:val="24"/>
                <w:szCs w:val="28"/>
              </w:rPr>
            </w:pPr>
            <w:r>
              <w:rPr>
                <w:rFonts w:eastAsia="方正仿宋简体"/>
                <w:kern w:val="0"/>
                <w:sz w:val="24"/>
                <w:szCs w:val="28"/>
              </w:rPr>
              <w:t>撤销报备</w:t>
            </w:r>
          </w:p>
        </w:tc>
        <w:tc>
          <w:tcPr>
            <w:tcW w:w="2405" w:type="dxa"/>
            <w:gridSpan w:val="4"/>
            <w:tcBorders>
              <w:top w:val="single" w:color="auto" w:sz="4" w:space="0"/>
              <w:left w:val="nil"/>
              <w:bottom w:val="single" w:color="auto" w:sz="4" w:space="0"/>
              <w:right w:val="single" w:color="auto" w:sz="4" w:space="0"/>
            </w:tcBorders>
            <w:shd w:val="clear" w:color="auto" w:fill="auto"/>
            <w:noWrap/>
            <w:vAlign w:val="center"/>
          </w:tcPr>
          <w:p>
            <w:pPr>
              <w:widowControl/>
              <w:jc w:val="left"/>
              <w:rPr>
                <w:rFonts w:eastAsia="方正仿宋简体"/>
                <w:kern w:val="0"/>
                <w:sz w:val="24"/>
                <w:szCs w:val="28"/>
              </w:rPr>
            </w:pPr>
            <w:r>
              <w:rPr>
                <w:rFonts w:eastAsia="方正仿宋简体"/>
                <w:kern w:val="0"/>
                <w:sz w:val="24"/>
                <w:szCs w:val="28"/>
              </w:rPr>
              <w:t>报备账户类型</w:t>
            </w:r>
          </w:p>
        </w:tc>
        <w:tc>
          <w:tcPr>
            <w:tcW w:w="2689" w:type="dxa"/>
            <w:gridSpan w:val="3"/>
            <w:tcBorders>
              <w:top w:val="single" w:color="auto" w:sz="4" w:space="0"/>
              <w:left w:val="nil"/>
              <w:bottom w:val="single" w:color="auto" w:sz="4" w:space="0"/>
              <w:right w:val="single" w:color="auto" w:sz="4" w:space="0"/>
            </w:tcBorders>
            <w:shd w:val="clear" w:color="auto" w:fill="auto"/>
            <w:noWrap/>
            <w:vAlign w:val="center"/>
          </w:tcPr>
          <w:p>
            <w:pPr>
              <w:numPr>
                <w:ilvl w:val="0"/>
                <w:numId w:val="124"/>
              </w:numPr>
              <w:spacing w:before="156" w:beforeLines="50" w:after="156" w:afterLines="50"/>
              <w:rPr>
                <w:rFonts w:eastAsia="方正仿宋简体"/>
                <w:kern w:val="0"/>
                <w:sz w:val="24"/>
                <w:szCs w:val="28"/>
              </w:rPr>
            </w:pPr>
            <w:r>
              <w:rPr>
                <w:rFonts w:eastAsia="方正仿宋简体"/>
                <w:kern w:val="0"/>
                <w:sz w:val="24"/>
                <w:szCs w:val="28"/>
              </w:rPr>
              <w:t>个人账户</w:t>
            </w:r>
          </w:p>
          <w:p>
            <w:pPr>
              <w:numPr>
                <w:ilvl w:val="0"/>
                <w:numId w:val="124"/>
              </w:numPr>
              <w:spacing w:before="156" w:beforeLines="50" w:after="156" w:afterLines="50"/>
              <w:rPr>
                <w:rFonts w:eastAsia="方正仿宋简体"/>
                <w:kern w:val="0"/>
                <w:sz w:val="24"/>
                <w:szCs w:val="28"/>
              </w:rPr>
            </w:pPr>
            <w:r>
              <w:rPr>
                <w:rFonts w:eastAsia="方正仿宋简体"/>
                <w:kern w:val="0"/>
                <w:sz w:val="24"/>
                <w:szCs w:val="28"/>
              </w:rPr>
              <w:t>机构账户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492" w:type="dxa"/>
            <w:gridSpan w:val="14"/>
            <w:shd w:val="clear" w:color="auto" w:fill="EEECE1"/>
          </w:tcPr>
          <w:p>
            <w:pPr>
              <w:spacing w:before="156" w:beforeLines="50" w:after="156" w:afterLines="50"/>
              <w:jc w:val="center"/>
              <w:rPr>
                <w:rFonts w:eastAsia="方正仿宋简体"/>
                <w:b/>
                <w:sz w:val="24"/>
                <w:szCs w:val="24"/>
              </w:rPr>
            </w:pPr>
            <w:r>
              <w:rPr>
                <w:rFonts w:eastAsia="方正仿宋简体"/>
                <w:b/>
                <w:sz w:val="24"/>
                <w:szCs w:val="24"/>
              </w:rPr>
              <w:t>个人账户报备信息（个人账户填写）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709" w:type="dxa"/>
            <w:gridSpan w:val="4"/>
          </w:tcPr>
          <w:p>
            <w:pPr>
              <w:spacing w:before="156" w:beforeLines="50" w:after="156" w:afterLines="50"/>
              <w:rPr>
                <w:rFonts w:eastAsia="方正仿宋简体"/>
                <w:sz w:val="24"/>
                <w:szCs w:val="24"/>
              </w:rPr>
            </w:pPr>
            <w:r>
              <w:rPr>
                <w:rFonts w:eastAsia="方正仿宋简体"/>
                <w:sz w:val="24"/>
                <w:szCs w:val="24"/>
              </w:rPr>
              <w:t>账户名称</w:t>
            </w:r>
          </w:p>
        </w:tc>
        <w:tc>
          <w:tcPr>
            <w:tcW w:w="2689" w:type="dxa"/>
            <w:gridSpan w:val="3"/>
          </w:tcPr>
          <w:p>
            <w:pPr>
              <w:spacing w:before="156" w:beforeLines="50" w:after="156" w:afterLines="50"/>
              <w:rPr>
                <w:rFonts w:eastAsia="方正仿宋简体"/>
                <w:sz w:val="24"/>
                <w:szCs w:val="24"/>
              </w:rPr>
            </w:pPr>
          </w:p>
        </w:tc>
        <w:tc>
          <w:tcPr>
            <w:tcW w:w="2405" w:type="dxa"/>
            <w:gridSpan w:val="4"/>
          </w:tcPr>
          <w:p>
            <w:pPr>
              <w:spacing w:before="156" w:beforeLines="50" w:after="156" w:afterLines="50"/>
              <w:rPr>
                <w:rFonts w:eastAsia="方正仿宋简体"/>
                <w:sz w:val="24"/>
                <w:szCs w:val="24"/>
              </w:rPr>
            </w:pPr>
            <w:r>
              <w:rPr>
                <w:rFonts w:eastAsia="方正仿宋简体"/>
                <w:sz w:val="24"/>
                <w:szCs w:val="24"/>
              </w:rPr>
              <w:t>合约账户</w:t>
            </w:r>
          </w:p>
        </w:tc>
        <w:tc>
          <w:tcPr>
            <w:tcW w:w="2689" w:type="dxa"/>
            <w:gridSpan w:val="3"/>
          </w:tcPr>
          <w:p>
            <w:pPr>
              <w:spacing w:before="156" w:beforeLines="50" w:after="156" w:afterLines="50"/>
              <w:rPr>
                <w:rFonts w:eastAsia="方正仿宋简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709" w:type="dxa"/>
            <w:gridSpan w:val="4"/>
          </w:tcPr>
          <w:p>
            <w:pPr>
              <w:spacing w:before="156" w:beforeLines="50" w:after="156" w:afterLines="50"/>
              <w:rPr>
                <w:rFonts w:eastAsia="方正仿宋简体"/>
                <w:sz w:val="24"/>
                <w:szCs w:val="24"/>
              </w:rPr>
            </w:pPr>
            <w:r>
              <w:rPr>
                <w:rFonts w:eastAsia="方正仿宋简体"/>
                <w:sz w:val="24"/>
                <w:szCs w:val="24"/>
              </w:rPr>
              <w:t>两融账户</w:t>
            </w:r>
          </w:p>
        </w:tc>
        <w:tc>
          <w:tcPr>
            <w:tcW w:w="2689" w:type="dxa"/>
            <w:gridSpan w:val="3"/>
          </w:tcPr>
          <w:p>
            <w:pPr>
              <w:spacing w:before="156" w:beforeLines="50" w:after="156" w:afterLines="50"/>
              <w:rPr>
                <w:rFonts w:eastAsia="方正仿宋简体"/>
                <w:sz w:val="24"/>
                <w:szCs w:val="24"/>
              </w:rPr>
            </w:pPr>
          </w:p>
        </w:tc>
        <w:tc>
          <w:tcPr>
            <w:tcW w:w="2405" w:type="dxa"/>
            <w:gridSpan w:val="4"/>
          </w:tcPr>
          <w:p>
            <w:pPr>
              <w:spacing w:before="156" w:beforeLines="50" w:after="156" w:afterLines="50"/>
              <w:rPr>
                <w:rFonts w:eastAsia="方正仿宋简体"/>
                <w:sz w:val="24"/>
                <w:szCs w:val="24"/>
              </w:rPr>
            </w:pPr>
          </w:p>
        </w:tc>
        <w:tc>
          <w:tcPr>
            <w:tcW w:w="2689" w:type="dxa"/>
            <w:gridSpan w:val="3"/>
          </w:tcPr>
          <w:p>
            <w:pPr>
              <w:spacing w:before="156" w:beforeLines="50" w:after="156" w:afterLines="50"/>
              <w:rPr>
                <w:rFonts w:eastAsia="方正仿宋简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709" w:type="dxa"/>
            <w:gridSpan w:val="4"/>
          </w:tcPr>
          <w:p>
            <w:pPr>
              <w:spacing w:before="156" w:beforeLines="50" w:after="156" w:afterLines="50"/>
              <w:rPr>
                <w:rFonts w:eastAsia="方正仿宋简体"/>
                <w:sz w:val="24"/>
                <w:szCs w:val="24"/>
              </w:rPr>
            </w:pPr>
            <w:r>
              <w:rPr>
                <w:rFonts w:eastAsia="方正仿宋简体"/>
                <w:sz w:val="24"/>
                <w:szCs w:val="24"/>
              </w:rPr>
              <w:t>身份证或开户有效证件</w:t>
            </w:r>
          </w:p>
        </w:tc>
        <w:tc>
          <w:tcPr>
            <w:tcW w:w="2689" w:type="dxa"/>
            <w:gridSpan w:val="3"/>
          </w:tcPr>
          <w:p>
            <w:pPr>
              <w:spacing w:before="156" w:beforeLines="50" w:after="156" w:afterLines="50"/>
              <w:rPr>
                <w:rFonts w:eastAsia="方正仿宋简体"/>
                <w:sz w:val="24"/>
                <w:szCs w:val="24"/>
              </w:rPr>
            </w:pPr>
          </w:p>
        </w:tc>
        <w:tc>
          <w:tcPr>
            <w:tcW w:w="2405" w:type="dxa"/>
            <w:gridSpan w:val="4"/>
          </w:tcPr>
          <w:p>
            <w:pPr>
              <w:spacing w:before="156" w:beforeLines="50" w:after="156" w:afterLines="50"/>
              <w:rPr>
                <w:rFonts w:eastAsia="方正仿宋简体"/>
                <w:sz w:val="24"/>
                <w:szCs w:val="24"/>
              </w:rPr>
            </w:pPr>
            <w:r>
              <w:rPr>
                <w:rFonts w:eastAsia="方正仿宋简体"/>
                <w:sz w:val="24"/>
                <w:szCs w:val="24"/>
              </w:rPr>
              <w:t>交易单元</w:t>
            </w:r>
          </w:p>
        </w:tc>
        <w:tc>
          <w:tcPr>
            <w:tcW w:w="2689" w:type="dxa"/>
            <w:gridSpan w:val="3"/>
          </w:tcPr>
          <w:p>
            <w:pPr>
              <w:spacing w:before="156" w:beforeLines="50" w:after="156" w:afterLines="50"/>
              <w:rPr>
                <w:rFonts w:eastAsia="方正仿宋简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709" w:type="dxa"/>
            <w:gridSpan w:val="4"/>
          </w:tcPr>
          <w:p>
            <w:pPr>
              <w:spacing w:before="156" w:beforeLines="50" w:after="156" w:afterLines="50"/>
              <w:rPr>
                <w:rFonts w:eastAsia="方正仿宋简体"/>
                <w:sz w:val="24"/>
                <w:szCs w:val="24"/>
              </w:rPr>
            </w:pPr>
            <w:r>
              <w:rPr>
                <w:rFonts w:eastAsia="方正仿宋简体"/>
                <w:sz w:val="24"/>
                <w:szCs w:val="24"/>
              </w:rPr>
              <w:t>联系电话</w:t>
            </w:r>
          </w:p>
        </w:tc>
        <w:tc>
          <w:tcPr>
            <w:tcW w:w="2689" w:type="dxa"/>
            <w:gridSpan w:val="3"/>
          </w:tcPr>
          <w:p>
            <w:pPr>
              <w:spacing w:before="156" w:beforeLines="50" w:after="156" w:afterLines="50"/>
              <w:rPr>
                <w:rFonts w:eastAsia="方正仿宋简体"/>
                <w:sz w:val="24"/>
                <w:szCs w:val="24"/>
              </w:rPr>
            </w:pPr>
          </w:p>
        </w:tc>
        <w:tc>
          <w:tcPr>
            <w:tcW w:w="2405" w:type="dxa"/>
            <w:gridSpan w:val="4"/>
          </w:tcPr>
          <w:p>
            <w:pPr>
              <w:spacing w:before="156" w:beforeLines="50" w:after="156" w:afterLines="50"/>
              <w:rPr>
                <w:rFonts w:eastAsia="方正仿宋简体"/>
                <w:sz w:val="24"/>
                <w:szCs w:val="24"/>
              </w:rPr>
            </w:pPr>
            <w:r>
              <w:rPr>
                <w:rFonts w:eastAsia="方正仿宋简体"/>
                <w:sz w:val="24"/>
                <w:szCs w:val="24"/>
              </w:rPr>
              <w:t>电子邮箱</w:t>
            </w:r>
          </w:p>
        </w:tc>
        <w:tc>
          <w:tcPr>
            <w:tcW w:w="2689" w:type="dxa"/>
            <w:gridSpan w:val="3"/>
          </w:tcPr>
          <w:p>
            <w:pPr>
              <w:spacing w:before="156" w:beforeLines="50" w:after="156" w:afterLines="50"/>
              <w:rPr>
                <w:rFonts w:eastAsia="方正仿宋简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709" w:type="dxa"/>
            <w:gridSpan w:val="4"/>
            <w:tcBorders>
              <w:bottom w:val="single" w:color="auto" w:sz="4" w:space="0"/>
            </w:tcBorders>
          </w:tcPr>
          <w:p>
            <w:pPr>
              <w:spacing w:before="156" w:beforeLines="50" w:after="156" w:afterLines="50"/>
              <w:rPr>
                <w:rFonts w:eastAsia="方正仿宋简体"/>
                <w:sz w:val="24"/>
                <w:szCs w:val="24"/>
              </w:rPr>
            </w:pPr>
            <w:r>
              <w:rPr>
                <w:rFonts w:eastAsia="方正仿宋简体"/>
                <w:sz w:val="24"/>
                <w:szCs w:val="24"/>
              </w:rPr>
              <w:t>资金规模</w:t>
            </w:r>
          </w:p>
        </w:tc>
        <w:tc>
          <w:tcPr>
            <w:tcW w:w="2689" w:type="dxa"/>
            <w:gridSpan w:val="3"/>
            <w:tcBorders>
              <w:bottom w:val="single" w:color="auto" w:sz="4" w:space="0"/>
            </w:tcBorders>
          </w:tcPr>
          <w:p>
            <w:pPr>
              <w:spacing w:before="156" w:beforeLines="50" w:after="156" w:afterLines="50"/>
              <w:rPr>
                <w:rFonts w:eastAsia="方正仿宋简体"/>
                <w:sz w:val="24"/>
                <w:szCs w:val="24"/>
              </w:rPr>
            </w:pPr>
          </w:p>
        </w:tc>
        <w:tc>
          <w:tcPr>
            <w:tcW w:w="2405" w:type="dxa"/>
            <w:gridSpan w:val="4"/>
            <w:tcBorders>
              <w:bottom w:val="single" w:color="auto" w:sz="4" w:space="0"/>
            </w:tcBorders>
          </w:tcPr>
          <w:p>
            <w:pPr>
              <w:spacing w:before="156" w:beforeLines="50" w:after="156" w:afterLines="50"/>
              <w:rPr>
                <w:rFonts w:eastAsia="方正仿宋简体"/>
                <w:sz w:val="24"/>
                <w:szCs w:val="24"/>
              </w:rPr>
            </w:pPr>
            <w:r>
              <w:rPr>
                <w:rFonts w:eastAsia="方正仿宋简体"/>
                <w:sz w:val="24"/>
                <w:szCs w:val="24"/>
              </w:rPr>
              <w:t>资金来源</w:t>
            </w:r>
          </w:p>
        </w:tc>
        <w:tc>
          <w:tcPr>
            <w:tcW w:w="2689" w:type="dxa"/>
            <w:gridSpan w:val="3"/>
            <w:tcBorders>
              <w:bottom w:val="single" w:color="auto" w:sz="4" w:space="0"/>
            </w:tcBorders>
          </w:tcPr>
          <w:p>
            <w:pPr>
              <w:spacing w:before="156" w:beforeLines="50" w:after="156" w:afterLines="50"/>
              <w:rPr>
                <w:rFonts w:eastAsia="方正仿宋简体"/>
                <w:sz w:val="24"/>
                <w:szCs w:val="24"/>
              </w:rPr>
            </w:pPr>
            <w:r>
              <w:rPr>
                <w:rFonts w:eastAsia="方正仿宋简体"/>
                <w:sz w:val="24"/>
                <w:szCs w:val="28"/>
              </w:rPr>
              <w:t xml:space="preserve">□ </w:t>
            </w:r>
            <w:r>
              <w:rPr>
                <w:rFonts w:eastAsia="方正仿宋简体"/>
                <w:sz w:val="24"/>
                <w:szCs w:val="24"/>
              </w:rPr>
              <w:t>个人自有资金</w:t>
            </w:r>
          </w:p>
          <w:p>
            <w:pPr>
              <w:spacing w:before="156" w:beforeLines="50" w:after="156" w:afterLines="50"/>
              <w:rPr>
                <w:rFonts w:eastAsia="方正仿宋简体"/>
                <w:sz w:val="24"/>
                <w:szCs w:val="24"/>
              </w:rPr>
            </w:pPr>
            <w:r>
              <w:rPr>
                <w:rFonts w:eastAsia="方正仿宋简体"/>
                <w:sz w:val="24"/>
                <w:szCs w:val="28"/>
              </w:rPr>
              <w:t xml:space="preserve">□ </w:t>
            </w:r>
            <w:r>
              <w:rPr>
                <w:rFonts w:eastAsia="方正仿宋简体"/>
                <w:sz w:val="24"/>
                <w:szCs w:val="24"/>
              </w:rPr>
              <w:t>其他（请填写）</w:t>
            </w:r>
          </w:p>
          <w:p>
            <w:pPr>
              <w:spacing w:before="156" w:beforeLines="50" w:after="156" w:afterLines="50"/>
              <w:rPr>
                <w:rFonts w:eastAsia="方正仿宋简体"/>
                <w:sz w:val="24"/>
                <w:szCs w:val="24"/>
              </w:rPr>
            </w:pPr>
            <w:r>
              <w:rPr>
                <w:rFonts w:eastAsia="方正仿宋简体"/>
                <w:sz w:val="24"/>
                <w:szCs w:val="24"/>
                <w:u w:val="single"/>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492" w:type="dxa"/>
            <w:gridSpan w:val="14"/>
            <w:shd w:val="clear" w:color="auto" w:fill="EEECE1"/>
          </w:tcPr>
          <w:p>
            <w:pPr>
              <w:spacing w:before="156" w:beforeLines="50" w:after="156" w:afterLines="50"/>
              <w:jc w:val="center"/>
              <w:rPr>
                <w:rFonts w:eastAsia="方正仿宋简体"/>
                <w:b/>
                <w:sz w:val="24"/>
                <w:szCs w:val="24"/>
              </w:rPr>
            </w:pPr>
            <w:r>
              <w:rPr>
                <w:rFonts w:eastAsia="方正仿宋简体"/>
                <w:b/>
                <w:sz w:val="24"/>
                <w:szCs w:val="24"/>
              </w:rPr>
              <w:t>机构账户报备信息（机构账户填写）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709" w:type="dxa"/>
            <w:gridSpan w:val="4"/>
          </w:tcPr>
          <w:p>
            <w:pPr>
              <w:spacing w:before="156" w:beforeLines="50" w:after="156" w:afterLines="50"/>
              <w:rPr>
                <w:rFonts w:eastAsia="方正仿宋简体"/>
                <w:sz w:val="24"/>
                <w:szCs w:val="24"/>
              </w:rPr>
            </w:pPr>
            <w:r>
              <w:rPr>
                <w:rFonts w:eastAsia="方正仿宋简体"/>
                <w:sz w:val="24"/>
                <w:szCs w:val="24"/>
              </w:rPr>
              <w:t>账户名称</w:t>
            </w:r>
          </w:p>
        </w:tc>
        <w:tc>
          <w:tcPr>
            <w:tcW w:w="2689" w:type="dxa"/>
            <w:gridSpan w:val="3"/>
          </w:tcPr>
          <w:p>
            <w:pPr>
              <w:spacing w:before="156" w:beforeLines="50" w:after="156" w:afterLines="50"/>
              <w:rPr>
                <w:rFonts w:eastAsia="方正仿宋简体"/>
                <w:sz w:val="24"/>
                <w:szCs w:val="24"/>
              </w:rPr>
            </w:pPr>
          </w:p>
        </w:tc>
        <w:tc>
          <w:tcPr>
            <w:tcW w:w="2405" w:type="dxa"/>
            <w:gridSpan w:val="4"/>
          </w:tcPr>
          <w:p>
            <w:pPr>
              <w:spacing w:before="156" w:beforeLines="50" w:after="156" w:afterLines="50"/>
              <w:rPr>
                <w:rFonts w:eastAsia="方正仿宋简体"/>
                <w:sz w:val="24"/>
                <w:szCs w:val="24"/>
              </w:rPr>
            </w:pPr>
            <w:r>
              <w:rPr>
                <w:rFonts w:eastAsia="方正仿宋简体"/>
                <w:sz w:val="24"/>
                <w:szCs w:val="24"/>
              </w:rPr>
              <w:t>合约账户</w:t>
            </w:r>
          </w:p>
        </w:tc>
        <w:tc>
          <w:tcPr>
            <w:tcW w:w="2689" w:type="dxa"/>
            <w:gridSpan w:val="3"/>
          </w:tcPr>
          <w:p>
            <w:pPr>
              <w:spacing w:before="156" w:beforeLines="50" w:after="156" w:afterLines="50"/>
              <w:rPr>
                <w:rFonts w:eastAsia="方正仿宋简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709" w:type="dxa"/>
            <w:gridSpan w:val="4"/>
          </w:tcPr>
          <w:p>
            <w:pPr>
              <w:spacing w:before="156" w:beforeLines="50" w:after="156" w:afterLines="50"/>
              <w:rPr>
                <w:rFonts w:eastAsia="方正仿宋简体"/>
                <w:sz w:val="24"/>
                <w:szCs w:val="24"/>
              </w:rPr>
            </w:pPr>
            <w:r>
              <w:rPr>
                <w:rFonts w:eastAsia="方正仿宋简体"/>
                <w:sz w:val="24"/>
                <w:szCs w:val="24"/>
              </w:rPr>
              <w:t>两融账户</w:t>
            </w:r>
          </w:p>
        </w:tc>
        <w:tc>
          <w:tcPr>
            <w:tcW w:w="2689" w:type="dxa"/>
            <w:gridSpan w:val="3"/>
          </w:tcPr>
          <w:p>
            <w:pPr>
              <w:spacing w:before="156" w:beforeLines="50" w:after="156" w:afterLines="50"/>
              <w:rPr>
                <w:rFonts w:eastAsia="方正仿宋简体"/>
                <w:sz w:val="24"/>
                <w:szCs w:val="24"/>
              </w:rPr>
            </w:pPr>
          </w:p>
        </w:tc>
        <w:tc>
          <w:tcPr>
            <w:tcW w:w="2405" w:type="dxa"/>
            <w:gridSpan w:val="4"/>
          </w:tcPr>
          <w:p>
            <w:pPr>
              <w:spacing w:before="156" w:beforeLines="50" w:after="156" w:afterLines="50"/>
              <w:rPr>
                <w:rFonts w:eastAsia="方正仿宋简体"/>
                <w:sz w:val="24"/>
                <w:szCs w:val="24"/>
              </w:rPr>
            </w:pPr>
            <w:r>
              <w:rPr>
                <w:rFonts w:eastAsia="方正仿宋简体"/>
                <w:sz w:val="24"/>
                <w:szCs w:val="24"/>
              </w:rPr>
              <w:t>期货账户</w:t>
            </w:r>
          </w:p>
        </w:tc>
        <w:tc>
          <w:tcPr>
            <w:tcW w:w="2689" w:type="dxa"/>
            <w:gridSpan w:val="3"/>
          </w:tcPr>
          <w:p>
            <w:pPr>
              <w:spacing w:before="156" w:beforeLines="50" w:after="156" w:afterLines="50"/>
              <w:rPr>
                <w:rFonts w:eastAsia="方正仿宋简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709" w:type="dxa"/>
            <w:gridSpan w:val="4"/>
          </w:tcPr>
          <w:p>
            <w:pPr>
              <w:spacing w:before="156" w:beforeLines="50" w:after="156" w:afterLines="50"/>
              <w:rPr>
                <w:rFonts w:eastAsia="方正仿宋简体"/>
                <w:sz w:val="24"/>
                <w:szCs w:val="24"/>
              </w:rPr>
            </w:pPr>
            <w:r>
              <w:rPr>
                <w:rFonts w:eastAsia="方正仿宋简体"/>
                <w:sz w:val="24"/>
                <w:szCs w:val="24"/>
              </w:rPr>
              <w:t>组织机构代码</w:t>
            </w:r>
          </w:p>
        </w:tc>
        <w:tc>
          <w:tcPr>
            <w:tcW w:w="2689" w:type="dxa"/>
            <w:gridSpan w:val="3"/>
          </w:tcPr>
          <w:p>
            <w:pPr>
              <w:spacing w:before="156" w:beforeLines="50" w:after="156" w:afterLines="50"/>
              <w:rPr>
                <w:rFonts w:eastAsia="方正仿宋简体"/>
                <w:sz w:val="24"/>
                <w:szCs w:val="24"/>
              </w:rPr>
            </w:pPr>
          </w:p>
        </w:tc>
        <w:tc>
          <w:tcPr>
            <w:tcW w:w="2405" w:type="dxa"/>
            <w:gridSpan w:val="4"/>
          </w:tcPr>
          <w:p>
            <w:pPr>
              <w:spacing w:before="156" w:beforeLines="50" w:after="156" w:afterLines="50"/>
              <w:rPr>
                <w:rFonts w:eastAsia="方正仿宋简体"/>
                <w:sz w:val="24"/>
                <w:szCs w:val="24"/>
              </w:rPr>
            </w:pPr>
            <w:r>
              <w:rPr>
                <w:rFonts w:eastAsia="方正仿宋简体"/>
                <w:sz w:val="24"/>
                <w:szCs w:val="24"/>
              </w:rPr>
              <w:t>交易单元</w:t>
            </w:r>
          </w:p>
        </w:tc>
        <w:tc>
          <w:tcPr>
            <w:tcW w:w="2689" w:type="dxa"/>
            <w:gridSpan w:val="3"/>
          </w:tcPr>
          <w:p>
            <w:pPr>
              <w:spacing w:before="156" w:beforeLines="50" w:after="156" w:afterLines="50"/>
              <w:rPr>
                <w:rFonts w:eastAsia="方正仿宋简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709" w:type="dxa"/>
            <w:gridSpan w:val="4"/>
          </w:tcPr>
          <w:p>
            <w:pPr>
              <w:spacing w:before="156" w:beforeLines="50" w:after="156" w:afterLines="50"/>
              <w:rPr>
                <w:rFonts w:eastAsia="方正仿宋简体"/>
                <w:sz w:val="24"/>
                <w:szCs w:val="24"/>
              </w:rPr>
            </w:pPr>
            <w:r>
              <w:rPr>
                <w:rFonts w:eastAsia="方正仿宋简体"/>
                <w:sz w:val="24"/>
                <w:szCs w:val="24"/>
              </w:rPr>
              <w:t>联系人电话</w:t>
            </w:r>
          </w:p>
        </w:tc>
        <w:tc>
          <w:tcPr>
            <w:tcW w:w="2689" w:type="dxa"/>
            <w:gridSpan w:val="3"/>
          </w:tcPr>
          <w:p>
            <w:pPr>
              <w:spacing w:before="156" w:beforeLines="50" w:after="156" w:afterLines="50"/>
              <w:rPr>
                <w:rFonts w:eastAsia="方正仿宋简体"/>
                <w:sz w:val="24"/>
                <w:szCs w:val="24"/>
              </w:rPr>
            </w:pPr>
          </w:p>
        </w:tc>
        <w:tc>
          <w:tcPr>
            <w:tcW w:w="2405" w:type="dxa"/>
            <w:gridSpan w:val="4"/>
          </w:tcPr>
          <w:p>
            <w:pPr>
              <w:spacing w:before="156" w:beforeLines="50" w:after="156" w:afterLines="50"/>
              <w:rPr>
                <w:rFonts w:eastAsia="方正仿宋简体"/>
                <w:sz w:val="24"/>
                <w:szCs w:val="24"/>
              </w:rPr>
            </w:pPr>
            <w:r>
              <w:rPr>
                <w:rFonts w:eastAsia="方正仿宋简体"/>
                <w:sz w:val="24"/>
                <w:szCs w:val="24"/>
              </w:rPr>
              <w:t>联系人邮箱</w:t>
            </w:r>
          </w:p>
        </w:tc>
        <w:tc>
          <w:tcPr>
            <w:tcW w:w="2689" w:type="dxa"/>
            <w:gridSpan w:val="3"/>
          </w:tcPr>
          <w:p>
            <w:pPr>
              <w:spacing w:before="156" w:beforeLines="50" w:after="156" w:afterLines="50"/>
              <w:rPr>
                <w:rFonts w:eastAsia="方正仿宋简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709" w:type="dxa"/>
            <w:gridSpan w:val="4"/>
          </w:tcPr>
          <w:p>
            <w:pPr>
              <w:spacing w:before="156" w:beforeLines="50" w:after="156" w:afterLines="50"/>
              <w:rPr>
                <w:rFonts w:eastAsia="方正仿宋简体"/>
                <w:sz w:val="24"/>
                <w:szCs w:val="24"/>
              </w:rPr>
            </w:pPr>
            <w:r>
              <w:rPr>
                <w:rFonts w:eastAsia="方正仿宋简体"/>
                <w:sz w:val="24"/>
                <w:szCs w:val="24"/>
              </w:rPr>
              <w:t>账户类型</w:t>
            </w:r>
          </w:p>
        </w:tc>
        <w:tc>
          <w:tcPr>
            <w:tcW w:w="7783" w:type="dxa"/>
            <w:gridSpan w:val="10"/>
          </w:tcPr>
          <w:p>
            <w:pPr>
              <w:spacing w:before="156" w:beforeLines="50" w:after="156" w:afterLines="50"/>
              <w:rPr>
                <w:rFonts w:eastAsia="方正仿宋简体"/>
                <w:sz w:val="24"/>
                <w:szCs w:val="24"/>
              </w:rPr>
            </w:pPr>
            <w:r>
              <w:rPr>
                <w:rFonts w:eastAsia="方正仿宋简体"/>
                <w:sz w:val="24"/>
                <w:szCs w:val="28"/>
              </w:rPr>
              <w:t>□</w:t>
            </w:r>
            <w:r>
              <w:rPr>
                <w:rFonts w:eastAsia="方正仿宋简体"/>
                <w:sz w:val="24"/>
                <w:szCs w:val="24"/>
              </w:rPr>
              <w:t xml:space="preserve">一般机构                         </w:t>
            </w:r>
            <w:r>
              <w:rPr>
                <w:rFonts w:eastAsia="方正仿宋简体"/>
                <w:sz w:val="24"/>
                <w:szCs w:val="28"/>
              </w:rPr>
              <w:t>□</w:t>
            </w:r>
            <w:r>
              <w:rPr>
                <w:rFonts w:eastAsia="方正仿宋简体"/>
                <w:sz w:val="24"/>
                <w:szCs w:val="24"/>
              </w:rPr>
              <w:t xml:space="preserve">券商自营               </w:t>
            </w:r>
          </w:p>
          <w:p>
            <w:pPr>
              <w:spacing w:before="156" w:beforeLines="50" w:after="156" w:afterLines="50"/>
              <w:rPr>
                <w:rFonts w:eastAsia="方正仿宋简体"/>
                <w:sz w:val="24"/>
                <w:szCs w:val="24"/>
              </w:rPr>
            </w:pPr>
            <w:r>
              <w:rPr>
                <w:rFonts w:eastAsia="方正仿宋简体"/>
                <w:sz w:val="24"/>
                <w:szCs w:val="28"/>
              </w:rPr>
              <w:t>□</w:t>
            </w:r>
            <w:r>
              <w:rPr>
                <w:rFonts w:eastAsia="方正仿宋简体"/>
                <w:sz w:val="24"/>
                <w:szCs w:val="24"/>
              </w:rPr>
              <w:t xml:space="preserve">券商集合理财                     </w:t>
            </w:r>
            <w:r>
              <w:rPr>
                <w:rFonts w:eastAsia="方正仿宋简体"/>
                <w:sz w:val="24"/>
                <w:szCs w:val="28"/>
              </w:rPr>
              <w:t>□</w:t>
            </w:r>
            <w:r>
              <w:rPr>
                <w:rFonts w:eastAsia="方正仿宋简体"/>
                <w:sz w:val="24"/>
                <w:szCs w:val="24"/>
              </w:rPr>
              <w:t xml:space="preserve">公募基金                         </w:t>
            </w:r>
          </w:p>
          <w:p>
            <w:pPr>
              <w:spacing w:before="156" w:beforeLines="50" w:after="156" w:afterLines="50"/>
              <w:rPr>
                <w:rFonts w:eastAsia="方正仿宋简体"/>
                <w:sz w:val="24"/>
                <w:szCs w:val="24"/>
              </w:rPr>
            </w:pPr>
            <w:r>
              <w:rPr>
                <w:rFonts w:eastAsia="方正仿宋简体"/>
                <w:sz w:val="24"/>
                <w:szCs w:val="28"/>
              </w:rPr>
              <w:t>□</w:t>
            </w:r>
            <w:r>
              <w:rPr>
                <w:rFonts w:eastAsia="方正仿宋简体"/>
                <w:sz w:val="24"/>
                <w:szCs w:val="24"/>
              </w:rPr>
              <w:t xml:space="preserve">公募专户                         </w:t>
            </w:r>
            <w:r>
              <w:rPr>
                <w:rFonts w:eastAsia="方正仿宋简体"/>
                <w:sz w:val="24"/>
                <w:szCs w:val="28"/>
              </w:rPr>
              <w:t>□</w:t>
            </w:r>
            <w:r>
              <w:rPr>
                <w:rFonts w:eastAsia="方正仿宋简体"/>
                <w:sz w:val="24"/>
                <w:szCs w:val="24"/>
              </w:rPr>
              <w:t xml:space="preserve">保险产品                         </w:t>
            </w:r>
          </w:p>
          <w:p>
            <w:pPr>
              <w:spacing w:before="156" w:beforeLines="50" w:after="156" w:afterLines="50"/>
              <w:rPr>
                <w:rFonts w:eastAsia="方正仿宋简体"/>
                <w:sz w:val="24"/>
                <w:szCs w:val="24"/>
              </w:rPr>
            </w:pPr>
            <w:r>
              <w:rPr>
                <w:rFonts w:eastAsia="方正仿宋简体"/>
                <w:sz w:val="24"/>
                <w:szCs w:val="28"/>
              </w:rPr>
              <w:t>□</w:t>
            </w:r>
            <w:r>
              <w:rPr>
                <w:rFonts w:eastAsia="方正仿宋简体"/>
                <w:sz w:val="24"/>
                <w:szCs w:val="24"/>
              </w:rPr>
              <w:t xml:space="preserve">信托产品                         </w:t>
            </w:r>
            <w:r>
              <w:rPr>
                <w:rFonts w:eastAsia="方正仿宋简体"/>
                <w:sz w:val="24"/>
                <w:szCs w:val="28"/>
              </w:rPr>
              <w:t>□</w:t>
            </w:r>
            <w:r>
              <w:rPr>
                <w:rFonts w:eastAsia="方正仿宋简体"/>
                <w:sz w:val="24"/>
                <w:szCs w:val="24"/>
              </w:rPr>
              <w:t xml:space="preserve">私募基金                         </w:t>
            </w:r>
          </w:p>
          <w:p>
            <w:pPr>
              <w:spacing w:before="156" w:beforeLines="50" w:after="156" w:afterLines="50"/>
              <w:rPr>
                <w:rFonts w:eastAsia="方正仿宋简体"/>
                <w:sz w:val="24"/>
                <w:szCs w:val="24"/>
              </w:rPr>
            </w:pPr>
            <w:r>
              <w:rPr>
                <w:rFonts w:eastAsia="方正仿宋简体"/>
                <w:sz w:val="24"/>
                <w:szCs w:val="28"/>
              </w:rPr>
              <w:t>□</w:t>
            </w:r>
            <w:r>
              <w:rPr>
                <w:rFonts w:eastAsia="方正仿宋简体"/>
                <w:sz w:val="24"/>
                <w:szCs w:val="24"/>
              </w:rPr>
              <w:t>其他（请填写）</w:t>
            </w:r>
            <w:r>
              <w:rPr>
                <w:rFonts w:eastAsia="方正仿宋简体"/>
                <w:sz w:val="24"/>
                <w:szCs w:val="24"/>
                <w:u w:val="single"/>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6" w:hRule="atLeast"/>
        </w:trPr>
        <w:tc>
          <w:tcPr>
            <w:tcW w:w="2709" w:type="dxa"/>
            <w:gridSpan w:val="4"/>
            <w:vAlign w:val="center"/>
          </w:tcPr>
          <w:p>
            <w:pPr>
              <w:widowControl/>
              <w:jc w:val="left"/>
              <w:rPr>
                <w:rFonts w:eastAsia="方正仿宋简体"/>
                <w:color w:val="000000"/>
                <w:sz w:val="24"/>
                <w:szCs w:val="28"/>
              </w:rPr>
            </w:pPr>
            <w:r>
              <w:rPr>
                <w:rFonts w:eastAsia="方正仿宋简体"/>
                <w:color w:val="000000"/>
                <w:sz w:val="24"/>
                <w:szCs w:val="28"/>
              </w:rPr>
              <w:t>资产规模</w:t>
            </w:r>
          </w:p>
        </w:tc>
        <w:tc>
          <w:tcPr>
            <w:tcW w:w="3255" w:type="dxa"/>
            <w:gridSpan w:val="4"/>
          </w:tcPr>
          <w:p>
            <w:pPr>
              <w:widowControl/>
              <w:rPr>
                <w:rFonts w:eastAsia="方正仿宋简体"/>
                <w:color w:val="000000"/>
                <w:sz w:val="24"/>
                <w:szCs w:val="28"/>
              </w:rPr>
            </w:pPr>
          </w:p>
        </w:tc>
        <w:tc>
          <w:tcPr>
            <w:tcW w:w="2264" w:type="dxa"/>
            <w:gridSpan w:val="5"/>
            <w:vAlign w:val="center"/>
          </w:tcPr>
          <w:p>
            <w:pPr>
              <w:widowControl/>
              <w:jc w:val="left"/>
              <w:rPr>
                <w:rFonts w:eastAsia="方正仿宋简体"/>
                <w:color w:val="000000"/>
                <w:sz w:val="24"/>
                <w:szCs w:val="28"/>
              </w:rPr>
            </w:pPr>
            <w:r>
              <w:rPr>
                <w:rFonts w:eastAsia="方正仿宋简体"/>
                <w:color w:val="000000"/>
                <w:sz w:val="24"/>
                <w:szCs w:val="28"/>
              </w:rPr>
              <w:t>期权交易资金规模</w:t>
            </w:r>
          </w:p>
        </w:tc>
        <w:tc>
          <w:tcPr>
            <w:tcW w:w="2264" w:type="dxa"/>
          </w:tcPr>
          <w:p>
            <w:pPr>
              <w:widowControl/>
              <w:ind w:left="360"/>
              <w:rPr>
                <w:rFonts w:eastAsia="方正仿宋简体"/>
                <w:color w:val="000000"/>
                <w:sz w:val="24"/>
                <w:szCs w:val="28"/>
                <w:u w:val="singl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6" w:hRule="atLeast"/>
        </w:trPr>
        <w:tc>
          <w:tcPr>
            <w:tcW w:w="2709" w:type="dxa"/>
            <w:gridSpan w:val="4"/>
          </w:tcPr>
          <w:p>
            <w:pPr>
              <w:spacing w:before="156" w:beforeLines="50" w:after="156" w:afterLines="50"/>
              <w:rPr>
                <w:rFonts w:eastAsia="方正仿宋简体"/>
                <w:sz w:val="24"/>
                <w:szCs w:val="24"/>
              </w:rPr>
            </w:pPr>
            <w:r>
              <w:rPr>
                <w:rFonts w:eastAsia="方正仿宋简体"/>
                <w:sz w:val="24"/>
                <w:szCs w:val="24"/>
              </w:rPr>
              <w:t>资金来源</w:t>
            </w:r>
          </w:p>
        </w:tc>
        <w:tc>
          <w:tcPr>
            <w:tcW w:w="7783" w:type="dxa"/>
            <w:gridSpan w:val="10"/>
          </w:tcPr>
          <w:p>
            <w:pPr>
              <w:spacing w:before="156" w:beforeLines="50" w:after="156" w:afterLines="50"/>
              <w:rPr>
                <w:rFonts w:eastAsia="方正仿宋简体"/>
                <w:sz w:val="24"/>
                <w:szCs w:val="24"/>
              </w:rPr>
            </w:pPr>
            <w:r>
              <w:rPr>
                <w:rFonts w:eastAsia="方正仿宋简体"/>
                <w:sz w:val="24"/>
                <w:szCs w:val="28"/>
              </w:rPr>
              <w:t>□</w:t>
            </w:r>
            <w:r>
              <w:rPr>
                <w:rFonts w:eastAsia="方正仿宋简体"/>
                <w:sz w:val="24"/>
                <w:szCs w:val="22"/>
              </w:rPr>
              <w:t>自有资金（一般法人）；</w:t>
            </w:r>
            <w:r>
              <w:rPr>
                <w:rFonts w:eastAsia="方正仿宋简体"/>
                <w:sz w:val="24"/>
                <w:szCs w:val="28"/>
              </w:rPr>
              <w:t>□</w:t>
            </w:r>
            <w:r>
              <w:rPr>
                <w:rFonts w:eastAsia="方正仿宋简体"/>
                <w:sz w:val="24"/>
                <w:szCs w:val="22"/>
              </w:rPr>
              <w:t>券商自营；</w:t>
            </w:r>
            <w:r>
              <w:rPr>
                <w:rFonts w:eastAsia="方正仿宋简体"/>
                <w:sz w:val="24"/>
                <w:szCs w:val="28"/>
              </w:rPr>
              <w:t>□公募基金；□私募基金；□证券公司定向计划</w:t>
            </w:r>
            <w:r>
              <w:rPr>
                <w:rFonts w:eastAsia="方正仿宋简体"/>
                <w:sz w:val="24"/>
                <w:szCs w:val="22"/>
              </w:rPr>
              <w:t>；</w:t>
            </w:r>
            <w:r>
              <w:rPr>
                <w:rFonts w:eastAsia="方正仿宋简体"/>
                <w:sz w:val="24"/>
                <w:szCs w:val="28"/>
              </w:rPr>
              <w:t>□证券公司集合计划</w:t>
            </w:r>
            <w:r>
              <w:rPr>
                <w:rFonts w:eastAsia="方正仿宋简体"/>
                <w:sz w:val="24"/>
                <w:szCs w:val="22"/>
              </w:rPr>
              <w:t>；</w:t>
            </w:r>
            <w:r>
              <w:rPr>
                <w:rFonts w:eastAsia="方正仿宋简体"/>
                <w:sz w:val="24"/>
                <w:szCs w:val="28"/>
              </w:rPr>
              <w:t xml:space="preserve"> □</w:t>
            </w:r>
            <w:r>
              <w:rPr>
                <w:rFonts w:eastAsia="方正仿宋简体"/>
                <w:sz w:val="24"/>
                <w:szCs w:val="22"/>
              </w:rPr>
              <w:t>基金公司特定客户资管计划；</w:t>
            </w:r>
            <w:r>
              <w:rPr>
                <w:rFonts w:eastAsia="方正仿宋简体"/>
                <w:sz w:val="24"/>
                <w:szCs w:val="28"/>
              </w:rPr>
              <w:t xml:space="preserve"> □</w:t>
            </w:r>
            <w:r>
              <w:rPr>
                <w:rFonts w:eastAsia="方正仿宋简体"/>
                <w:sz w:val="24"/>
                <w:szCs w:val="22"/>
              </w:rPr>
              <w:t>商业银行理财产品；</w:t>
            </w:r>
            <w:r>
              <w:rPr>
                <w:rFonts w:eastAsia="方正仿宋简体"/>
                <w:sz w:val="24"/>
                <w:szCs w:val="28"/>
              </w:rPr>
              <w:t>□</w:t>
            </w:r>
            <w:r>
              <w:rPr>
                <w:rFonts w:eastAsia="方正仿宋简体"/>
                <w:sz w:val="24"/>
                <w:szCs w:val="22"/>
              </w:rPr>
              <w:t>保险公司资管计划；</w:t>
            </w:r>
            <w:r>
              <w:rPr>
                <w:rFonts w:eastAsia="方正仿宋简体"/>
                <w:sz w:val="24"/>
                <w:szCs w:val="28"/>
              </w:rPr>
              <w:t>□</w:t>
            </w:r>
            <w:r>
              <w:rPr>
                <w:rFonts w:eastAsia="方正仿宋简体"/>
                <w:sz w:val="24"/>
                <w:szCs w:val="22"/>
              </w:rPr>
              <w:t>保险产品；</w:t>
            </w:r>
            <w:r>
              <w:rPr>
                <w:rFonts w:eastAsia="方正仿宋简体"/>
                <w:sz w:val="24"/>
                <w:szCs w:val="28"/>
              </w:rPr>
              <w:t>□</w:t>
            </w:r>
            <w:r>
              <w:rPr>
                <w:rFonts w:eastAsia="方正仿宋简体"/>
                <w:sz w:val="24"/>
                <w:szCs w:val="22"/>
              </w:rPr>
              <w:t>信托产品；</w:t>
            </w:r>
            <w:r>
              <w:rPr>
                <w:rFonts w:eastAsia="方正仿宋简体"/>
                <w:sz w:val="24"/>
                <w:szCs w:val="28"/>
              </w:rPr>
              <w:t>□</w:t>
            </w:r>
            <w:r>
              <w:rPr>
                <w:rFonts w:eastAsia="方正仿宋简体"/>
                <w:sz w:val="24"/>
                <w:szCs w:val="22"/>
              </w:rPr>
              <w:t>期货公司资管计划；</w:t>
            </w:r>
            <w:r>
              <w:rPr>
                <w:rFonts w:eastAsia="方正仿宋简体"/>
                <w:sz w:val="24"/>
                <w:szCs w:val="28"/>
              </w:rPr>
              <w:t>□</w:t>
            </w:r>
            <w:r>
              <w:rPr>
                <w:rFonts w:eastAsia="方正仿宋简体"/>
                <w:sz w:val="24"/>
                <w:szCs w:val="22"/>
              </w:rPr>
              <w:t>QFII；</w:t>
            </w:r>
            <w:r>
              <w:rPr>
                <w:rFonts w:eastAsia="方正仿宋简体"/>
                <w:sz w:val="24"/>
                <w:szCs w:val="28"/>
              </w:rPr>
              <w:t>□</w:t>
            </w:r>
            <w:r>
              <w:rPr>
                <w:rFonts w:eastAsia="方正仿宋简体"/>
                <w:sz w:val="24"/>
                <w:szCs w:val="22"/>
              </w:rPr>
              <w:t>RQFII；</w:t>
            </w:r>
            <w:r>
              <w:rPr>
                <w:rFonts w:eastAsia="方正仿宋简体"/>
                <w:sz w:val="24"/>
                <w:szCs w:val="28"/>
              </w:rPr>
              <w:t>□</w:t>
            </w:r>
            <w:r>
              <w:rPr>
                <w:rFonts w:eastAsia="方正仿宋简体"/>
                <w:sz w:val="24"/>
                <w:szCs w:val="22"/>
              </w:rPr>
              <w:t>企业年金；</w:t>
            </w:r>
            <w:r>
              <w:rPr>
                <w:rFonts w:eastAsia="方正仿宋简体"/>
                <w:sz w:val="24"/>
                <w:szCs w:val="28"/>
              </w:rPr>
              <w:t>□</w:t>
            </w:r>
            <w:r>
              <w:rPr>
                <w:rFonts w:eastAsia="方正仿宋简体"/>
                <w:sz w:val="24"/>
                <w:szCs w:val="22"/>
              </w:rPr>
              <w:t>其他</w:t>
            </w:r>
            <w:r>
              <w:rPr>
                <w:rFonts w:eastAsia="方正仿宋简体"/>
                <w:sz w:val="24"/>
                <w:szCs w:val="28"/>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8" w:hRule="atLeast"/>
        </w:trPr>
        <w:tc>
          <w:tcPr>
            <w:tcW w:w="2709" w:type="dxa"/>
            <w:gridSpan w:val="4"/>
            <w:vAlign w:val="center"/>
          </w:tcPr>
          <w:p>
            <w:pPr>
              <w:widowControl/>
              <w:jc w:val="left"/>
              <w:rPr>
                <w:rFonts w:eastAsia="方正仿宋简体"/>
                <w:color w:val="000000"/>
                <w:sz w:val="24"/>
                <w:szCs w:val="28"/>
              </w:rPr>
            </w:pPr>
            <w:r>
              <w:rPr>
                <w:rFonts w:eastAsia="方正仿宋简体"/>
                <w:color w:val="000000"/>
                <w:sz w:val="24"/>
                <w:szCs w:val="28"/>
              </w:rPr>
              <w:t>资金是否使用杠杆</w:t>
            </w:r>
          </w:p>
        </w:tc>
        <w:tc>
          <w:tcPr>
            <w:tcW w:w="3255" w:type="dxa"/>
            <w:gridSpan w:val="4"/>
          </w:tcPr>
          <w:p>
            <w:pPr>
              <w:widowControl/>
              <w:rPr>
                <w:rFonts w:eastAsia="方正仿宋简体"/>
                <w:color w:val="000000"/>
                <w:sz w:val="24"/>
                <w:szCs w:val="28"/>
              </w:rPr>
            </w:pPr>
          </w:p>
        </w:tc>
        <w:tc>
          <w:tcPr>
            <w:tcW w:w="2264" w:type="dxa"/>
            <w:gridSpan w:val="5"/>
            <w:vAlign w:val="center"/>
          </w:tcPr>
          <w:p>
            <w:pPr>
              <w:widowControl/>
              <w:jc w:val="left"/>
              <w:rPr>
                <w:rFonts w:eastAsia="方正仿宋简体"/>
                <w:color w:val="000000"/>
                <w:sz w:val="24"/>
                <w:szCs w:val="28"/>
              </w:rPr>
            </w:pPr>
            <w:r>
              <w:rPr>
                <w:rFonts w:eastAsia="方正仿宋简体"/>
                <w:color w:val="000000"/>
                <w:sz w:val="24"/>
                <w:szCs w:val="28"/>
              </w:rPr>
              <w:t>资金杠杆倍数</w:t>
            </w:r>
          </w:p>
        </w:tc>
        <w:tc>
          <w:tcPr>
            <w:tcW w:w="2264" w:type="dxa"/>
          </w:tcPr>
          <w:p>
            <w:pPr>
              <w:widowControl/>
              <w:rPr>
                <w:rFonts w:eastAsia="方正仿宋简体"/>
                <w:color w:val="000000"/>
                <w:sz w:val="24"/>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709" w:type="dxa"/>
            <w:gridSpan w:val="4"/>
            <w:tcBorders>
              <w:bottom w:val="single" w:color="auto" w:sz="4" w:space="0"/>
            </w:tcBorders>
            <w:vAlign w:val="center"/>
          </w:tcPr>
          <w:p>
            <w:pPr>
              <w:widowControl/>
              <w:jc w:val="left"/>
              <w:rPr>
                <w:rFonts w:eastAsia="方正仿宋简体"/>
                <w:color w:val="000000"/>
                <w:sz w:val="24"/>
                <w:szCs w:val="28"/>
              </w:rPr>
            </w:pPr>
            <w:r>
              <w:rPr>
                <w:rFonts w:eastAsia="方正仿宋简体"/>
                <w:color w:val="000000"/>
                <w:sz w:val="24"/>
                <w:szCs w:val="28"/>
              </w:rPr>
              <w:t>企业性质</w:t>
            </w:r>
          </w:p>
        </w:tc>
        <w:tc>
          <w:tcPr>
            <w:tcW w:w="3255" w:type="dxa"/>
            <w:gridSpan w:val="4"/>
            <w:tcBorders>
              <w:bottom w:val="single" w:color="auto" w:sz="4" w:space="0"/>
            </w:tcBorders>
          </w:tcPr>
          <w:p>
            <w:pPr>
              <w:widowControl/>
              <w:numPr>
                <w:ilvl w:val="0"/>
                <w:numId w:val="125"/>
              </w:numPr>
              <w:rPr>
                <w:rFonts w:eastAsia="方正仿宋简体"/>
                <w:sz w:val="24"/>
                <w:szCs w:val="22"/>
              </w:rPr>
            </w:pPr>
            <w:r>
              <w:rPr>
                <w:rFonts w:eastAsia="方正仿宋简体"/>
                <w:sz w:val="24"/>
                <w:szCs w:val="22"/>
              </w:rPr>
              <w:t>国有企业</w:t>
            </w:r>
          </w:p>
          <w:p>
            <w:pPr>
              <w:widowControl/>
              <w:numPr>
                <w:ilvl w:val="0"/>
                <w:numId w:val="125"/>
              </w:numPr>
              <w:rPr>
                <w:rFonts w:eastAsia="方正仿宋简体"/>
                <w:sz w:val="24"/>
                <w:szCs w:val="22"/>
              </w:rPr>
            </w:pPr>
            <w:r>
              <w:rPr>
                <w:rFonts w:eastAsia="方正仿宋简体"/>
                <w:sz w:val="24"/>
                <w:szCs w:val="22"/>
              </w:rPr>
              <w:t>国有控股</w:t>
            </w:r>
          </w:p>
          <w:p>
            <w:pPr>
              <w:widowControl/>
              <w:numPr>
                <w:ilvl w:val="0"/>
                <w:numId w:val="125"/>
              </w:numPr>
              <w:rPr>
                <w:rFonts w:eastAsia="方正仿宋简体"/>
                <w:sz w:val="24"/>
                <w:szCs w:val="22"/>
              </w:rPr>
            </w:pPr>
            <w:r>
              <w:rPr>
                <w:rFonts w:eastAsia="方正仿宋简体"/>
                <w:sz w:val="24"/>
                <w:szCs w:val="22"/>
              </w:rPr>
              <w:t>合资企业</w:t>
            </w:r>
          </w:p>
          <w:p>
            <w:pPr>
              <w:widowControl/>
              <w:numPr>
                <w:ilvl w:val="0"/>
                <w:numId w:val="125"/>
              </w:numPr>
              <w:rPr>
                <w:rFonts w:eastAsia="方正仿宋简体"/>
                <w:sz w:val="24"/>
                <w:szCs w:val="22"/>
              </w:rPr>
            </w:pPr>
            <w:r>
              <w:rPr>
                <w:rFonts w:eastAsia="方正仿宋简体"/>
                <w:sz w:val="24"/>
                <w:szCs w:val="22"/>
              </w:rPr>
              <w:t>私营企业</w:t>
            </w:r>
          </w:p>
          <w:p>
            <w:pPr>
              <w:widowControl/>
              <w:numPr>
                <w:ilvl w:val="0"/>
                <w:numId w:val="125"/>
              </w:numPr>
              <w:rPr>
                <w:rFonts w:eastAsia="方正仿宋简体"/>
                <w:color w:val="000000"/>
                <w:sz w:val="24"/>
                <w:szCs w:val="28"/>
              </w:rPr>
            </w:pPr>
            <w:r>
              <w:rPr>
                <w:rFonts w:eastAsia="方正仿宋简体"/>
                <w:sz w:val="24"/>
                <w:szCs w:val="22"/>
              </w:rPr>
              <w:t xml:space="preserve">其他 (请填写)        </w:t>
            </w:r>
          </w:p>
        </w:tc>
        <w:tc>
          <w:tcPr>
            <w:tcW w:w="2264" w:type="dxa"/>
            <w:gridSpan w:val="5"/>
            <w:tcBorders>
              <w:bottom w:val="single" w:color="auto" w:sz="4" w:space="0"/>
            </w:tcBorders>
            <w:vAlign w:val="center"/>
          </w:tcPr>
          <w:p>
            <w:pPr>
              <w:widowControl/>
              <w:jc w:val="left"/>
              <w:rPr>
                <w:rFonts w:eastAsia="方正仿宋简体"/>
                <w:color w:val="000000"/>
                <w:sz w:val="24"/>
                <w:szCs w:val="28"/>
              </w:rPr>
            </w:pPr>
            <w:r>
              <w:rPr>
                <w:rFonts w:eastAsia="方正仿宋简体"/>
                <w:color w:val="000000"/>
                <w:sz w:val="24"/>
                <w:szCs w:val="28"/>
              </w:rPr>
              <w:t>实际控制人</w:t>
            </w:r>
          </w:p>
        </w:tc>
        <w:tc>
          <w:tcPr>
            <w:tcW w:w="2264" w:type="dxa"/>
            <w:tcBorders>
              <w:bottom w:val="single" w:color="auto" w:sz="4" w:space="0"/>
            </w:tcBorders>
          </w:tcPr>
          <w:p>
            <w:pPr>
              <w:widowControl/>
              <w:numPr>
                <w:ilvl w:val="0"/>
                <w:numId w:val="125"/>
              </w:numPr>
              <w:rPr>
                <w:rFonts w:eastAsia="方正仿宋简体"/>
                <w:sz w:val="24"/>
                <w:szCs w:val="22"/>
              </w:rPr>
            </w:pPr>
            <w:r>
              <w:rPr>
                <w:rFonts w:eastAsia="方正仿宋简体"/>
                <w:sz w:val="24"/>
                <w:szCs w:val="22"/>
              </w:rPr>
              <w:t>国有</w:t>
            </w:r>
          </w:p>
          <w:p>
            <w:pPr>
              <w:widowControl/>
              <w:numPr>
                <w:ilvl w:val="0"/>
                <w:numId w:val="125"/>
              </w:numPr>
              <w:rPr>
                <w:rFonts w:eastAsia="方正仿宋简体"/>
                <w:sz w:val="24"/>
                <w:szCs w:val="22"/>
              </w:rPr>
            </w:pPr>
            <w:r>
              <w:rPr>
                <w:rFonts w:eastAsia="方正仿宋简体"/>
                <w:sz w:val="24"/>
                <w:szCs w:val="22"/>
              </w:rPr>
              <w:t>私营</w:t>
            </w:r>
          </w:p>
          <w:p>
            <w:pPr>
              <w:widowControl/>
              <w:numPr>
                <w:ilvl w:val="0"/>
                <w:numId w:val="125"/>
              </w:numPr>
              <w:rPr>
                <w:rFonts w:eastAsia="方正仿宋简体"/>
                <w:sz w:val="24"/>
                <w:szCs w:val="22"/>
              </w:rPr>
            </w:pPr>
            <w:r>
              <w:rPr>
                <w:rFonts w:eastAsia="方正仿宋简体"/>
                <w:sz w:val="24"/>
                <w:szCs w:val="22"/>
              </w:rPr>
              <w:t>外资</w:t>
            </w:r>
          </w:p>
          <w:p>
            <w:pPr>
              <w:widowControl/>
              <w:numPr>
                <w:ilvl w:val="0"/>
                <w:numId w:val="125"/>
              </w:numPr>
              <w:rPr>
                <w:rFonts w:eastAsia="方正仿宋简体"/>
                <w:sz w:val="24"/>
                <w:szCs w:val="22"/>
              </w:rPr>
            </w:pPr>
            <w:r>
              <w:rPr>
                <w:rFonts w:eastAsia="方正仿宋简体"/>
                <w:sz w:val="24"/>
                <w:szCs w:val="22"/>
              </w:rPr>
              <w:t>其他(请填写)</w:t>
            </w:r>
          </w:p>
          <w:p>
            <w:pPr>
              <w:widowControl/>
              <w:ind w:left="360"/>
              <w:rPr>
                <w:rFonts w:eastAsia="方正仿宋简体"/>
                <w:color w:val="000000"/>
                <w:sz w:val="24"/>
                <w:szCs w:val="28"/>
                <w:u w:val="single"/>
              </w:rPr>
            </w:pPr>
            <w:r>
              <w:rPr>
                <w:rFonts w:eastAsia="方正仿宋简体"/>
                <w:sz w:val="24"/>
                <w:szCs w:val="22"/>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2" w:hRule="atLeast"/>
        </w:trPr>
        <w:tc>
          <w:tcPr>
            <w:tcW w:w="10492" w:type="dxa"/>
            <w:gridSpan w:val="14"/>
            <w:shd w:val="clear" w:color="auto" w:fill="EEECE1"/>
            <w:vAlign w:val="center"/>
          </w:tcPr>
          <w:p>
            <w:pPr>
              <w:widowControl/>
              <w:jc w:val="center"/>
              <w:rPr>
                <w:rFonts w:eastAsia="方正仿宋简体"/>
                <w:b/>
                <w:color w:val="000000"/>
                <w:sz w:val="24"/>
                <w:szCs w:val="28"/>
              </w:rPr>
            </w:pPr>
            <w:r>
              <w:rPr>
                <w:rFonts w:eastAsia="方正仿宋简体"/>
                <w:b/>
                <w:sz w:val="24"/>
                <w:szCs w:val="24"/>
              </w:rPr>
              <w:t>机构账户主要交易员信息（机构账户填写）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3" w:hRule="atLeast"/>
        </w:trPr>
        <w:tc>
          <w:tcPr>
            <w:tcW w:w="728" w:type="dxa"/>
            <w:vAlign w:val="center"/>
          </w:tcPr>
          <w:p>
            <w:pPr>
              <w:widowControl/>
              <w:rPr>
                <w:rFonts w:eastAsia="方正仿宋简体"/>
                <w:color w:val="000000"/>
                <w:sz w:val="24"/>
                <w:szCs w:val="28"/>
              </w:rPr>
            </w:pPr>
            <w:r>
              <w:rPr>
                <w:rFonts w:eastAsia="方正仿宋简体"/>
                <w:color w:val="000000"/>
                <w:sz w:val="24"/>
                <w:szCs w:val="28"/>
              </w:rPr>
              <w:t>序号</w:t>
            </w:r>
          </w:p>
        </w:tc>
        <w:tc>
          <w:tcPr>
            <w:tcW w:w="1133" w:type="dxa"/>
            <w:vAlign w:val="center"/>
          </w:tcPr>
          <w:p>
            <w:pPr>
              <w:widowControl/>
              <w:rPr>
                <w:rFonts w:eastAsia="方正仿宋简体"/>
                <w:color w:val="000000"/>
                <w:sz w:val="24"/>
                <w:szCs w:val="28"/>
              </w:rPr>
            </w:pPr>
            <w:r>
              <w:rPr>
                <w:rFonts w:eastAsia="方正仿宋简体"/>
                <w:color w:val="000000"/>
                <w:sz w:val="24"/>
                <w:szCs w:val="28"/>
              </w:rPr>
              <w:t>名字</w:t>
            </w:r>
          </w:p>
        </w:tc>
        <w:tc>
          <w:tcPr>
            <w:tcW w:w="1414" w:type="dxa"/>
            <w:gridSpan w:val="3"/>
            <w:vAlign w:val="center"/>
          </w:tcPr>
          <w:p>
            <w:pPr>
              <w:widowControl/>
              <w:rPr>
                <w:rFonts w:eastAsia="方正仿宋简体"/>
                <w:color w:val="000000"/>
                <w:sz w:val="24"/>
                <w:szCs w:val="28"/>
              </w:rPr>
            </w:pPr>
            <w:r>
              <w:rPr>
                <w:rFonts w:eastAsia="方正仿宋简体"/>
                <w:color w:val="000000"/>
                <w:sz w:val="24"/>
                <w:szCs w:val="28"/>
              </w:rPr>
              <w:t>工作城市</w:t>
            </w:r>
          </w:p>
        </w:tc>
        <w:tc>
          <w:tcPr>
            <w:tcW w:w="1274" w:type="dxa"/>
            <w:vAlign w:val="center"/>
          </w:tcPr>
          <w:p>
            <w:pPr>
              <w:widowControl/>
              <w:rPr>
                <w:rFonts w:eastAsia="方正仿宋简体"/>
                <w:color w:val="000000"/>
                <w:sz w:val="24"/>
                <w:szCs w:val="28"/>
              </w:rPr>
            </w:pPr>
            <w:r>
              <w:rPr>
                <w:rFonts w:eastAsia="方正仿宋简体"/>
                <w:color w:val="000000"/>
                <w:sz w:val="24"/>
                <w:szCs w:val="28"/>
              </w:rPr>
              <w:t>工作年限</w:t>
            </w:r>
          </w:p>
        </w:tc>
        <w:tc>
          <w:tcPr>
            <w:tcW w:w="1415" w:type="dxa"/>
            <w:gridSpan w:val="2"/>
            <w:vAlign w:val="center"/>
          </w:tcPr>
          <w:p>
            <w:pPr>
              <w:widowControl/>
              <w:rPr>
                <w:rFonts w:eastAsia="方正仿宋简体"/>
                <w:color w:val="000000"/>
                <w:sz w:val="24"/>
                <w:szCs w:val="28"/>
              </w:rPr>
            </w:pPr>
            <w:r>
              <w:rPr>
                <w:rFonts w:eastAsia="方正仿宋简体"/>
                <w:color w:val="000000"/>
                <w:sz w:val="24"/>
                <w:szCs w:val="28"/>
              </w:rPr>
              <w:t>联系方式</w:t>
            </w:r>
          </w:p>
        </w:tc>
        <w:tc>
          <w:tcPr>
            <w:tcW w:w="1839" w:type="dxa"/>
            <w:gridSpan w:val="3"/>
            <w:vAlign w:val="center"/>
          </w:tcPr>
          <w:p>
            <w:pPr>
              <w:widowControl/>
              <w:rPr>
                <w:rFonts w:eastAsia="方正仿宋简体"/>
                <w:color w:val="000000"/>
                <w:sz w:val="24"/>
                <w:szCs w:val="28"/>
              </w:rPr>
            </w:pPr>
            <w:r>
              <w:rPr>
                <w:rFonts w:eastAsia="方正仿宋简体"/>
                <w:color w:val="000000"/>
                <w:sz w:val="24"/>
                <w:szCs w:val="28"/>
              </w:rPr>
              <w:t>是否有境外交易经历（是/否）</w:t>
            </w:r>
          </w:p>
        </w:tc>
        <w:tc>
          <w:tcPr>
            <w:tcW w:w="2689" w:type="dxa"/>
            <w:gridSpan w:val="3"/>
            <w:vAlign w:val="center"/>
          </w:tcPr>
          <w:p>
            <w:pPr>
              <w:widowControl/>
              <w:rPr>
                <w:rFonts w:eastAsia="方正仿宋简体"/>
                <w:color w:val="000000"/>
                <w:sz w:val="24"/>
                <w:szCs w:val="28"/>
              </w:rPr>
            </w:pPr>
            <w:r>
              <w:rPr>
                <w:rFonts w:eastAsia="方正仿宋简体"/>
                <w:color w:val="000000"/>
                <w:sz w:val="24"/>
                <w:szCs w:val="28"/>
              </w:rPr>
              <w:t>期权交易经历简介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trPr>
        <w:tc>
          <w:tcPr>
            <w:tcW w:w="728" w:type="dxa"/>
            <w:vAlign w:val="center"/>
          </w:tcPr>
          <w:p>
            <w:pPr>
              <w:widowControl/>
              <w:jc w:val="center"/>
              <w:rPr>
                <w:rFonts w:eastAsia="方正仿宋简体"/>
                <w:color w:val="000000"/>
                <w:sz w:val="24"/>
                <w:szCs w:val="28"/>
              </w:rPr>
            </w:pPr>
            <w:r>
              <w:rPr>
                <w:rFonts w:eastAsia="方正仿宋简体"/>
                <w:color w:val="000000"/>
                <w:sz w:val="24"/>
                <w:szCs w:val="28"/>
              </w:rPr>
              <w:t>1</w:t>
            </w:r>
          </w:p>
        </w:tc>
        <w:tc>
          <w:tcPr>
            <w:tcW w:w="1133" w:type="dxa"/>
            <w:vAlign w:val="center"/>
          </w:tcPr>
          <w:p>
            <w:pPr>
              <w:widowControl/>
              <w:rPr>
                <w:rFonts w:eastAsia="方正仿宋简体"/>
                <w:color w:val="000000"/>
                <w:sz w:val="24"/>
                <w:szCs w:val="28"/>
              </w:rPr>
            </w:pPr>
          </w:p>
        </w:tc>
        <w:tc>
          <w:tcPr>
            <w:tcW w:w="1414" w:type="dxa"/>
            <w:gridSpan w:val="3"/>
            <w:vAlign w:val="center"/>
          </w:tcPr>
          <w:p>
            <w:pPr>
              <w:widowControl/>
              <w:rPr>
                <w:rFonts w:eastAsia="方正仿宋简体"/>
                <w:color w:val="000000"/>
                <w:sz w:val="24"/>
                <w:szCs w:val="28"/>
              </w:rPr>
            </w:pPr>
          </w:p>
        </w:tc>
        <w:tc>
          <w:tcPr>
            <w:tcW w:w="1274" w:type="dxa"/>
            <w:vAlign w:val="center"/>
          </w:tcPr>
          <w:p>
            <w:pPr>
              <w:widowControl/>
              <w:rPr>
                <w:rFonts w:eastAsia="方正仿宋简体"/>
                <w:color w:val="000000"/>
                <w:sz w:val="24"/>
                <w:szCs w:val="28"/>
              </w:rPr>
            </w:pPr>
          </w:p>
        </w:tc>
        <w:tc>
          <w:tcPr>
            <w:tcW w:w="1415" w:type="dxa"/>
            <w:gridSpan w:val="2"/>
            <w:vAlign w:val="center"/>
          </w:tcPr>
          <w:p>
            <w:pPr>
              <w:widowControl/>
              <w:rPr>
                <w:rFonts w:eastAsia="方正仿宋简体"/>
                <w:color w:val="000000"/>
                <w:sz w:val="24"/>
                <w:szCs w:val="28"/>
              </w:rPr>
            </w:pPr>
          </w:p>
        </w:tc>
        <w:tc>
          <w:tcPr>
            <w:tcW w:w="1839" w:type="dxa"/>
            <w:gridSpan w:val="3"/>
            <w:vAlign w:val="center"/>
          </w:tcPr>
          <w:p>
            <w:pPr>
              <w:widowControl/>
              <w:rPr>
                <w:rFonts w:eastAsia="方正仿宋简体"/>
                <w:color w:val="000000"/>
                <w:sz w:val="24"/>
                <w:szCs w:val="28"/>
              </w:rPr>
            </w:pPr>
          </w:p>
        </w:tc>
        <w:tc>
          <w:tcPr>
            <w:tcW w:w="2689" w:type="dxa"/>
            <w:gridSpan w:val="3"/>
            <w:vAlign w:val="center"/>
          </w:tcPr>
          <w:p>
            <w:pPr>
              <w:widowControl/>
              <w:rPr>
                <w:rFonts w:eastAsia="方正仿宋简体"/>
                <w:color w:val="000000"/>
                <w:sz w:val="24"/>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0" w:hRule="atLeast"/>
        </w:trPr>
        <w:tc>
          <w:tcPr>
            <w:tcW w:w="728" w:type="dxa"/>
            <w:vAlign w:val="center"/>
          </w:tcPr>
          <w:p>
            <w:pPr>
              <w:widowControl/>
              <w:jc w:val="center"/>
              <w:rPr>
                <w:rFonts w:eastAsia="方正仿宋简体"/>
                <w:color w:val="000000"/>
                <w:sz w:val="24"/>
                <w:szCs w:val="28"/>
              </w:rPr>
            </w:pPr>
            <w:r>
              <w:rPr>
                <w:rFonts w:eastAsia="方正仿宋简体"/>
                <w:color w:val="000000"/>
                <w:sz w:val="24"/>
                <w:szCs w:val="28"/>
              </w:rPr>
              <w:t>2</w:t>
            </w:r>
          </w:p>
        </w:tc>
        <w:tc>
          <w:tcPr>
            <w:tcW w:w="1133" w:type="dxa"/>
            <w:vAlign w:val="center"/>
          </w:tcPr>
          <w:p>
            <w:pPr>
              <w:widowControl/>
              <w:rPr>
                <w:rFonts w:eastAsia="方正仿宋简体"/>
                <w:color w:val="000000"/>
                <w:sz w:val="24"/>
                <w:szCs w:val="28"/>
              </w:rPr>
            </w:pPr>
          </w:p>
        </w:tc>
        <w:tc>
          <w:tcPr>
            <w:tcW w:w="1414" w:type="dxa"/>
            <w:gridSpan w:val="3"/>
            <w:vAlign w:val="center"/>
          </w:tcPr>
          <w:p>
            <w:pPr>
              <w:widowControl/>
              <w:rPr>
                <w:rFonts w:eastAsia="方正仿宋简体"/>
                <w:color w:val="000000"/>
                <w:sz w:val="24"/>
                <w:szCs w:val="28"/>
              </w:rPr>
            </w:pPr>
          </w:p>
        </w:tc>
        <w:tc>
          <w:tcPr>
            <w:tcW w:w="1274" w:type="dxa"/>
            <w:vAlign w:val="center"/>
          </w:tcPr>
          <w:p>
            <w:pPr>
              <w:widowControl/>
              <w:rPr>
                <w:rFonts w:eastAsia="方正仿宋简体"/>
                <w:color w:val="000000"/>
                <w:sz w:val="24"/>
                <w:szCs w:val="28"/>
              </w:rPr>
            </w:pPr>
          </w:p>
        </w:tc>
        <w:tc>
          <w:tcPr>
            <w:tcW w:w="1415" w:type="dxa"/>
            <w:gridSpan w:val="2"/>
            <w:vAlign w:val="center"/>
          </w:tcPr>
          <w:p>
            <w:pPr>
              <w:widowControl/>
              <w:rPr>
                <w:rFonts w:eastAsia="方正仿宋简体"/>
                <w:color w:val="000000"/>
                <w:sz w:val="24"/>
                <w:szCs w:val="28"/>
              </w:rPr>
            </w:pPr>
          </w:p>
        </w:tc>
        <w:tc>
          <w:tcPr>
            <w:tcW w:w="1839" w:type="dxa"/>
            <w:gridSpan w:val="3"/>
            <w:vAlign w:val="center"/>
          </w:tcPr>
          <w:p>
            <w:pPr>
              <w:widowControl/>
              <w:rPr>
                <w:rFonts w:eastAsia="方正仿宋简体"/>
                <w:color w:val="000000"/>
                <w:sz w:val="24"/>
                <w:szCs w:val="28"/>
              </w:rPr>
            </w:pPr>
          </w:p>
        </w:tc>
        <w:tc>
          <w:tcPr>
            <w:tcW w:w="2689" w:type="dxa"/>
            <w:gridSpan w:val="3"/>
            <w:vAlign w:val="center"/>
          </w:tcPr>
          <w:p>
            <w:pPr>
              <w:widowControl/>
              <w:rPr>
                <w:rFonts w:eastAsia="方正仿宋简体"/>
                <w:color w:val="000000"/>
                <w:sz w:val="24"/>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4" w:hRule="atLeast"/>
        </w:trPr>
        <w:tc>
          <w:tcPr>
            <w:tcW w:w="728" w:type="dxa"/>
            <w:vAlign w:val="center"/>
          </w:tcPr>
          <w:p>
            <w:pPr>
              <w:widowControl/>
              <w:jc w:val="center"/>
              <w:rPr>
                <w:rFonts w:eastAsia="方正仿宋简体"/>
                <w:color w:val="000000"/>
                <w:sz w:val="24"/>
                <w:szCs w:val="28"/>
              </w:rPr>
            </w:pPr>
            <w:r>
              <w:rPr>
                <w:rFonts w:eastAsia="方正仿宋简体"/>
                <w:color w:val="000000"/>
                <w:sz w:val="24"/>
                <w:szCs w:val="28"/>
              </w:rPr>
              <w:t>3</w:t>
            </w:r>
          </w:p>
        </w:tc>
        <w:tc>
          <w:tcPr>
            <w:tcW w:w="1133" w:type="dxa"/>
            <w:vAlign w:val="center"/>
          </w:tcPr>
          <w:p>
            <w:pPr>
              <w:widowControl/>
              <w:rPr>
                <w:rFonts w:eastAsia="方正仿宋简体"/>
                <w:color w:val="000000"/>
                <w:sz w:val="24"/>
                <w:szCs w:val="28"/>
              </w:rPr>
            </w:pPr>
          </w:p>
        </w:tc>
        <w:tc>
          <w:tcPr>
            <w:tcW w:w="1414" w:type="dxa"/>
            <w:gridSpan w:val="3"/>
            <w:vAlign w:val="center"/>
          </w:tcPr>
          <w:p>
            <w:pPr>
              <w:widowControl/>
              <w:rPr>
                <w:rFonts w:eastAsia="方正仿宋简体"/>
                <w:color w:val="000000"/>
                <w:sz w:val="24"/>
                <w:szCs w:val="28"/>
              </w:rPr>
            </w:pPr>
          </w:p>
        </w:tc>
        <w:tc>
          <w:tcPr>
            <w:tcW w:w="1274" w:type="dxa"/>
            <w:vAlign w:val="center"/>
          </w:tcPr>
          <w:p>
            <w:pPr>
              <w:widowControl/>
              <w:rPr>
                <w:rFonts w:eastAsia="方正仿宋简体"/>
                <w:color w:val="000000"/>
                <w:sz w:val="24"/>
                <w:szCs w:val="28"/>
              </w:rPr>
            </w:pPr>
          </w:p>
        </w:tc>
        <w:tc>
          <w:tcPr>
            <w:tcW w:w="1415" w:type="dxa"/>
            <w:gridSpan w:val="2"/>
            <w:vAlign w:val="center"/>
          </w:tcPr>
          <w:p>
            <w:pPr>
              <w:widowControl/>
              <w:rPr>
                <w:rFonts w:eastAsia="方正仿宋简体"/>
                <w:color w:val="000000"/>
                <w:sz w:val="24"/>
                <w:szCs w:val="28"/>
              </w:rPr>
            </w:pPr>
          </w:p>
        </w:tc>
        <w:tc>
          <w:tcPr>
            <w:tcW w:w="1839" w:type="dxa"/>
            <w:gridSpan w:val="3"/>
            <w:vAlign w:val="center"/>
          </w:tcPr>
          <w:p>
            <w:pPr>
              <w:widowControl/>
              <w:rPr>
                <w:rFonts w:eastAsia="方正仿宋简体"/>
                <w:color w:val="000000"/>
                <w:sz w:val="24"/>
                <w:szCs w:val="28"/>
              </w:rPr>
            </w:pPr>
          </w:p>
        </w:tc>
        <w:tc>
          <w:tcPr>
            <w:tcW w:w="2689" w:type="dxa"/>
            <w:gridSpan w:val="3"/>
            <w:vAlign w:val="center"/>
          </w:tcPr>
          <w:p>
            <w:pPr>
              <w:widowControl/>
              <w:rPr>
                <w:rFonts w:eastAsia="方正仿宋简体"/>
                <w:color w:val="000000"/>
                <w:sz w:val="24"/>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trPr>
        <w:tc>
          <w:tcPr>
            <w:tcW w:w="728" w:type="dxa"/>
            <w:tcBorders>
              <w:bottom w:val="single" w:color="auto" w:sz="4" w:space="0"/>
            </w:tcBorders>
            <w:vAlign w:val="center"/>
          </w:tcPr>
          <w:p>
            <w:pPr>
              <w:widowControl/>
              <w:jc w:val="center"/>
              <w:rPr>
                <w:rFonts w:eastAsia="方正仿宋简体"/>
                <w:color w:val="000000"/>
                <w:sz w:val="24"/>
                <w:szCs w:val="28"/>
              </w:rPr>
            </w:pPr>
            <w:r>
              <w:rPr>
                <w:rFonts w:eastAsia="方正仿宋简体"/>
                <w:color w:val="000000"/>
                <w:sz w:val="24"/>
                <w:szCs w:val="28"/>
              </w:rPr>
              <w:t>4</w:t>
            </w:r>
          </w:p>
        </w:tc>
        <w:tc>
          <w:tcPr>
            <w:tcW w:w="1133" w:type="dxa"/>
            <w:tcBorders>
              <w:bottom w:val="single" w:color="auto" w:sz="4" w:space="0"/>
            </w:tcBorders>
            <w:vAlign w:val="center"/>
          </w:tcPr>
          <w:p>
            <w:pPr>
              <w:widowControl/>
              <w:rPr>
                <w:rFonts w:eastAsia="方正仿宋简体"/>
                <w:color w:val="000000"/>
                <w:sz w:val="24"/>
                <w:szCs w:val="28"/>
              </w:rPr>
            </w:pPr>
          </w:p>
        </w:tc>
        <w:tc>
          <w:tcPr>
            <w:tcW w:w="1414" w:type="dxa"/>
            <w:gridSpan w:val="3"/>
            <w:tcBorders>
              <w:bottom w:val="single" w:color="auto" w:sz="4" w:space="0"/>
            </w:tcBorders>
            <w:vAlign w:val="center"/>
          </w:tcPr>
          <w:p>
            <w:pPr>
              <w:widowControl/>
              <w:rPr>
                <w:rFonts w:eastAsia="方正仿宋简体"/>
                <w:color w:val="000000"/>
                <w:sz w:val="24"/>
                <w:szCs w:val="28"/>
              </w:rPr>
            </w:pPr>
          </w:p>
        </w:tc>
        <w:tc>
          <w:tcPr>
            <w:tcW w:w="1274" w:type="dxa"/>
            <w:tcBorders>
              <w:bottom w:val="single" w:color="auto" w:sz="4" w:space="0"/>
            </w:tcBorders>
            <w:vAlign w:val="center"/>
          </w:tcPr>
          <w:p>
            <w:pPr>
              <w:widowControl/>
              <w:rPr>
                <w:rFonts w:eastAsia="方正仿宋简体"/>
                <w:color w:val="000000"/>
                <w:sz w:val="24"/>
                <w:szCs w:val="28"/>
              </w:rPr>
            </w:pPr>
          </w:p>
        </w:tc>
        <w:tc>
          <w:tcPr>
            <w:tcW w:w="1415" w:type="dxa"/>
            <w:gridSpan w:val="2"/>
            <w:tcBorders>
              <w:bottom w:val="single" w:color="auto" w:sz="4" w:space="0"/>
            </w:tcBorders>
            <w:vAlign w:val="center"/>
          </w:tcPr>
          <w:p>
            <w:pPr>
              <w:widowControl/>
              <w:rPr>
                <w:rFonts w:eastAsia="方正仿宋简体"/>
                <w:color w:val="000000"/>
                <w:sz w:val="24"/>
                <w:szCs w:val="28"/>
              </w:rPr>
            </w:pPr>
          </w:p>
        </w:tc>
        <w:tc>
          <w:tcPr>
            <w:tcW w:w="1839" w:type="dxa"/>
            <w:gridSpan w:val="3"/>
            <w:tcBorders>
              <w:bottom w:val="single" w:color="auto" w:sz="4" w:space="0"/>
            </w:tcBorders>
            <w:vAlign w:val="center"/>
          </w:tcPr>
          <w:p>
            <w:pPr>
              <w:widowControl/>
              <w:rPr>
                <w:rFonts w:eastAsia="方正仿宋简体"/>
                <w:color w:val="000000"/>
                <w:sz w:val="24"/>
                <w:szCs w:val="28"/>
              </w:rPr>
            </w:pPr>
          </w:p>
        </w:tc>
        <w:tc>
          <w:tcPr>
            <w:tcW w:w="2689" w:type="dxa"/>
            <w:gridSpan w:val="3"/>
            <w:tcBorders>
              <w:bottom w:val="single" w:color="auto" w:sz="4" w:space="0"/>
            </w:tcBorders>
            <w:vAlign w:val="center"/>
          </w:tcPr>
          <w:p>
            <w:pPr>
              <w:widowControl/>
              <w:rPr>
                <w:rFonts w:eastAsia="方正仿宋简体"/>
                <w:color w:val="000000"/>
                <w:sz w:val="24"/>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492" w:type="dxa"/>
            <w:gridSpan w:val="14"/>
            <w:shd w:val="clear" w:color="auto" w:fill="EEECE1"/>
          </w:tcPr>
          <w:p>
            <w:pPr>
              <w:spacing w:before="156" w:beforeLines="50" w:after="156" w:afterLines="50"/>
              <w:jc w:val="center"/>
              <w:rPr>
                <w:rFonts w:eastAsia="方正仿宋简体"/>
                <w:b/>
                <w:sz w:val="24"/>
                <w:szCs w:val="24"/>
              </w:rPr>
            </w:pPr>
            <w:r>
              <w:rPr>
                <w:rFonts w:eastAsia="方正仿宋简体"/>
                <w:b/>
                <w:sz w:val="24"/>
                <w:szCs w:val="24"/>
              </w:rPr>
              <w:t>程序化交易相关信息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709" w:type="dxa"/>
            <w:gridSpan w:val="4"/>
          </w:tcPr>
          <w:p>
            <w:pPr>
              <w:spacing w:before="156" w:beforeLines="50" w:after="156" w:afterLines="50"/>
              <w:rPr>
                <w:rFonts w:eastAsia="方正仿宋简体"/>
                <w:sz w:val="24"/>
                <w:szCs w:val="24"/>
              </w:rPr>
            </w:pPr>
            <w:r>
              <w:rPr>
                <w:rFonts w:eastAsia="方正仿宋简体"/>
                <w:sz w:val="24"/>
                <w:szCs w:val="24"/>
              </w:rPr>
              <w:t>交易系统服务器</w:t>
            </w:r>
          </w:p>
          <w:p>
            <w:pPr>
              <w:spacing w:before="156" w:beforeLines="50" w:after="156" w:afterLines="50"/>
              <w:rPr>
                <w:rFonts w:eastAsia="方正仿宋简体"/>
                <w:sz w:val="24"/>
                <w:szCs w:val="24"/>
              </w:rPr>
            </w:pPr>
            <w:r>
              <w:rPr>
                <w:rFonts w:eastAsia="方正仿宋简体"/>
                <w:sz w:val="24"/>
                <w:szCs w:val="24"/>
              </w:rPr>
              <w:t>所在城市</w:t>
            </w:r>
          </w:p>
        </w:tc>
        <w:tc>
          <w:tcPr>
            <w:tcW w:w="3255" w:type="dxa"/>
            <w:gridSpan w:val="4"/>
          </w:tcPr>
          <w:p>
            <w:pPr>
              <w:spacing w:before="156" w:beforeLines="50" w:after="156" w:afterLines="50"/>
              <w:rPr>
                <w:rFonts w:eastAsia="方正仿宋简体"/>
                <w:sz w:val="24"/>
                <w:szCs w:val="24"/>
              </w:rPr>
            </w:pPr>
          </w:p>
        </w:tc>
        <w:tc>
          <w:tcPr>
            <w:tcW w:w="2264" w:type="dxa"/>
            <w:gridSpan w:val="5"/>
          </w:tcPr>
          <w:p>
            <w:pPr>
              <w:spacing w:before="156" w:beforeLines="50" w:after="156" w:afterLines="50"/>
              <w:rPr>
                <w:rFonts w:eastAsia="方正仿宋简体"/>
                <w:sz w:val="24"/>
                <w:szCs w:val="24"/>
              </w:rPr>
            </w:pPr>
            <w:r>
              <w:rPr>
                <w:rFonts w:eastAsia="方正仿宋简体"/>
                <w:sz w:val="24"/>
                <w:szCs w:val="24"/>
              </w:rPr>
              <w:t>下单系统服务器</w:t>
            </w:r>
          </w:p>
          <w:p>
            <w:pPr>
              <w:spacing w:before="156" w:beforeLines="50" w:after="156" w:afterLines="50"/>
              <w:rPr>
                <w:rFonts w:eastAsia="方正仿宋简体"/>
                <w:sz w:val="24"/>
                <w:szCs w:val="24"/>
              </w:rPr>
            </w:pPr>
            <w:r>
              <w:rPr>
                <w:rFonts w:eastAsia="方正仿宋简体"/>
                <w:sz w:val="24"/>
                <w:szCs w:val="24"/>
              </w:rPr>
              <w:t>所在城市</w:t>
            </w:r>
          </w:p>
        </w:tc>
        <w:tc>
          <w:tcPr>
            <w:tcW w:w="2264" w:type="dxa"/>
          </w:tcPr>
          <w:p>
            <w:pPr>
              <w:spacing w:before="156" w:beforeLines="50" w:after="156" w:afterLines="50"/>
              <w:rPr>
                <w:rFonts w:eastAsia="方正仿宋简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2" w:hRule="atLeast"/>
        </w:trPr>
        <w:tc>
          <w:tcPr>
            <w:tcW w:w="2709" w:type="dxa"/>
            <w:gridSpan w:val="4"/>
            <w:vAlign w:val="center"/>
          </w:tcPr>
          <w:p>
            <w:pPr>
              <w:widowControl/>
              <w:jc w:val="left"/>
              <w:rPr>
                <w:rFonts w:eastAsia="方正仿宋简体"/>
                <w:sz w:val="24"/>
                <w:szCs w:val="28"/>
              </w:rPr>
            </w:pPr>
            <w:r>
              <w:rPr>
                <w:rFonts w:eastAsia="方正仿宋简体"/>
                <w:sz w:val="24"/>
                <w:szCs w:val="28"/>
              </w:rPr>
              <w:t>订单申报峰值</w:t>
            </w:r>
          </w:p>
        </w:tc>
        <w:tc>
          <w:tcPr>
            <w:tcW w:w="7783" w:type="dxa"/>
            <w:gridSpan w:val="10"/>
            <w:vAlign w:val="center"/>
          </w:tcPr>
          <w:p>
            <w:pPr>
              <w:widowControl/>
              <w:ind w:firstLine="360" w:firstLineChars="150"/>
              <w:jc w:val="left"/>
              <w:rPr>
                <w:rFonts w:eastAsia="方正仿宋简体"/>
                <w:sz w:val="24"/>
                <w:szCs w:val="28"/>
              </w:rPr>
            </w:pPr>
            <w:r>
              <w:rPr>
                <w:rFonts w:eastAsia="方正仿宋简体"/>
                <w:sz w:val="24"/>
                <w:szCs w:val="28"/>
                <w:u w:val="single"/>
              </w:rPr>
              <w:t xml:space="preserve">    </w:t>
            </w:r>
            <w:r>
              <w:rPr>
                <w:rFonts w:eastAsia="方正仿宋简体"/>
                <w:sz w:val="24"/>
                <w:szCs w:val="28"/>
              </w:rPr>
              <w:t>笔/每秒</w:t>
            </w:r>
          </w:p>
          <w:p>
            <w:pPr>
              <w:widowControl/>
              <w:ind w:firstLine="360" w:firstLineChars="150"/>
              <w:jc w:val="left"/>
              <w:rPr>
                <w:rFonts w:eastAsia="方正仿宋简体"/>
                <w:sz w:val="24"/>
                <w:szCs w:val="28"/>
              </w:rPr>
            </w:pPr>
            <w:r>
              <w:rPr>
                <w:rFonts w:eastAsia="方正仿宋简体"/>
                <w:sz w:val="24"/>
                <w:szCs w:val="28"/>
                <w:u w:val="single"/>
              </w:rPr>
              <w:t xml:space="preserve">    </w:t>
            </w:r>
            <w:r>
              <w:rPr>
                <w:rFonts w:eastAsia="方正仿宋简体"/>
                <w:sz w:val="24"/>
                <w:szCs w:val="28"/>
              </w:rPr>
              <w:t>笔/每天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709" w:type="dxa"/>
            <w:gridSpan w:val="4"/>
          </w:tcPr>
          <w:p>
            <w:pPr>
              <w:spacing w:before="156" w:beforeLines="50" w:after="156" w:afterLines="50"/>
              <w:rPr>
                <w:rFonts w:eastAsia="方正仿宋简体"/>
                <w:sz w:val="24"/>
                <w:szCs w:val="24"/>
              </w:rPr>
            </w:pPr>
            <w:r>
              <w:rPr>
                <w:rFonts w:eastAsia="方正仿宋简体"/>
                <w:sz w:val="24"/>
                <w:szCs w:val="28"/>
              </w:rPr>
              <w:t>交易模式</w:t>
            </w:r>
          </w:p>
        </w:tc>
        <w:tc>
          <w:tcPr>
            <w:tcW w:w="7783" w:type="dxa"/>
            <w:gridSpan w:val="10"/>
          </w:tcPr>
          <w:p>
            <w:pPr>
              <w:widowControl/>
              <w:jc w:val="left"/>
              <w:rPr>
                <w:rFonts w:eastAsia="方正仿宋简体"/>
                <w:sz w:val="24"/>
                <w:szCs w:val="28"/>
              </w:rPr>
            </w:pPr>
            <w:r>
              <w:rPr>
                <w:rFonts w:eastAsia="方正仿宋简体"/>
                <w:sz w:val="24"/>
                <w:szCs w:val="28"/>
              </w:rPr>
              <w:t>日内高频交易:□ 人工触发  □ 软件自动触发</w:t>
            </w:r>
          </w:p>
          <w:p>
            <w:pPr>
              <w:widowControl/>
              <w:jc w:val="left"/>
              <w:rPr>
                <w:rFonts w:eastAsia="方正仿宋简体"/>
                <w:sz w:val="24"/>
                <w:szCs w:val="28"/>
              </w:rPr>
            </w:pPr>
          </w:p>
          <w:p>
            <w:pPr>
              <w:widowControl/>
              <w:jc w:val="left"/>
              <w:rPr>
                <w:rFonts w:eastAsia="方正仿宋简体"/>
                <w:sz w:val="24"/>
                <w:szCs w:val="28"/>
              </w:rPr>
            </w:pPr>
            <w:r>
              <w:rPr>
                <w:rFonts w:eastAsia="方正仿宋简体"/>
                <w:sz w:val="24"/>
                <w:szCs w:val="28"/>
              </w:rPr>
              <w:t>日内非高频交易:□ 人工触发  □ 软件自动触发</w:t>
            </w:r>
          </w:p>
          <w:p>
            <w:pPr>
              <w:widowControl/>
              <w:jc w:val="left"/>
              <w:rPr>
                <w:rFonts w:eastAsia="方正仿宋简体"/>
                <w:sz w:val="24"/>
                <w:szCs w:val="28"/>
              </w:rPr>
            </w:pPr>
          </w:p>
          <w:p>
            <w:pPr>
              <w:widowControl/>
              <w:jc w:val="left"/>
              <w:rPr>
                <w:rFonts w:eastAsia="方正仿宋简体"/>
                <w:sz w:val="24"/>
                <w:szCs w:val="28"/>
              </w:rPr>
            </w:pPr>
            <w:r>
              <w:rPr>
                <w:rFonts w:eastAsia="方正仿宋简体"/>
                <w:sz w:val="24"/>
                <w:szCs w:val="28"/>
              </w:rPr>
              <w:t>□ 其他(请填写)：</w:t>
            </w:r>
            <w:r>
              <w:rPr>
                <w:rFonts w:eastAsia="方正仿宋简体"/>
                <w:sz w:val="24"/>
                <w:szCs w:val="28"/>
                <w:u w:val="single"/>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709" w:type="dxa"/>
            <w:gridSpan w:val="4"/>
          </w:tcPr>
          <w:p>
            <w:pPr>
              <w:spacing w:before="156" w:beforeLines="50" w:after="156" w:afterLines="50"/>
              <w:rPr>
                <w:rFonts w:eastAsia="方正仿宋简体"/>
                <w:sz w:val="24"/>
                <w:szCs w:val="28"/>
              </w:rPr>
            </w:pPr>
            <w:r>
              <w:rPr>
                <w:rFonts w:eastAsia="方正仿宋简体"/>
                <w:sz w:val="24"/>
                <w:szCs w:val="28"/>
              </w:rPr>
              <w:t>交易品种</w:t>
            </w:r>
          </w:p>
        </w:tc>
        <w:tc>
          <w:tcPr>
            <w:tcW w:w="7783" w:type="dxa"/>
            <w:gridSpan w:val="10"/>
            <w:vAlign w:val="center"/>
          </w:tcPr>
          <w:p>
            <w:pPr>
              <w:widowControl/>
              <w:rPr>
                <w:rFonts w:eastAsia="方正仿宋简体"/>
                <w:sz w:val="24"/>
                <w:szCs w:val="28"/>
              </w:rPr>
            </w:pPr>
            <w:r>
              <w:rPr>
                <w:rFonts w:eastAsia="方正仿宋简体"/>
                <w:sz w:val="24"/>
                <w:szCs w:val="28"/>
              </w:rPr>
              <w:t xml:space="preserve">□ 期权市场 □ 现货市场 □ 期货市场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38" w:hRule="atLeast"/>
        </w:trPr>
        <w:tc>
          <w:tcPr>
            <w:tcW w:w="2709" w:type="dxa"/>
            <w:gridSpan w:val="4"/>
          </w:tcPr>
          <w:p>
            <w:pPr>
              <w:spacing w:before="156" w:beforeLines="50" w:after="156" w:afterLines="50"/>
              <w:rPr>
                <w:rFonts w:eastAsia="方正仿宋简体"/>
                <w:sz w:val="24"/>
                <w:szCs w:val="24"/>
              </w:rPr>
            </w:pPr>
            <w:r>
              <w:rPr>
                <w:rFonts w:eastAsia="方正仿宋简体"/>
                <w:sz w:val="24"/>
                <w:szCs w:val="28"/>
              </w:rPr>
              <w:t>交易策略类型及简要说明</w:t>
            </w:r>
          </w:p>
        </w:tc>
        <w:tc>
          <w:tcPr>
            <w:tcW w:w="7783" w:type="dxa"/>
            <w:gridSpan w:val="10"/>
          </w:tcPr>
          <w:p>
            <w:pPr>
              <w:widowControl/>
              <w:jc w:val="left"/>
              <w:rPr>
                <w:rFonts w:eastAsia="方正仿宋简体"/>
                <w:sz w:val="24"/>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0492" w:type="dxa"/>
            <w:gridSpan w:val="14"/>
            <w:tcBorders>
              <w:top w:val="single" w:color="auto" w:sz="4" w:space="0"/>
              <w:left w:val="single" w:color="auto" w:sz="4" w:space="0"/>
              <w:bottom w:val="single" w:color="auto" w:sz="4" w:space="0"/>
              <w:right w:val="single" w:color="auto" w:sz="4" w:space="0"/>
            </w:tcBorders>
            <w:shd w:val="clear" w:color="auto" w:fill="EEECE1"/>
            <w:vAlign w:val="center"/>
          </w:tcPr>
          <w:p>
            <w:pPr>
              <w:widowControl/>
              <w:jc w:val="center"/>
              <w:rPr>
                <w:rFonts w:eastAsia="方正仿宋简体"/>
                <w:b/>
                <w:kern w:val="0"/>
                <w:sz w:val="24"/>
                <w:szCs w:val="28"/>
              </w:rPr>
            </w:pPr>
            <w:r>
              <w:rPr>
                <w:rFonts w:eastAsia="方正仿宋简体"/>
                <w:b/>
                <w:kern w:val="0"/>
                <w:sz w:val="24"/>
                <w:szCs w:val="28"/>
              </w:rPr>
              <w:t>程序化交易软件信息</w:t>
            </w:r>
          </w:p>
        </w:tc>
      </w:tr>
      <w:tr>
        <w:tblPrEx>
          <w:tblCellMar>
            <w:top w:w="0" w:type="dxa"/>
            <w:left w:w="108" w:type="dxa"/>
            <w:bottom w:w="0" w:type="dxa"/>
            <w:right w:w="108" w:type="dxa"/>
          </w:tblCellMar>
        </w:tblPrEx>
        <w:trPr>
          <w:trHeight w:val="630" w:hRule="atLeast"/>
        </w:trPr>
        <w:tc>
          <w:tcPr>
            <w:tcW w:w="2709" w:type="dxa"/>
            <w:gridSpan w:val="4"/>
            <w:tcBorders>
              <w:top w:val="nil"/>
              <w:left w:val="single" w:color="auto" w:sz="4" w:space="0"/>
              <w:bottom w:val="single" w:color="auto" w:sz="4" w:space="0"/>
              <w:right w:val="single" w:color="auto" w:sz="4" w:space="0"/>
            </w:tcBorders>
            <w:vAlign w:val="center"/>
          </w:tcPr>
          <w:p>
            <w:pPr>
              <w:widowControl/>
              <w:jc w:val="left"/>
              <w:rPr>
                <w:rFonts w:eastAsia="方正仿宋简体"/>
                <w:kern w:val="0"/>
                <w:sz w:val="24"/>
                <w:szCs w:val="28"/>
              </w:rPr>
            </w:pPr>
            <w:r>
              <w:rPr>
                <w:rFonts w:eastAsia="方正仿宋简体"/>
                <w:kern w:val="0"/>
                <w:sz w:val="24"/>
                <w:szCs w:val="28"/>
              </w:rPr>
              <w:t>软件名称</w:t>
            </w:r>
          </w:p>
        </w:tc>
        <w:tc>
          <w:tcPr>
            <w:tcW w:w="1840" w:type="dxa"/>
            <w:gridSpan w:val="2"/>
            <w:tcBorders>
              <w:top w:val="nil"/>
              <w:left w:val="nil"/>
              <w:bottom w:val="single" w:color="auto" w:sz="4" w:space="0"/>
              <w:right w:val="single" w:color="auto" w:sz="4" w:space="0"/>
            </w:tcBorders>
            <w:vAlign w:val="center"/>
          </w:tcPr>
          <w:p>
            <w:pPr>
              <w:widowControl/>
              <w:jc w:val="center"/>
              <w:rPr>
                <w:rFonts w:eastAsia="方正仿宋简体"/>
                <w:kern w:val="0"/>
                <w:sz w:val="24"/>
                <w:szCs w:val="28"/>
              </w:rPr>
            </w:pPr>
            <w:r>
              <w:rPr>
                <w:rFonts w:eastAsia="方正仿宋简体"/>
                <w:kern w:val="0"/>
                <w:sz w:val="24"/>
                <w:szCs w:val="28"/>
              </w:rPr>
              <w:t>所属厂商/软件提供者</w:t>
            </w:r>
          </w:p>
        </w:tc>
        <w:tc>
          <w:tcPr>
            <w:tcW w:w="2122" w:type="dxa"/>
            <w:gridSpan w:val="4"/>
            <w:tcBorders>
              <w:top w:val="nil"/>
              <w:left w:val="nil"/>
              <w:bottom w:val="single" w:color="auto" w:sz="4" w:space="0"/>
              <w:right w:val="single" w:color="auto" w:sz="4" w:space="0"/>
            </w:tcBorders>
            <w:vAlign w:val="center"/>
          </w:tcPr>
          <w:p>
            <w:pPr>
              <w:widowControl/>
              <w:jc w:val="center"/>
              <w:rPr>
                <w:rFonts w:eastAsia="方正仿宋简体"/>
                <w:kern w:val="0"/>
                <w:sz w:val="24"/>
                <w:szCs w:val="28"/>
              </w:rPr>
            </w:pPr>
            <w:r>
              <w:rPr>
                <w:rFonts w:eastAsia="方正仿宋简体"/>
                <w:kern w:val="0"/>
                <w:sz w:val="24"/>
                <w:szCs w:val="28"/>
              </w:rPr>
              <w:t>使用者是否可自行修改程序代码（是/否）</w:t>
            </w:r>
          </w:p>
        </w:tc>
        <w:tc>
          <w:tcPr>
            <w:tcW w:w="1415" w:type="dxa"/>
            <w:gridSpan w:val="2"/>
            <w:tcBorders>
              <w:top w:val="nil"/>
              <w:left w:val="nil"/>
              <w:bottom w:val="single" w:color="auto" w:sz="4" w:space="0"/>
              <w:right w:val="single" w:color="auto" w:sz="4" w:space="0"/>
            </w:tcBorders>
            <w:vAlign w:val="center"/>
          </w:tcPr>
          <w:p>
            <w:pPr>
              <w:widowControl/>
              <w:jc w:val="center"/>
              <w:rPr>
                <w:rFonts w:eastAsia="方正仿宋简体"/>
                <w:kern w:val="0"/>
                <w:sz w:val="24"/>
                <w:szCs w:val="28"/>
              </w:rPr>
            </w:pPr>
            <w:r>
              <w:rPr>
                <w:rFonts w:eastAsia="方正仿宋简体"/>
                <w:kern w:val="0"/>
                <w:sz w:val="24"/>
                <w:szCs w:val="28"/>
              </w:rPr>
              <w:t>行情来源</w:t>
            </w:r>
          </w:p>
        </w:tc>
        <w:tc>
          <w:tcPr>
            <w:tcW w:w="2406" w:type="dxa"/>
            <w:gridSpan w:val="2"/>
            <w:tcBorders>
              <w:top w:val="nil"/>
              <w:left w:val="nil"/>
              <w:bottom w:val="single" w:color="auto" w:sz="4" w:space="0"/>
              <w:right w:val="single" w:color="auto" w:sz="4" w:space="0"/>
            </w:tcBorders>
            <w:vAlign w:val="center"/>
          </w:tcPr>
          <w:p>
            <w:pPr>
              <w:widowControl/>
              <w:jc w:val="center"/>
              <w:rPr>
                <w:rFonts w:eastAsia="方正仿宋简体"/>
                <w:kern w:val="0"/>
                <w:sz w:val="24"/>
                <w:szCs w:val="28"/>
              </w:rPr>
            </w:pPr>
            <w:r>
              <w:rPr>
                <w:rFonts w:eastAsia="方正仿宋简体"/>
                <w:kern w:val="0"/>
                <w:sz w:val="24"/>
                <w:szCs w:val="28"/>
              </w:rPr>
              <w:t>基本功能描述</w:t>
            </w:r>
          </w:p>
          <w:p>
            <w:pPr>
              <w:widowControl/>
              <w:jc w:val="center"/>
              <w:rPr>
                <w:rFonts w:eastAsia="方正仿宋简体"/>
                <w:kern w:val="0"/>
                <w:sz w:val="24"/>
                <w:szCs w:val="28"/>
              </w:rPr>
            </w:pPr>
            <w:r>
              <w:rPr>
                <w:rFonts w:eastAsia="方正仿宋简体"/>
                <w:kern w:val="0"/>
                <w:sz w:val="24"/>
                <w:szCs w:val="28"/>
              </w:rPr>
              <w:t>（可附页说明）</w:t>
            </w:r>
          </w:p>
        </w:tc>
      </w:tr>
      <w:tr>
        <w:tblPrEx>
          <w:tblCellMar>
            <w:top w:w="0" w:type="dxa"/>
            <w:left w:w="108" w:type="dxa"/>
            <w:bottom w:w="0" w:type="dxa"/>
            <w:right w:w="108" w:type="dxa"/>
          </w:tblCellMar>
        </w:tblPrEx>
        <w:trPr>
          <w:trHeight w:val="465" w:hRule="atLeast"/>
        </w:trPr>
        <w:tc>
          <w:tcPr>
            <w:tcW w:w="2709" w:type="dxa"/>
            <w:gridSpan w:val="4"/>
            <w:tcBorders>
              <w:top w:val="nil"/>
              <w:left w:val="single" w:color="auto" w:sz="4" w:space="0"/>
              <w:bottom w:val="single" w:color="auto" w:sz="4" w:space="0"/>
              <w:right w:val="single" w:color="auto" w:sz="4" w:space="0"/>
            </w:tcBorders>
            <w:vAlign w:val="center"/>
          </w:tcPr>
          <w:p>
            <w:pPr>
              <w:widowControl/>
              <w:jc w:val="left"/>
              <w:rPr>
                <w:rFonts w:eastAsia="方正仿宋简体"/>
                <w:kern w:val="0"/>
                <w:sz w:val="24"/>
                <w:szCs w:val="28"/>
              </w:rPr>
            </w:pPr>
          </w:p>
        </w:tc>
        <w:tc>
          <w:tcPr>
            <w:tcW w:w="1840" w:type="dxa"/>
            <w:gridSpan w:val="2"/>
            <w:tcBorders>
              <w:top w:val="nil"/>
              <w:left w:val="nil"/>
              <w:bottom w:val="single" w:color="auto" w:sz="4" w:space="0"/>
              <w:right w:val="single" w:color="auto" w:sz="4" w:space="0"/>
            </w:tcBorders>
            <w:vAlign w:val="center"/>
          </w:tcPr>
          <w:p>
            <w:pPr>
              <w:widowControl/>
              <w:jc w:val="left"/>
              <w:rPr>
                <w:rFonts w:eastAsia="方正仿宋简体"/>
                <w:kern w:val="0"/>
                <w:sz w:val="24"/>
                <w:szCs w:val="28"/>
              </w:rPr>
            </w:pPr>
          </w:p>
        </w:tc>
        <w:tc>
          <w:tcPr>
            <w:tcW w:w="2122" w:type="dxa"/>
            <w:gridSpan w:val="4"/>
            <w:tcBorders>
              <w:top w:val="nil"/>
              <w:left w:val="nil"/>
              <w:bottom w:val="single" w:color="auto" w:sz="4" w:space="0"/>
              <w:right w:val="single" w:color="auto" w:sz="4" w:space="0"/>
            </w:tcBorders>
            <w:vAlign w:val="center"/>
          </w:tcPr>
          <w:p>
            <w:pPr>
              <w:widowControl/>
              <w:jc w:val="left"/>
              <w:rPr>
                <w:rFonts w:eastAsia="方正仿宋简体"/>
                <w:kern w:val="0"/>
                <w:sz w:val="24"/>
                <w:szCs w:val="28"/>
              </w:rPr>
            </w:pPr>
          </w:p>
        </w:tc>
        <w:tc>
          <w:tcPr>
            <w:tcW w:w="1415" w:type="dxa"/>
            <w:gridSpan w:val="2"/>
            <w:tcBorders>
              <w:top w:val="nil"/>
              <w:left w:val="nil"/>
              <w:bottom w:val="single" w:color="auto" w:sz="4" w:space="0"/>
              <w:right w:val="single" w:color="auto" w:sz="4" w:space="0"/>
            </w:tcBorders>
            <w:vAlign w:val="center"/>
          </w:tcPr>
          <w:p>
            <w:pPr>
              <w:widowControl/>
              <w:jc w:val="left"/>
              <w:rPr>
                <w:rFonts w:eastAsia="方正仿宋简体"/>
                <w:kern w:val="0"/>
                <w:sz w:val="24"/>
                <w:szCs w:val="28"/>
              </w:rPr>
            </w:pPr>
          </w:p>
        </w:tc>
        <w:tc>
          <w:tcPr>
            <w:tcW w:w="2406" w:type="dxa"/>
            <w:gridSpan w:val="2"/>
            <w:tcBorders>
              <w:top w:val="nil"/>
              <w:left w:val="nil"/>
              <w:bottom w:val="single" w:color="auto" w:sz="4" w:space="0"/>
              <w:right w:val="single" w:color="auto" w:sz="4" w:space="0"/>
            </w:tcBorders>
            <w:vAlign w:val="center"/>
          </w:tcPr>
          <w:p>
            <w:pPr>
              <w:widowControl/>
              <w:jc w:val="left"/>
              <w:rPr>
                <w:rFonts w:eastAsia="方正仿宋简体"/>
                <w:kern w:val="0"/>
                <w:sz w:val="24"/>
                <w:szCs w:val="28"/>
              </w:rPr>
            </w:pPr>
          </w:p>
        </w:tc>
      </w:tr>
      <w:tr>
        <w:tblPrEx>
          <w:tblCellMar>
            <w:top w:w="0" w:type="dxa"/>
            <w:left w:w="108" w:type="dxa"/>
            <w:bottom w:w="0" w:type="dxa"/>
            <w:right w:w="108" w:type="dxa"/>
          </w:tblCellMar>
        </w:tblPrEx>
        <w:trPr>
          <w:trHeight w:val="465" w:hRule="atLeast"/>
        </w:trPr>
        <w:tc>
          <w:tcPr>
            <w:tcW w:w="2709" w:type="dxa"/>
            <w:gridSpan w:val="4"/>
            <w:tcBorders>
              <w:top w:val="nil"/>
              <w:left w:val="single" w:color="auto" w:sz="4" w:space="0"/>
              <w:bottom w:val="single" w:color="auto" w:sz="4" w:space="0"/>
              <w:right w:val="single" w:color="auto" w:sz="4" w:space="0"/>
            </w:tcBorders>
            <w:vAlign w:val="center"/>
          </w:tcPr>
          <w:p>
            <w:pPr>
              <w:widowControl/>
              <w:jc w:val="left"/>
              <w:rPr>
                <w:rFonts w:eastAsia="方正仿宋简体"/>
                <w:kern w:val="0"/>
                <w:sz w:val="24"/>
                <w:szCs w:val="28"/>
              </w:rPr>
            </w:pPr>
          </w:p>
        </w:tc>
        <w:tc>
          <w:tcPr>
            <w:tcW w:w="1840" w:type="dxa"/>
            <w:gridSpan w:val="2"/>
            <w:tcBorders>
              <w:top w:val="nil"/>
              <w:left w:val="nil"/>
              <w:bottom w:val="single" w:color="auto" w:sz="4" w:space="0"/>
              <w:right w:val="single" w:color="auto" w:sz="4" w:space="0"/>
            </w:tcBorders>
            <w:vAlign w:val="center"/>
          </w:tcPr>
          <w:p>
            <w:pPr>
              <w:widowControl/>
              <w:jc w:val="left"/>
              <w:rPr>
                <w:rFonts w:eastAsia="方正仿宋简体"/>
                <w:kern w:val="0"/>
                <w:sz w:val="24"/>
                <w:szCs w:val="28"/>
              </w:rPr>
            </w:pPr>
          </w:p>
        </w:tc>
        <w:tc>
          <w:tcPr>
            <w:tcW w:w="2122" w:type="dxa"/>
            <w:gridSpan w:val="4"/>
            <w:tcBorders>
              <w:top w:val="nil"/>
              <w:left w:val="nil"/>
              <w:bottom w:val="single" w:color="auto" w:sz="4" w:space="0"/>
              <w:right w:val="single" w:color="auto" w:sz="4" w:space="0"/>
            </w:tcBorders>
            <w:vAlign w:val="center"/>
          </w:tcPr>
          <w:p>
            <w:pPr>
              <w:widowControl/>
              <w:jc w:val="left"/>
              <w:rPr>
                <w:rFonts w:eastAsia="方正仿宋简体"/>
                <w:kern w:val="0"/>
                <w:sz w:val="24"/>
                <w:szCs w:val="28"/>
              </w:rPr>
            </w:pPr>
          </w:p>
        </w:tc>
        <w:tc>
          <w:tcPr>
            <w:tcW w:w="1415" w:type="dxa"/>
            <w:gridSpan w:val="2"/>
            <w:tcBorders>
              <w:top w:val="nil"/>
              <w:left w:val="nil"/>
              <w:bottom w:val="single" w:color="auto" w:sz="4" w:space="0"/>
              <w:right w:val="single" w:color="auto" w:sz="4" w:space="0"/>
            </w:tcBorders>
            <w:vAlign w:val="center"/>
          </w:tcPr>
          <w:p>
            <w:pPr>
              <w:widowControl/>
              <w:jc w:val="left"/>
              <w:rPr>
                <w:rFonts w:eastAsia="方正仿宋简体"/>
                <w:kern w:val="0"/>
                <w:sz w:val="24"/>
                <w:szCs w:val="28"/>
              </w:rPr>
            </w:pPr>
          </w:p>
        </w:tc>
        <w:tc>
          <w:tcPr>
            <w:tcW w:w="2406" w:type="dxa"/>
            <w:gridSpan w:val="2"/>
            <w:tcBorders>
              <w:top w:val="nil"/>
              <w:left w:val="nil"/>
              <w:bottom w:val="single" w:color="auto" w:sz="4" w:space="0"/>
              <w:right w:val="single" w:color="auto" w:sz="4" w:space="0"/>
            </w:tcBorders>
            <w:vAlign w:val="center"/>
          </w:tcPr>
          <w:p>
            <w:pPr>
              <w:widowControl/>
              <w:jc w:val="left"/>
              <w:rPr>
                <w:rFonts w:eastAsia="方正仿宋简体"/>
                <w:kern w:val="0"/>
                <w:sz w:val="24"/>
                <w:szCs w:val="28"/>
              </w:rPr>
            </w:pPr>
          </w:p>
        </w:tc>
      </w:tr>
      <w:tr>
        <w:tblPrEx>
          <w:tblCellMar>
            <w:top w:w="0" w:type="dxa"/>
            <w:left w:w="108" w:type="dxa"/>
            <w:bottom w:w="0" w:type="dxa"/>
            <w:right w:w="108" w:type="dxa"/>
          </w:tblCellMar>
        </w:tblPrEx>
        <w:trPr>
          <w:trHeight w:val="1175" w:hRule="atLeast"/>
        </w:trPr>
        <w:tc>
          <w:tcPr>
            <w:tcW w:w="2709" w:type="dxa"/>
            <w:gridSpan w:val="4"/>
            <w:tcBorders>
              <w:top w:val="nil"/>
              <w:left w:val="single" w:color="auto" w:sz="4" w:space="0"/>
              <w:bottom w:val="single" w:color="auto" w:sz="4" w:space="0"/>
              <w:right w:val="single" w:color="auto" w:sz="4" w:space="0"/>
            </w:tcBorders>
            <w:vAlign w:val="center"/>
          </w:tcPr>
          <w:p>
            <w:pPr>
              <w:widowControl/>
              <w:jc w:val="left"/>
              <w:rPr>
                <w:rFonts w:eastAsia="方正仿宋简体"/>
                <w:kern w:val="0"/>
                <w:sz w:val="24"/>
                <w:szCs w:val="28"/>
              </w:rPr>
            </w:pPr>
            <w:r>
              <w:rPr>
                <w:rFonts w:eastAsia="方正仿宋简体"/>
                <w:kern w:val="0"/>
                <w:sz w:val="24"/>
                <w:szCs w:val="28"/>
              </w:rPr>
              <w:t>风控及其他情况说明</w:t>
            </w:r>
          </w:p>
        </w:tc>
        <w:tc>
          <w:tcPr>
            <w:tcW w:w="7783" w:type="dxa"/>
            <w:gridSpan w:val="10"/>
            <w:tcBorders>
              <w:top w:val="single" w:color="auto" w:sz="4" w:space="0"/>
              <w:left w:val="nil"/>
              <w:bottom w:val="single" w:color="auto" w:sz="4" w:space="0"/>
              <w:right w:val="single" w:color="auto" w:sz="4" w:space="0"/>
            </w:tcBorders>
          </w:tcPr>
          <w:p>
            <w:pPr>
              <w:widowControl/>
              <w:jc w:val="center"/>
              <w:rPr>
                <w:rFonts w:eastAsia="方正仿宋简体"/>
                <w:kern w:val="0"/>
                <w:sz w:val="24"/>
                <w:szCs w:val="28"/>
              </w:rPr>
            </w:pPr>
          </w:p>
        </w:tc>
      </w:tr>
      <w:tr>
        <w:tblPrEx>
          <w:tblCellMar>
            <w:top w:w="0" w:type="dxa"/>
            <w:left w:w="108" w:type="dxa"/>
            <w:bottom w:w="0" w:type="dxa"/>
            <w:right w:w="108" w:type="dxa"/>
          </w:tblCellMar>
        </w:tblPrEx>
        <w:trPr>
          <w:trHeight w:val="1176" w:hRule="atLeast"/>
        </w:trPr>
        <w:tc>
          <w:tcPr>
            <w:tcW w:w="2709" w:type="dxa"/>
            <w:gridSpan w:val="4"/>
            <w:tcBorders>
              <w:top w:val="single" w:color="auto" w:sz="4" w:space="0"/>
              <w:left w:val="single" w:color="auto" w:sz="4" w:space="0"/>
              <w:bottom w:val="single" w:color="auto" w:sz="4" w:space="0"/>
              <w:right w:val="single" w:color="auto" w:sz="4" w:space="0"/>
            </w:tcBorders>
            <w:vAlign w:val="center"/>
          </w:tcPr>
          <w:p>
            <w:pPr>
              <w:widowControl/>
              <w:jc w:val="left"/>
              <w:rPr>
                <w:rFonts w:eastAsia="方正仿宋简体"/>
                <w:kern w:val="0"/>
                <w:sz w:val="24"/>
                <w:szCs w:val="28"/>
              </w:rPr>
            </w:pPr>
            <w:r>
              <w:rPr>
                <w:rFonts w:eastAsia="方正仿宋简体"/>
                <w:kern w:val="0"/>
                <w:sz w:val="24"/>
                <w:szCs w:val="28"/>
              </w:rPr>
              <w:t>升级历史说明</w:t>
            </w:r>
          </w:p>
        </w:tc>
        <w:tc>
          <w:tcPr>
            <w:tcW w:w="7783" w:type="dxa"/>
            <w:gridSpan w:val="10"/>
            <w:tcBorders>
              <w:top w:val="single" w:color="auto" w:sz="4" w:space="0"/>
              <w:left w:val="nil"/>
              <w:bottom w:val="single" w:color="auto" w:sz="4" w:space="0"/>
              <w:right w:val="single" w:color="auto" w:sz="4" w:space="0"/>
            </w:tcBorders>
          </w:tcPr>
          <w:p>
            <w:pPr>
              <w:widowControl/>
              <w:jc w:val="center"/>
              <w:rPr>
                <w:rFonts w:eastAsia="方正仿宋简体"/>
                <w:kern w:val="0"/>
                <w:sz w:val="24"/>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2" w:hRule="atLeast"/>
        </w:trPr>
        <w:tc>
          <w:tcPr>
            <w:tcW w:w="10492" w:type="dxa"/>
            <w:gridSpan w:val="14"/>
            <w:tcBorders>
              <w:top w:val="single" w:color="auto" w:sz="4" w:space="0"/>
              <w:left w:val="single" w:color="auto" w:sz="4" w:space="0"/>
              <w:bottom w:val="single" w:color="auto" w:sz="4" w:space="0"/>
              <w:right w:val="single" w:color="auto" w:sz="4" w:space="0"/>
            </w:tcBorders>
            <w:shd w:val="clear" w:color="auto" w:fill="EEECE1"/>
            <w:vAlign w:val="center"/>
          </w:tcPr>
          <w:p>
            <w:pPr>
              <w:widowControl/>
              <w:jc w:val="center"/>
              <w:rPr>
                <w:rFonts w:eastAsia="方正仿宋简体"/>
                <w:b/>
                <w:kern w:val="0"/>
                <w:sz w:val="24"/>
                <w:szCs w:val="28"/>
              </w:rPr>
            </w:pPr>
            <w:r>
              <w:rPr>
                <w:rFonts w:eastAsia="方正仿宋简体"/>
                <w:b/>
                <w:kern w:val="0"/>
                <w:sz w:val="24"/>
                <w:szCs w:val="28"/>
              </w:rPr>
              <w:t>期权经营机构人员信息及意见</w:t>
            </w:r>
          </w:p>
        </w:tc>
      </w:tr>
      <w:tr>
        <w:tblPrEx>
          <w:tblCellMar>
            <w:top w:w="0" w:type="dxa"/>
            <w:left w:w="108" w:type="dxa"/>
            <w:bottom w:w="0" w:type="dxa"/>
            <w:right w:w="108" w:type="dxa"/>
          </w:tblCellMar>
        </w:tblPrEx>
        <w:trPr>
          <w:trHeight w:val="249" w:hRule="atLeast"/>
        </w:trPr>
        <w:tc>
          <w:tcPr>
            <w:tcW w:w="2709" w:type="dxa"/>
            <w:gridSpan w:val="4"/>
            <w:vMerge w:val="restart"/>
            <w:tcBorders>
              <w:top w:val="nil"/>
              <w:left w:val="single" w:color="auto" w:sz="4" w:space="0"/>
              <w:right w:val="single" w:color="auto" w:sz="4" w:space="0"/>
            </w:tcBorders>
            <w:vAlign w:val="center"/>
          </w:tcPr>
          <w:p>
            <w:pPr>
              <w:widowControl/>
              <w:jc w:val="left"/>
              <w:rPr>
                <w:rFonts w:eastAsia="方正仿宋简体"/>
                <w:kern w:val="0"/>
                <w:sz w:val="24"/>
                <w:szCs w:val="28"/>
              </w:rPr>
            </w:pPr>
            <w:r>
              <w:rPr>
                <w:rFonts w:eastAsia="方正仿宋简体"/>
                <w:kern w:val="0"/>
                <w:sz w:val="24"/>
                <w:szCs w:val="28"/>
              </w:rPr>
              <w:t>管理该程序化交易者的对接人员</w:t>
            </w:r>
          </w:p>
        </w:tc>
        <w:tc>
          <w:tcPr>
            <w:tcW w:w="3891" w:type="dxa"/>
            <w:gridSpan w:val="5"/>
            <w:tcBorders>
              <w:top w:val="single" w:color="auto" w:sz="4" w:space="0"/>
              <w:left w:val="nil"/>
              <w:bottom w:val="single" w:color="auto" w:sz="4" w:space="0"/>
              <w:right w:val="single" w:color="auto" w:sz="4" w:space="0"/>
            </w:tcBorders>
          </w:tcPr>
          <w:p>
            <w:pPr>
              <w:widowControl/>
              <w:jc w:val="center"/>
              <w:rPr>
                <w:rFonts w:eastAsia="方正仿宋简体"/>
                <w:kern w:val="0"/>
                <w:sz w:val="24"/>
                <w:szCs w:val="28"/>
              </w:rPr>
            </w:pPr>
            <w:r>
              <w:rPr>
                <w:rFonts w:eastAsia="方正仿宋简体"/>
                <w:kern w:val="0"/>
                <w:sz w:val="24"/>
                <w:szCs w:val="28"/>
              </w:rPr>
              <w:t>姓名</w:t>
            </w:r>
          </w:p>
        </w:tc>
        <w:tc>
          <w:tcPr>
            <w:tcW w:w="3892" w:type="dxa"/>
            <w:gridSpan w:val="5"/>
            <w:tcBorders>
              <w:top w:val="single" w:color="auto" w:sz="4" w:space="0"/>
              <w:left w:val="nil"/>
              <w:bottom w:val="single" w:color="auto" w:sz="4" w:space="0"/>
              <w:right w:val="single" w:color="auto" w:sz="4" w:space="0"/>
            </w:tcBorders>
          </w:tcPr>
          <w:p>
            <w:pPr>
              <w:widowControl/>
              <w:jc w:val="center"/>
              <w:rPr>
                <w:rFonts w:eastAsia="方正仿宋简体"/>
                <w:kern w:val="0"/>
                <w:sz w:val="24"/>
                <w:szCs w:val="28"/>
              </w:rPr>
            </w:pPr>
          </w:p>
        </w:tc>
      </w:tr>
      <w:tr>
        <w:tblPrEx>
          <w:tblCellMar>
            <w:top w:w="0" w:type="dxa"/>
            <w:left w:w="108" w:type="dxa"/>
            <w:bottom w:w="0" w:type="dxa"/>
            <w:right w:w="108" w:type="dxa"/>
          </w:tblCellMar>
        </w:tblPrEx>
        <w:trPr>
          <w:trHeight w:val="249" w:hRule="atLeast"/>
        </w:trPr>
        <w:tc>
          <w:tcPr>
            <w:tcW w:w="2709" w:type="dxa"/>
            <w:gridSpan w:val="4"/>
            <w:vMerge w:val="continue"/>
            <w:tcBorders>
              <w:left w:val="single" w:color="auto" w:sz="4" w:space="0"/>
              <w:right w:val="single" w:color="auto" w:sz="4" w:space="0"/>
            </w:tcBorders>
            <w:vAlign w:val="center"/>
          </w:tcPr>
          <w:p>
            <w:pPr>
              <w:widowControl/>
              <w:jc w:val="left"/>
              <w:rPr>
                <w:rFonts w:eastAsia="方正仿宋简体"/>
                <w:kern w:val="0"/>
                <w:sz w:val="24"/>
                <w:szCs w:val="28"/>
              </w:rPr>
            </w:pPr>
          </w:p>
        </w:tc>
        <w:tc>
          <w:tcPr>
            <w:tcW w:w="3891" w:type="dxa"/>
            <w:gridSpan w:val="5"/>
            <w:tcBorders>
              <w:top w:val="single" w:color="auto" w:sz="4" w:space="0"/>
              <w:left w:val="nil"/>
              <w:bottom w:val="single" w:color="auto" w:sz="4" w:space="0"/>
              <w:right w:val="single" w:color="auto" w:sz="4" w:space="0"/>
            </w:tcBorders>
          </w:tcPr>
          <w:p>
            <w:pPr>
              <w:widowControl/>
              <w:jc w:val="center"/>
              <w:rPr>
                <w:rFonts w:eastAsia="方正仿宋简体"/>
                <w:kern w:val="0"/>
                <w:sz w:val="24"/>
                <w:szCs w:val="28"/>
              </w:rPr>
            </w:pPr>
            <w:r>
              <w:rPr>
                <w:rFonts w:eastAsia="方正仿宋简体"/>
                <w:kern w:val="0"/>
                <w:sz w:val="24"/>
                <w:szCs w:val="28"/>
              </w:rPr>
              <w:t>职务</w:t>
            </w:r>
          </w:p>
        </w:tc>
        <w:tc>
          <w:tcPr>
            <w:tcW w:w="3892" w:type="dxa"/>
            <w:gridSpan w:val="5"/>
            <w:tcBorders>
              <w:top w:val="single" w:color="auto" w:sz="4" w:space="0"/>
              <w:left w:val="nil"/>
              <w:bottom w:val="single" w:color="auto" w:sz="4" w:space="0"/>
              <w:right w:val="single" w:color="auto" w:sz="4" w:space="0"/>
            </w:tcBorders>
          </w:tcPr>
          <w:p>
            <w:pPr>
              <w:widowControl/>
              <w:jc w:val="center"/>
              <w:rPr>
                <w:rFonts w:eastAsia="方正仿宋简体"/>
                <w:kern w:val="0"/>
                <w:sz w:val="24"/>
                <w:szCs w:val="28"/>
              </w:rPr>
            </w:pPr>
          </w:p>
        </w:tc>
      </w:tr>
      <w:tr>
        <w:tblPrEx>
          <w:tblCellMar>
            <w:top w:w="0" w:type="dxa"/>
            <w:left w:w="108" w:type="dxa"/>
            <w:bottom w:w="0" w:type="dxa"/>
            <w:right w:w="108" w:type="dxa"/>
          </w:tblCellMar>
        </w:tblPrEx>
        <w:trPr>
          <w:trHeight w:val="249" w:hRule="atLeast"/>
        </w:trPr>
        <w:tc>
          <w:tcPr>
            <w:tcW w:w="2709" w:type="dxa"/>
            <w:gridSpan w:val="4"/>
            <w:vMerge w:val="continue"/>
            <w:tcBorders>
              <w:left w:val="single" w:color="auto" w:sz="4" w:space="0"/>
              <w:right w:val="single" w:color="auto" w:sz="4" w:space="0"/>
            </w:tcBorders>
            <w:vAlign w:val="center"/>
          </w:tcPr>
          <w:p>
            <w:pPr>
              <w:widowControl/>
              <w:jc w:val="left"/>
              <w:rPr>
                <w:rFonts w:eastAsia="方正仿宋简体"/>
                <w:kern w:val="0"/>
                <w:sz w:val="24"/>
                <w:szCs w:val="28"/>
              </w:rPr>
            </w:pPr>
          </w:p>
        </w:tc>
        <w:tc>
          <w:tcPr>
            <w:tcW w:w="3891" w:type="dxa"/>
            <w:gridSpan w:val="5"/>
            <w:tcBorders>
              <w:top w:val="single" w:color="auto" w:sz="4" w:space="0"/>
              <w:left w:val="nil"/>
              <w:bottom w:val="single" w:color="auto" w:sz="4" w:space="0"/>
              <w:right w:val="single" w:color="auto" w:sz="4" w:space="0"/>
            </w:tcBorders>
          </w:tcPr>
          <w:p>
            <w:pPr>
              <w:widowControl/>
              <w:jc w:val="center"/>
              <w:rPr>
                <w:rFonts w:eastAsia="方正仿宋简体"/>
                <w:kern w:val="0"/>
                <w:sz w:val="24"/>
                <w:szCs w:val="28"/>
              </w:rPr>
            </w:pPr>
            <w:r>
              <w:rPr>
                <w:rFonts w:eastAsia="方正仿宋简体"/>
                <w:kern w:val="0"/>
                <w:sz w:val="24"/>
                <w:szCs w:val="28"/>
              </w:rPr>
              <w:t>座机</w:t>
            </w:r>
          </w:p>
        </w:tc>
        <w:tc>
          <w:tcPr>
            <w:tcW w:w="3892" w:type="dxa"/>
            <w:gridSpan w:val="5"/>
            <w:tcBorders>
              <w:top w:val="single" w:color="auto" w:sz="4" w:space="0"/>
              <w:left w:val="nil"/>
              <w:bottom w:val="single" w:color="auto" w:sz="4" w:space="0"/>
              <w:right w:val="single" w:color="auto" w:sz="4" w:space="0"/>
            </w:tcBorders>
          </w:tcPr>
          <w:p>
            <w:pPr>
              <w:widowControl/>
              <w:jc w:val="center"/>
              <w:rPr>
                <w:rFonts w:eastAsia="方正仿宋简体"/>
                <w:kern w:val="0"/>
                <w:sz w:val="24"/>
                <w:szCs w:val="28"/>
              </w:rPr>
            </w:pPr>
          </w:p>
        </w:tc>
      </w:tr>
      <w:tr>
        <w:tblPrEx>
          <w:tblCellMar>
            <w:top w:w="0" w:type="dxa"/>
            <w:left w:w="108" w:type="dxa"/>
            <w:bottom w:w="0" w:type="dxa"/>
            <w:right w:w="108" w:type="dxa"/>
          </w:tblCellMar>
        </w:tblPrEx>
        <w:trPr>
          <w:trHeight w:val="249" w:hRule="atLeast"/>
        </w:trPr>
        <w:tc>
          <w:tcPr>
            <w:tcW w:w="2709" w:type="dxa"/>
            <w:gridSpan w:val="4"/>
            <w:vMerge w:val="continue"/>
            <w:tcBorders>
              <w:left w:val="single" w:color="auto" w:sz="4" w:space="0"/>
              <w:right w:val="single" w:color="auto" w:sz="4" w:space="0"/>
            </w:tcBorders>
            <w:vAlign w:val="center"/>
          </w:tcPr>
          <w:p>
            <w:pPr>
              <w:widowControl/>
              <w:jc w:val="left"/>
              <w:rPr>
                <w:rFonts w:eastAsia="方正仿宋简体"/>
                <w:kern w:val="0"/>
                <w:sz w:val="24"/>
                <w:szCs w:val="28"/>
              </w:rPr>
            </w:pPr>
          </w:p>
        </w:tc>
        <w:tc>
          <w:tcPr>
            <w:tcW w:w="3891" w:type="dxa"/>
            <w:gridSpan w:val="5"/>
            <w:tcBorders>
              <w:top w:val="single" w:color="auto" w:sz="4" w:space="0"/>
              <w:left w:val="nil"/>
              <w:bottom w:val="single" w:color="auto" w:sz="4" w:space="0"/>
              <w:right w:val="single" w:color="auto" w:sz="4" w:space="0"/>
            </w:tcBorders>
          </w:tcPr>
          <w:p>
            <w:pPr>
              <w:widowControl/>
              <w:jc w:val="center"/>
              <w:rPr>
                <w:rFonts w:eastAsia="方正仿宋简体"/>
                <w:kern w:val="0"/>
                <w:sz w:val="24"/>
                <w:szCs w:val="28"/>
              </w:rPr>
            </w:pPr>
            <w:r>
              <w:rPr>
                <w:rFonts w:eastAsia="方正仿宋简体"/>
                <w:kern w:val="0"/>
                <w:sz w:val="24"/>
                <w:szCs w:val="28"/>
              </w:rPr>
              <w:t>手机</w:t>
            </w:r>
          </w:p>
        </w:tc>
        <w:tc>
          <w:tcPr>
            <w:tcW w:w="3892" w:type="dxa"/>
            <w:gridSpan w:val="5"/>
            <w:tcBorders>
              <w:top w:val="single" w:color="auto" w:sz="4" w:space="0"/>
              <w:left w:val="nil"/>
              <w:bottom w:val="single" w:color="auto" w:sz="4" w:space="0"/>
              <w:right w:val="single" w:color="auto" w:sz="4" w:space="0"/>
            </w:tcBorders>
          </w:tcPr>
          <w:p>
            <w:pPr>
              <w:widowControl/>
              <w:jc w:val="center"/>
              <w:rPr>
                <w:rFonts w:eastAsia="方正仿宋简体"/>
                <w:kern w:val="0"/>
                <w:sz w:val="24"/>
                <w:szCs w:val="28"/>
              </w:rPr>
            </w:pPr>
          </w:p>
        </w:tc>
      </w:tr>
      <w:tr>
        <w:tblPrEx>
          <w:tblCellMar>
            <w:top w:w="0" w:type="dxa"/>
            <w:left w:w="108" w:type="dxa"/>
            <w:bottom w:w="0" w:type="dxa"/>
            <w:right w:w="108" w:type="dxa"/>
          </w:tblCellMar>
        </w:tblPrEx>
        <w:trPr>
          <w:trHeight w:val="249" w:hRule="atLeast"/>
        </w:trPr>
        <w:tc>
          <w:tcPr>
            <w:tcW w:w="2709" w:type="dxa"/>
            <w:gridSpan w:val="4"/>
            <w:vMerge w:val="continue"/>
            <w:tcBorders>
              <w:left w:val="single" w:color="auto" w:sz="4" w:space="0"/>
              <w:bottom w:val="single" w:color="auto" w:sz="4" w:space="0"/>
              <w:right w:val="single" w:color="auto" w:sz="4" w:space="0"/>
            </w:tcBorders>
            <w:vAlign w:val="center"/>
          </w:tcPr>
          <w:p>
            <w:pPr>
              <w:widowControl/>
              <w:jc w:val="left"/>
              <w:rPr>
                <w:rFonts w:eastAsia="方正仿宋简体"/>
                <w:kern w:val="0"/>
                <w:sz w:val="24"/>
                <w:szCs w:val="28"/>
              </w:rPr>
            </w:pPr>
          </w:p>
        </w:tc>
        <w:tc>
          <w:tcPr>
            <w:tcW w:w="3891" w:type="dxa"/>
            <w:gridSpan w:val="5"/>
            <w:tcBorders>
              <w:top w:val="single" w:color="auto" w:sz="4" w:space="0"/>
              <w:left w:val="nil"/>
              <w:bottom w:val="single" w:color="auto" w:sz="4" w:space="0"/>
              <w:right w:val="single" w:color="auto" w:sz="4" w:space="0"/>
            </w:tcBorders>
          </w:tcPr>
          <w:p>
            <w:pPr>
              <w:widowControl/>
              <w:jc w:val="center"/>
              <w:rPr>
                <w:rFonts w:eastAsia="方正仿宋简体"/>
                <w:kern w:val="0"/>
                <w:sz w:val="24"/>
                <w:szCs w:val="28"/>
              </w:rPr>
            </w:pPr>
            <w:r>
              <w:rPr>
                <w:rFonts w:eastAsia="方正仿宋简体"/>
                <w:kern w:val="0"/>
                <w:sz w:val="24"/>
                <w:szCs w:val="28"/>
              </w:rPr>
              <w:t>电子邮箱</w:t>
            </w:r>
          </w:p>
        </w:tc>
        <w:tc>
          <w:tcPr>
            <w:tcW w:w="3892" w:type="dxa"/>
            <w:gridSpan w:val="5"/>
            <w:tcBorders>
              <w:top w:val="single" w:color="auto" w:sz="4" w:space="0"/>
              <w:left w:val="nil"/>
              <w:bottom w:val="single" w:color="auto" w:sz="4" w:space="0"/>
              <w:right w:val="single" w:color="auto" w:sz="4" w:space="0"/>
            </w:tcBorders>
          </w:tcPr>
          <w:p>
            <w:pPr>
              <w:widowControl/>
              <w:jc w:val="center"/>
              <w:rPr>
                <w:rFonts w:eastAsia="方正仿宋简体"/>
                <w:kern w:val="0"/>
                <w:sz w:val="24"/>
                <w:szCs w:val="28"/>
              </w:rPr>
            </w:pPr>
          </w:p>
        </w:tc>
      </w:tr>
      <w:tr>
        <w:tblPrEx>
          <w:tblCellMar>
            <w:top w:w="0" w:type="dxa"/>
            <w:left w:w="108" w:type="dxa"/>
            <w:bottom w:w="0" w:type="dxa"/>
            <w:right w:w="108" w:type="dxa"/>
          </w:tblCellMar>
        </w:tblPrEx>
        <w:trPr>
          <w:trHeight w:val="210" w:hRule="atLeast"/>
        </w:trPr>
        <w:tc>
          <w:tcPr>
            <w:tcW w:w="2709" w:type="dxa"/>
            <w:gridSpan w:val="4"/>
            <w:vMerge w:val="restart"/>
            <w:tcBorders>
              <w:top w:val="nil"/>
              <w:left w:val="single" w:color="auto" w:sz="4" w:space="0"/>
              <w:right w:val="single" w:color="auto" w:sz="4" w:space="0"/>
            </w:tcBorders>
            <w:vAlign w:val="center"/>
          </w:tcPr>
          <w:p>
            <w:pPr>
              <w:widowControl/>
              <w:jc w:val="left"/>
              <w:rPr>
                <w:rFonts w:eastAsia="方正仿宋简体"/>
                <w:kern w:val="0"/>
                <w:sz w:val="24"/>
                <w:szCs w:val="28"/>
              </w:rPr>
            </w:pPr>
            <w:r>
              <w:rPr>
                <w:rFonts w:eastAsia="方正仿宋简体"/>
                <w:kern w:val="0"/>
                <w:sz w:val="24"/>
                <w:szCs w:val="28"/>
              </w:rPr>
              <w:t>管理该程序化交易者风险控制人员</w:t>
            </w:r>
          </w:p>
        </w:tc>
        <w:tc>
          <w:tcPr>
            <w:tcW w:w="3891" w:type="dxa"/>
            <w:gridSpan w:val="5"/>
            <w:tcBorders>
              <w:top w:val="single" w:color="auto" w:sz="4" w:space="0"/>
              <w:left w:val="nil"/>
              <w:bottom w:val="single" w:color="auto" w:sz="4" w:space="0"/>
              <w:right w:val="single" w:color="auto" w:sz="4" w:space="0"/>
            </w:tcBorders>
          </w:tcPr>
          <w:p>
            <w:pPr>
              <w:widowControl/>
              <w:jc w:val="center"/>
              <w:rPr>
                <w:rFonts w:eastAsia="方正仿宋简体"/>
                <w:kern w:val="0"/>
                <w:sz w:val="24"/>
                <w:szCs w:val="28"/>
              </w:rPr>
            </w:pPr>
            <w:r>
              <w:rPr>
                <w:rFonts w:eastAsia="方正仿宋简体"/>
                <w:kern w:val="0"/>
                <w:sz w:val="24"/>
                <w:szCs w:val="28"/>
              </w:rPr>
              <w:t>姓名</w:t>
            </w:r>
          </w:p>
        </w:tc>
        <w:tc>
          <w:tcPr>
            <w:tcW w:w="3892" w:type="dxa"/>
            <w:gridSpan w:val="5"/>
            <w:tcBorders>
              <w:top w:val="single" w:color="auto" w:sz="4" w:space="0"/>
              <w:left w:val="nil"/>
              <w:bottom w:val="single" w:color="auto" w:sz="4" w:space="0"/>
              <w:right w:val="single" w:color="auto" w:sz="4" w:space="0"/>
            </w:tcBorders>
          </w:tcPr>
          <w:p>
            <w:pPr>
              <w:widowControl/>
              <w:jc w:val="center"/>
              <w:rPr>
                <w:rFonts w:eastAsia="方正仿宋简体"/>
                <w:kern w:val="0"/>
                <w:sz w:val="24"/>
                <w:szCs w:val="28"/>
              </w:rPr>
            </w:pPr>
          </w:p>
        </w:tc>
      </w:tr>
      <w:tr>
        <w:tblPrEx>
          <w:tblCellMar>
            <w:top w:w="0" w:type="dxa"/>
            <w:left w:w="108" w:type="dxa"/>
            <w:bottom w:w="0" w:type="dxa"/>
            <w:right w:w="108" w:type="dxa"/>
          </w:tblCellMar>
        </w:tblPrEx>
        <w:trPr>
          <w:trHeight w:val="207" w:hRule="atLeast"/>
        </w:trPr>
        <w:tc>
          <w:tcPr>
            <w:tcW w:w="2709" w:type="dxa"/>
            <w:gridSpan w:val="4"/>
            <w:vMerge w:val="continue"/>
            <w:tcBorders>
              <w:left w:val="single" w:color="auto" w:sz="4" w:space="0"/>
              <w:right w:val="single" w:color="auto" w:sz="4" w:space="0"/>
            </w:tcBorders>
            <w:vAlign w:val="center"/>
          </w:tcPr>
          <w:p>
            <w:pPr>
              <w:widowControl/>
              <w:jc w:val="left"/>
              <w:rPr>
                <w:rFonts w:eastAsia="方正仿宋简体"/>
                <w:kern w:val="0"/>
                <w:sz w:val="24"/>
                <w:szCs w:val="28"/>
              </w:rPr>
            </w:pPr>
          </w:p>
        </w:tc>
        <w:tc>
          <w:tcPr>
            <w:tcW w:w="3891" w:type="dxa"/>
            <w:gridSpan w:val="5"/>
            <w:tcBorders>
              <w:top w:val="single" w:color="auto" w:sz="4" w:space="0"/>
              <w:left w:val="nil"/>
              <w:bottom w:val="single" w:color="auto" w:sz="4" w:space="0"/>
              <w:right w:val="single" w:color="auto" w:sz="4" w:space="0"/>
            </w:tcBorders>
          </w:tcPr>
          <w:p>
            <w:pPr>
              <w:widowControl/>
              <w:jc w:val="center"/>
              <w:rPr>
                <w:rFonts w:eastAsia="方正仿宋简体"/>
                <w:kern w:val="0"/>
                <w:sz w:val="24"/>
                <w:szCs w:val="28"/>
              </w:rPr>
            </w:pPr>
            <w:r>
              <w:rPr>
                <w:rFonts w:eastAsia="方正仿宋简体"/>
                <w:kern w:val="0"/>
                <w:sz w:val="24"/>
                <w:szCs w:val="28"/>
              </w:rPr>
              <w:t>职务</w:t>
            </w:r>
          </w:p>
        </w:tc>
        <w:tc>
          <w:tcPr>
            <w:tcW w:w="3892" w:type="dxa"/>
            <w:gridSpan w:val="5"/>
            <w:tcBorders>
              <w:top w:val="single" w:color="auto" w:sz="4" w:space="0"/>
              <w:left w:val="nil"/>
              <w:bottom w:val="single" w:color="auto" w:sz="4" w:space="0"/>
              <w:right w:val="single" w:color="auto" w:sz="4" w:space="0"/>
            </w:tcBorders>
          </w:tcPr>
          <w:p>
            <w:pPr>
              <w:widowControl/>
              <w:jc w:val="center"/>
              <w:rPr>
                <w:rFonts w:eastAsia="方正仿宋简体"/>
                <w:kern w:val="0"/>
                <w:sz w:val="24"/>
                <w:szCs w:val="28"/>
              </w:rPr>
            </w:pPr>
          </w:p>
        </w:tc>
      </w:tr>
      <w:tr>
        <w:tblPrEx>
          <w:tblCellMar>
            <w:top w:w="0" w:type="dxa"/>
            <w:left w:w="108" w:type="dxa"/>
            <w:bottom w:w="0" w:type="dxa"/>
            <w:right w:w="108" w:type="dxa"/>
          </w:tblCellMar>
        </w:tblPrEx>
        <w:trPr>
          <w:trHeight w:val="207" w:hRule="atLeast"/>
        </w:trPr>
        <w:tc>
          <w:tcPr>
            <w:tcW w:w="2709" w:type="dxa"/>
            <w:gridSpan w:val="4"/>
            <w:vMerge w:val="continue"/>
            <w:tcBorders>
              <w:left w:val="single" w:color="auto" w:sz="4" w:space="0"/>
              <w:right w:val="single" w:color="auto" w:sz="4" w:space="0"/>
            </w:tcBorders>
            <w:vAlign w:val="center"/>
          </w:tcPr>
          <w:p>
            <w:pPr>
              <w:widowControl/>
              <w:jc w:val="left"/>
              <w:rPr>
                <w:rFonts w:eastAsia="方正仿宋简体"/>
                <w:kern w:val="0"/>
                <w:sz w:val="24"/>
                <w:szCs w:val="28"/>
              </w:rPr>
            </w:pPr>
          </w:p>
        </w:tc>
        <w:tc>
          <w:tcPr>
            <w:tcW w:w="3891" w:type="dxa"/>
            <w:gridSpan w:val="5"/>
            <w:tcBorders>
              <w:top w:val="single" w:color="auto" w:sz="4" w:space="0"/>
              <w:left w:val="nil"/>
              <w:bottom w:val="single" w:color="auto" w:sz="4" w:space="0"/>
              <w:right w:val="single" w:color="auto" w:sz="4" w:space="0"/>
            </w:tcBorders>
          </w:tcPr>
          <w:p>
            <w:pPr>
              <w:widowControl/>
              <w:jc w:val="center"/>
              <w:rPr>
                <w:rFonts w:eastAsia="方正仿宋简体"/>
                <w:kern w:val="0"/>
                <w:sz w:val="24"/>
                <w:szCs w:val="28"/>
              </w:rPr>
            </w:pPr>
            <w:r>
              <w:rPr>
                <w:rFonts w:eastAsia="方正仿宋简体"/>
                <w:kern w:val="0"/>
                <w:sz w:val="24"/>
                <w:szCs w:val="28"/>
              </w:rPr>
              <w:t>座机</w:t>
            </w:r>
          </w:p>
        </w:tc>
        <w:tc>
          <w:tcPr>
            <w:tcW w:w="3892" w:type="dxa"/>
            <w:gridSpan w:val="5"/>
            <w:tcBorders>
              <w:top w:val="single" w:color="auto" w:sz="4" w:space="0"/>
              <w:left w:val="nil"/>
              <w:bottom w:val="single" w:color="auto" w:sz="4" w:space="0"/>
              <w:right w:val="single" w:color="auto" w:sz="4" w:space="0"/>
            </w:tcBorders>
          </w:tcPr>
          <w:p>
            <w:pPr>
              <w:widowControl/>
              <w:jc w:val="center"/>
              <w:rPr>
                <w:rFonts w:eastAsia="方正仿宋简体"/>
                <w:kern w:val="0"/>
                <w:sz w:val="24"/>
                <w:szCs w:val="28"/>
              </w:rPr>
            </w:pPr>
          </w:p>
        </w:tc>
      </w:tr>
      <w:tr>
        <w:tblPrEx>
          <w:tblCellMar>
            <w:top w:w="0" w:type="dxa"/>
            <w:left w:w="108" w:type="dxa"/>
            <w:bottom w:w="0" w:type="dxa"/>
            <w:right w:w="108" w:type="dxa"/>
          </w:tblCellMar>
        </w:tblPrEx>
        <w:trPr>
          <w:trHeight w:val="207" w:hRule="atLeast"/>
        </w:trPr>
        <w:tc>
          <w:tcPr>
            <w:tcW w:w="2709" w:type="dxa"/>
            <w:gridSpan w:val="4"/>
            <w:vMerge w:val="continue"/>
            <w:tcBorders>
              <w:left w:val="single" w:color="auto" w:sz="4" w:space="0"/>
              <w:right w:val="single" w:color="auto" w:sz="4" w:space="0"/>
            </w:tcBorders>
            <w:vAlign w:val="center"/>
          </w:tcPr>
          <w:p>
            <w:pPr>
              <w:widowControl/>
              <w:jc w:val="left"/>
              <w:rPr>
                <w:rFonts w:eastAsia="方正仿宋简体"/>
                <w:kern w:val="0"/>
                <w:sz w:val="24"/>
                <w:szCs w:val="28"/>
              </w:rPr>
            </w:pPr>
          </w:p>
        </w:tc>
        <w:tc>
          <w:tcPr>
            <w:tcW w:w="3891" w:type="dxa"/>
            <w:gridSpan w:val="5"/>
            <w:tcBorders>
              <w:top w:val="single" w:color="auto" w:sz="4" w:space="0"/>
              <w:left w:val="nil"/>
              <w:bottom w:val="single" w:color="auto" w:sz="4" w:space="0"/>
              <w:right w:val="single" w:color="auto" w:sz="4" w:space="0"/>
            </w:tcBorders>
          </w:tcPr>
          <w:p>
            <w:pPr>
              <w:widowControl/>
              <w:jc w:val="center"/>
              <w:rPr>
                <w:rFonts w:eastAsia="方正仿宋简体"/>
                <w:kern w:val="0"/>
                <w:sz w:val="24"/>
                <w:szCs w:val="28"/>
              </w:rPr>
            </w:pPr>
            <w:r>
              <w:rPr>
                <w:rFonts w:eastAsia="方正仿宋简体"/>
                <w:kern w:val="0"/>
                <w:sz w:val="24"/>
                <w:szCs w:val="28"/>
              </w:rPr>
              <w:t>手机</w:t>
            </w:r>
          </w:p>
        </w:tc>
        <w:tc>
          <w:tcPr>
            <w:tcW w:w="3892" w:type="dxa"/>
            <w:gridSpan w:val="5"/>
            <w:tcBorders>
              <w:top w:val="single" w:color="auto" w:sz="4" w:space="0"/>
              <w:left w:val="nil"/>
              <w:bottom w:val="single" w:color="auto" w:sz="4" w:space="0"/>
              <w:right w:val="single" w:color="auto" w:sz="4" w:space="0"/>
            </w:tcBorders>
          </w:tcPr>
          <w:p>
            <w:pPr>
              <w:widowControl/>
              <w:jc w:val="center"/>
              <w:rPr>
                <w:rFonts w:eastAsia="方正仿宋简体"/>
                <w:kern w:val="0"/>
                <w:sz w:val="24"/>
                <w:szCs w:val="28"/>
              </w:rPr>
            </w:pPr>
          </w:p>
        </w:tc>
      </w:tr>
      <w:tr>
        <w:tblPrEx>
          <w:tblCellMar>
            <w:top w:w="0" w:type="dxa"/>
            <w:left w:w="108" w:type="dxa"/>
            <w:bottom w:w="0" w:type="dxa"/>
            <w:right w:w="108" w:type="dxa"/>
          </w:tblCellMar>
        </w:tblPrEx>
        <w:trPr>
          <w:trHeight w:val="207" w:hRule="atLeast"/>
        </w:trPr>
        <w:tc>
          <w:tcPr>
            <w:tcW w:w="2709" w:type="dxa"/>
            <w:gridSpan w:val="4"/>
            <w:vMerge w:val="continue"/>
            <w:tcBorders>
              <w:left w:val="single" w:color="auto" w:sz="4" w:space="0"/>
              <w:right w:val="single" w:color="auto" w:sz="4" w:space="0"/>
            </w:tcBorders>
            <w:vAlign w:val="center"/>
          </w:tcPr>
          <w:p>
            <w:pPr>
              <w:widowControl/>
              <w:jc w:val="left"/>
              <w:rPr>
                <w:rFonts w:eastAsia="方正仿宋简体"/>
                <w:kern w:val="0"/>
                <w:sz w:val="24"/>
                <w:szCs w:val="28"/>
              </w:rPr>
            </w:pPr>
          </w:p>
        </w:tc>
        <w:tc>
          <w:tcPr>
            <w:tcW w:w="3891" w:type="dxa"/>
            <w:gridSpan w:val="5"/>
            <w:tcBorders>
              <w:top w:val="single" w:color="auto" w:sz="4" w:space="0"/>
              <w:left w:val="nil"/>
              <w:bottom w:val="single" w:color="auto" w:sz="4" w:space="0"/>
              <w:right w:val="single" w:color="auto" w:sz="4" w:space="0"/>
            </w:tcBorders>
          </w:tcPr>
          <w:p>
            <w:pPr>
              <w:widowControl/>
              <w:jc w:val="center"/>
              <w:rPr>
                <w:rFonts w:eastAsia="方正仿宋简体"/>
                <w:kern w:val="0"/>
                <w:sz w:val="24"/>
                <w:szCs w:val="28"/>
              </w:rPr>
            </w:pPr>
            <w:r>
              <w:rPr>
                <w:rFonts w:eastAsia="方正仿宋简体"/>
                <w:kern w:val="0"/>
                <w:sz w:val="24"/>
                <w:szCs w:val="28"/>
              </w:rPr>
              <w:t>电子邮箱</w:t>
            </w:r>
          </w:p>
        </w:tc>
        <w:tc>
          <w:tcPr>
            <w:tcW w:w="3892" w:type="dxa"/>
            <w:gridSpan w:val="5"/>
            <w:tcBorders>
              <w:top w:val="single" w:color="auto" w:sz="4" w:space="0"/>
              <w:left w:val="nil"/>
              <w:bottom w:val="single" w:color="auto" w:sz="4" w:space="0"/>
              <w:right w:val="single" w:color="auto" w:sz="4" w:space="0"/>
            </w:tcBorders>
          </w:tcPr>
          <w:p>
            <w:pPr>
              <w:widowControl/>
              <w:jc w:val="center"/>
              <w:rPr>
                <w:rFonts w:eastAsia="方正仿宋简体"/>
                <w:kern w:val="0"/>
                <w:sz w:val="24"/>
                <w:szCs w:val="28"/>
              </w:rPr>
            </w:pPr>
          </w:p>
        </w:tc>
      </w:tr>
      <w:tr>
        <w:tblPrEx>
          <w:tblCellMar>
            <w:top w:w="0" w:type="dxa"/>
            <w:left w:w="108" w:type="dxa"/>
            <w:bottom w:w="0" w:type="dxa"/>
            <w:right w:w="108" w:type="dxa"/>
          </w:tblCellMar>
        </w:tblPrEx>
        <w:trPr>
          <w:trHeight w:val="646" w:hRule="atLeast"/>
        </w:trPr>
        <w:tc>
          <w:tcPr>
            <w:tcW w:w="2709" w:type="dxa"/>
            <w:gridSpan w:val="4"/>
            <w:tcBorders>
              <w:top w:val="single" w:color="auto" w:sz="4" w:space="0"/>
              <w:left w:val="single" w:color="auto" w:sz="4" w:space="0"/>
              <w:bottom w:val="single" w:color="auto" w:sz="4" w:space="0"/>
              <w:right w:val="single" w:color="auto" w:sz="4" w:space="0"/>
            </w:tcBorders>
            <w:vAlign w:val="center"/>
          </w:tcPr>
          <w:p>
            <w:pPr>
              <w:widowControl/>
              <w:jc w:val="left"/>
              <w:rPr>
                <w:rFonts w:eastAsia="方正仿宋简体"/>
                <w:kern w:val="0"/>
                <w:sz w:val="24"/>
                <w:szCs w:val="28"/>
              </w:rPr>
            </w:pPr>
            <w:r>
              <w:rPr>
                <w:rFonts w:eastAsia="方正仿宋简体"/>
                <w:kern w:val="0"/>
                <w:sz w:val="24"/>
                <w:szCs w:val="28"/>
              </w:rPr>
              <w:t>期权经营机构意见</w:t>
            </w:r>
          </w:p>
        </w:tc>
        <w:tc>
          <w:tcPr>
            <w:tcW w:w="7783" w:type="dxa"/>
            <w:gridSpan w:val="10"/>
            <w:tcBorders>
              <w:top w:val="single" w:color="auto" w:sz="4" w:space="0"/>
              <w:left w:val="nil"/>
              <w:bottom w:val="single" w:color="auto" w:sz="4" w:space="0"/>
              <w:right w:val="single" w:color="auto" w:sz="4" w:space="0"/>
            </w:tcBorders>
            <w:vAlign w:val="center"/>
          </w:tcPr>
          <w:p>
            <w:pPr>
              <w:widowControl/>
              <w:numPr>
                <w:ilvl w:val="0"/>
                <w:numId w:val="125"/>
              </w:numPr>
              <w:spacing w:line="360" w:lineRule="auto"/>
              <w:rPr>
                <w:rFonts w:eastAsia="方正仿宋简体"/>
                <w:kern w:val="0"/>
                <w:sz w:val="24"/>
                <w:szCs w:val="28"/>
              </w:rPr>
            </w:pPr>
            <w:r>
              <w:rPr>
                <w:rFonts w:eastAsia="方正仿宋简体"/>
                <w:kern w:val="0"/>
                <w:sz w:val="24"/>
              </w:rPr>
              <w:t>本期权经营机构已对客户报备信息进行尽职审查并同意客户报备。</w:t>
            </w:r>
          </w:p>
        </w:tc>
      </w:tr>
      <w:tr>
        <w:tblPrEx>
          <w:tblCellMar>
            <w:top w:w="0" w:type="dxa"/>
            <w:left w:w="108" w:type="dxa"/>
            <w:bottom w:w="0" w:type="dxa"/>
            <w:right w:w="108" w:type="dxa"/>
          </w:tblCellMar>
        </w:tblPrEx>
        <w:trPr>
          <w:trHeight w:val="1137" w:hRule="atLeast"/>
        </w:trPr>
        <w:tc>
          <w:tcPr>
            <w:tcW w:w="2709" w:type="dxa"/>
            <w:gridSpan w:val="4"/>
            <w:tcBorders>
              <w:top w:val="single" w:color="auto" w:sz="4" w:space="0"/>
              <w:left w:val="single" w:color="auto" w:sz="4" w:space="0"/>
              <w:bottom w:val="single" w:color="auto" w:sz="4" w:space="0"/>
              <w:right w:val="single" w:color="auto" w:sz="4" w:space="0"/>
            </w:tcBorders>
            <w:vAlign w:val="center"/>
          </w:tcPr>
          <w:p>
            <w:pPr>
              <w:widowControl/>
              <w:jc w:val="left"/>
              <w:rPr>
                <w:rFonts w:eastAsia="方正仿宋简体"/>
                <w:kern w:val="0"/>
                <w:sz w:val="24"/>
                <w:szCs w:val="28"/>
              </w:rPr>
            </w:pPr>
            <w:r>
              <w:rPr>
                <w:rFonts w:eastAsia="方正仿宋简体"/>
                <w:kern w:val="0"/>
                <w:sz w:val="24"/>
                <w:szCs w:val="28"/>
              </w:rPr>
              <w:t>签字及盖章</w:t>
            </w:r>
          </w:p>
        </w:tc>
        <w:tc>
          <w:tcPr>
            <w:tcW w:w="7783" w:type="dxa"/>
            <w:gridSpan w:val="10"/>
            <w:tcBorders>
              <w:top w:val="single" w:color="auto" w:sz="4" w:space="0"/>
              <w:left w:val="nil"/>
              <w:bottom w:val="single" w:color="auto" w:sz="4" w:space="0"/>
              <w:right w:val="single" w:color="auto" w:sz="4" w:space="0"/>
            </w:tcBorders>
          </w:tcPr>
          <w:p>
            <w:pPr>
              <w:widowControl/>
              <w:ind w:left="360"/>
              <w:rPr>
                <w:rFonts w:eastAsia="方正仿宋简体"/>
                <w:kern w:val="0"/>
                <w:sz w:val="24"/>
                <w:szCs w:val="28"/>
              </w:rPr>
            </w:pPr>
          </w:p>
        </w:tc>
      </w:tr>
    </w:tbl>
    <w:p>
      <w:pPr>
        <w:rPr>
          <w:rFonts w:eastAsia="方正仿宋简体"/>
          <w:kern w:val="0"/>
          <w:sz w:val="28"/>
          <w:szCs w:val="28"/>
        </w:rPr>
      </w:pPr>
      <w:r>
        <w:rPr>
          <w:rFonts w:eastAsia="方正仿宋简体"/>
          <w:kern w:val="0"/>
          <w:sz w:val="28"/>
          <w:szCs w:val="28"/>
        </w:rPr>
        <w:t>填报人:</w:t>
      </w:r>
      <w:r>
        <w:rPr>
          <w:rFonts w:eastAsia="方正仿宋简体"/>
          <w:kern w:val="0"/>
          <w:sz w:val="28"/>
          <w:szCs w:val="28"/>
        </w:rPr>
        <w:tab/>
      </w:r>
      <w:r>
        <w:rPr>
          <w:rFonts w:eastAsia="方正仿宋简体"/>
          <w:kern w:val="0"/>
          <w:sz w:val="28"/>
          <w:szCs w:val="28"/>
        </w:rPr>
        <w:tab/>
      </w:r>
      <w:r>
        <w:rPr>
          <w:rFonts w:eastAsia="方正仿宋简体"/>
          <w:kern w:val="0"/>
          <w:sz w:val="28"/>
          <w:szCs w:val="28"/>
        </w:rPr>
        <w:tab/>
      </w:r>
      <w:r>
        <w:rPr>
          <w:rFonts w:eastAsia="方正仿宋简体"/>
          <w:kern w:val="0"/>
          <w:sz w:val="28"/>
          <w:szCs w:val="28"/>
        </w:rPr>
        <w:tab/>
      </w:r>
      <w:r>
        <w:rPr>
          <w:rFonts w:eastAsia="方正仿宋简体"/>
          <w:kern w:val="0"/>
          <w:sz w:val="28"/>
          <w:szCs w:val="28"/>
        </w:rPr>
        <w:tab/>
      </w:r>
      <w:r>
        <w:rPr>
          <w:rFonts w:eastAsia="方正仿宋简体"/>
          <w:kern w:val="0"/>
          <w:sz w:val="28"/>
          <w:szCs w:val="28"/>
        </w:rPr>
        <w:tab/>
      </w:r>
      <w:r>
        <w:rPr>
          <w:rFonts w:eastAsia="方正仿宋简体"/>
          <w:kern w:val="0"/>
          <w:sz w:val="28"/>
          <w:szCs w:val="28"/>
        </w:rPr>
        <w:tab/>
      </w:r>
      <w:r>
        <w:rPr>
          <w:rFonts w:eastAsia="方正仿宋简体"/>
          <w:kern w:val="0"/>
          <w:sz w:val="28"/>
          <w:szCs w:val="28"/>
        </w:rPr>
        <w:tab/>
      </w:r>
      <w:r>
        <w:rPr>
          <w:rFonts w:eastAsia="方正仿宋简体"/>
          <w:kern w:val="0"/>
          <w:sz w:val="28"/>
          <w:szCs w:val="28"/>
        </w:rPr>
        <w:tab/>
      </w:r>
      <w:r>
        <w:rPr>
          <w:rFonts w:eastAsia="方正仿宋简体"/>
          <w:kern w:val="0"/>
          <w:sz w:val="28"/>
          <w:szCs w:val="28"/>
        </w:rPr>
        <w:tab/>
      </w:r>
      <w:r>
        <w:rPr>
          <w:rFonts w:eastAsia="方正仿宋简体"/>
          <w:kern w:val="0"/>
          <w:sz w:val="28"/>
          <w:szCs w:val="28"/>
        </w:rPr>
        <w:t>填报日期：</w:t>
      </w:r>
    </w:p>
    <w:p>
      <w:pPr>
        <w:rPr>
          <w:rFonts w:eastAsia="方正仿宋简体"/>
          <w:kern w:val="0"/>
          <w:sz w:val="28"/>
          <w:szCs w:val="28"/>
        </w:rPr>
      </w:pPr>
      <w:r>
        <w:rPr>
          <w:rFonts w:eastAsia="方正仿宋简体"/>
          <w:kern w:val="0"/>
          <w:sz w:val="28"/>
          <w:szCs w:val="28"/>
        </w:rPr>
        <w:t>注：</w:t>
      </w:r>
    </w:p>
    <w:p>
      <w:pPr>
        <w:ind w:firstLine="560" w:firstLineChars="200"/>
        <w:rPr>
          <w:rFonts w:eastAsia="方正仿宋简体"/>
          <w:kern w:val="0"/>
          <w:sz w:val="28"/>
          <w:szCs w:val="28"/>
        </w:rPr>
      </w:pPr>
      <w:r>
        <w:rPr>
          <w:rFonts w:eastAsia="方正仿宋简体"/>
          <w:kern w:val="0"/>
          <w:sz w:val="28"/>
          <w:szCs w:val="28"/>
        </w:rPr>
        <w:t>1.</w:t>
      </w:r>
      <w:r>
        <w:rPr>
          <w:rFonts w:hint="eastAsia" w:eastAsia="方正仿宋简体"/>
          <w:kern w:val="0"/>
          <w:sz w:val="28"/>
          <w:szCs w:val="28"/>
        </w:rPr>
        <w:t>在本所期权业务专区填写电子表格后，下载自动生成的PDF文件，经</w:t>
      </w:r>
      <w:r>
        <w:rPr>
          <w:rFonts w:hint="eastAsia" w:eastAsia="方正仿宋简体"/>
          <w:kern w:val="0"/>
          <w:sz w:val="28"/>
          <w:szCs w:val="28"/>
          <w:lang w:eastAsia="zh-CN"/>
        </w:rPr>
        <w:t>期货</w:t>
      </w:r>
      <w:r>
        <w:rPr>
          <w:rFonts w:hint="eastAsia" w:eastAsia="方正仿宋简体"/>
          <w:kern w:val="0"/>
          <w:sz w:val="28"/>
          <w:szCs w:val="28"/>
        </w:rPr>
        <w:t>公司期权业务负责人签字并加盖业务管理部门章后上传扫描件。</w:t>
      </w:r>
    </w:p>
    <w:p>
      <w:pPr>
        <w:ind w:firstLine="560" w:firstLineChars="200"/>
        <w:rPr>
          <w:rFonts w:eastAsia="方正仿宋简体"/>
          <w:kern w:val="0"/>
          <w:sz w:val="28"/>
          <w:szCs w:val="28"/>
        </w:rPr>
      </w:pPr>
      <w:r>
        <w:rPr>
          <w:rFonts w:eastAsia="方正仿宋简体"/>
          <w:kern w:val="0"/>
          <w:sz w:val="28"/>
          <w:szCs w:val="28"/>
        </w:rPr>
        <w:t>2.期货公司可在每个交易日17:00前向交易所进行报备，迟于此时间报备的视同下一交易日报备。</w:t>
      </w:r>
    </w:p>
    <w:p>
      <w:pPr>
        <w:jc w:val="left"/>
        <w:outlineLvl w:val="0"/>
        <w:rPr>
          <w:rFonts w:hint="eastAsia" w:eastAsia="方正仿宋简体"/>
          <w:bCs/>
          <w:sz w:val="30"/>
          <w:szCs w:val="30"/>
          <w:lang w:eastAsia="zh-CN"/>
        </w:rPr>
      </w:pPr>
      <w:r>
        <w:rPr>
          <w:rFonts w:eastAsia="方正仿宋简体"/>
          <w:kern w:val="0"/>
          <w:sz w:val="28"/>
          <w:szCs w:val="28"/>
        </w:rPr>
        <w:br w:type="page"/>
      </w:r>
      <w:bookmarkStart w:id="273" w:name="_Toc25842066"/>
      <w:r>
        <w:rPr>
          <w:rFonts w:eastAsia="方正仿宋简体"/>
          <w:bCs/>
          <w:sz w:val="30"/>
          <w:szCs w:val="30"/>
        </w:rPr>
        <w:t>附件12：股票期权大户持仓报告表</w:t>
      </w:r>
      <w:bookmarkEnd w:id="263"/>
      <w:bookmarkEnd w:id="273"/>
      <w:r>
        <w:rPr>
          <w:rFonts w:hint="eastAsia" w:eastAsia="方正仿宋简体"/>
          <w:bCs/>
          <w:sz w:val="30"/>
          <w:szCs w:val="30"/>
          <w:lang w:eastAsia="zh-CN"/>
        </w:rPr>
        <w:t>样表</w:t>
      </w:r>
    </w:p>
    <w:p>
      <w:pPr>
        <w:widowControl/>
        <w:jc w:val="center"/>
        <w:rPr>
          <w:rFonts w:ascii="方正小标宋简体" w:eastAsia="方正小标宋简体"/>
          <w:bCs/>
          <w:sz w:val="32"/>
          <w:szCs w:val="32"/>
        </w:rPr>
      </w:pPr>
      <w:r>
        <w:rPr>
          <w:rFonts w:hint="eastAsia" w:ascii="方正小标宋简体" w:eastAsia="方正小标宋简体"/>
          <w:sz w:val="28"/>
          <w:szCs w:val="28"/>
        </w:rPr>
        <w:t>股票期权大户持仓报告表</w:t>
      </w:r>
    </w:p>
    <w:tbl>
      <w:tblPr>
        <w:tblStyle w:val="37"/>
        <w:tblW w:w="8887"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2093"/>
        <w:gridCol w:w="892"/>
        <w:gridCol w:w="1701"/>
        <w:gridCol w:w="890"/>
        <w:gridCol w:w="567"/>
        <w:gridCol w:w="993"/>
        <w:gridCol w:w="1751"/>
      </w:tblGrid>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CellMar>
            <w:top w:w="0" w:type="dxa"/>
            <w:left w:w="0" w:type="dxa"/>
            <w:bottom w:w="0" w:type="dxa"/>
            <w:right w:w="0" w:type="dxa"/>
          </w:tblCellMar>
        </w:tblPrEx>
        <w:trPr>
          <w:jc w:val="center"/>
        </w:trPr>
        <w:tc>
          <w:tcPr>
            <w:tcW w:w="2093"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r>
              <w:rPr>
                <w:rFonts w:eastAsia="方正仿宋简体"/>
                <w:sz w:val="24"/>
                <w:szCs w:val="22"/>
              </w:rPr>
              <w:t>投资者（期权经营机构）名称</w:t>
            </w:r>
          </w:p>
        </w:tc>
        <w:tc>
          <w:tcPr>
            <w:tcW w:w="6794" w:type="dxa"/>
            <w:gridSpan w:val="6"/>
            <w:tcBorders>
              <w:top w:val="single" w:color="auto" w:sz="8" w:space="0"/>
              <w:left w:val="nil"/>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CellMar>
            <w:top w:w="0" w:type="dxa"/>
            <w:left w:w="0" w:type="dxa"/>
            <w:bottom w:w="0" w:type="dxa"/>
            <w:right w:w="0" w:type="dxa"/>
          </w:tblCellMar>
        </w:tblPrEx>
        <w:trPr>
          <w:jc w:val="center"/>
        </w:trPr>
        <w:tc>
          <w:tcPr>
            <w:tcW w:w="2093"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r>
              <w:rPr>
                <w:rFonts w:eastAsia="方正仿宋简体"/>
                <w:kern w:val="0"/>
                <w:sz w:val="24"/>
                <w:szCs w:val="28"/>
              </w:rPr>
              <w:t>合约账户</w:t>
            </w:r>
          </w:p>
        </w:tc>
        <w:tc>
          <w:tcPr>
            <w:tcW w:w="2593" w:type="dxa"/>
            <w:gridSpan w:val="2"/>
            <w:tcBorders>
              <w:top w:val="nil"/>
              <w:left w:val="nil"/>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p>
        </w:tc>
        <w:tc>
          <w:tcPr>
            <w:tcW w:w="4201" w:type="dxa"/>
            <w:gridSpan w:val="4"/>
            <w:tcBorders>
              <w:top w:val="nil"/>
              <w:left w:val="nil"/>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r>
              <w:rPr>
                <w:rFonts w:eastAsia="方正仿宋简体"/>
                <w:kern w:val="0"/>
                <w:sz w:val="24"/>
                <w:szCs w:val="28"/>
              </w:rPr>
              <w:t>□普通　□套保  □自营  □做市商</w:t>
            </w: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CellMar>
            <w:top w:w="0" w:type="dxa"/>
            <w:left w:w="0" w:type="dxa"/>
            <w:bottom w:w="0" w:type="dxa"/>
            <w:right w:w="0" w:type="dxa"/>
          </w:tblCellMar>
        </w:tblPrEx>
        <w:trPr>
          <w:jc w:val="center"/>
        </w:trPr>
        <w:tc>
          <w:tcPr>
            <w:tcW w:w="2093"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r>
              <w:rPr>
                <w:rFonts w:eastAsia="方正仿宋简体"/>
                <w:kern w:val="0"/>
                <w:sz w:val="24"/>
                <w:szCs w:val="28"/>
              </w:rPr>
              <w:t>联系地址</w:t>
            </w:r>
          </w:p>
        </w:tc>
        <w:tc>
          <w:tcPr>
            <w:tcW w:w="2593" w:type="dxa"/>
            <w:gridSpan w:val="2"/>
            <w:tcBorders>
              <w:top w:val="nil"/>
              <w:left w:val="nil"/>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p>
        </w:tc>
        <w:tc>
          <w:tcPr>
            <w:tcW w:w="2450" w:type="dxa"/>
            <w:gridSpan w:val="3"/>
            <w:tcBorders>
              <w:top w:val="nil"/>
              <w:left w:val="nil"/>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r>
              <w:rPr>
                <w:rFonts w:eastAsia="方正仿宋简体"/>
                <w:kern w:val="0"/>
                <w:sz w:val="24"/>
                <w:szCs w:val="28"/>
              </w:rPr>
              <w:t>联系电话</w:t>
            </w:r>
          </w:p>
        </w:tc>
        <w:tc>
          <w:tcPr>
            <w:tcW w:w="1751" w:type="dxa"/>
            <w:tcBorders>
              <w:top w:val="nil"/>
              <w:left w:val="nil"/>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CellMar>
            <w:top w:w="0" w:type="dxa"/>
            <w:left w:w="0" w:type="dxa"/>
            <w:bottom w:w="0" w:type="dxa"/>
            <w:right w:w="0" w:type="dxa"/>
          </w:tblCellMar>
        </w:tblPrEx>
        <w:trPr>
          <w:jc w:val="center"/>
        </w:trPr>
        <w:tc>
          <w:tcPr>
            <w:tcW w:w="2093"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r>
              <w:rPr>
                <w:rFonts w:eastAsia="方正仿宋简体"/>
                <w:kern w:val="0"/>
                <w:sz w:val="24"/>
                <w:szCs w:val="28"/>
              </w:rPr>
              <w:t>合约编码1</w:t>
            </w:r>
          </w:p>
        </w:tc>
        <w:tc>
          <w:tcPr>
            <w:tcW w:w="2593" w:type="dxa"/>
            <w:gridSpan w:val="2"/>
            <w:tcBorders>
              <w:top w:val="nil"/>
              <w:left w:val="nil"/>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p>
        </w:tc>
        <w:tc>
          <w:tcPr>
            <w:tcW w:w="2450" w:type="dxa"/>
            <w:gridSpan w:val="3"/>
            <w:tcBorders>
              <w:top w:val="nil"/>
              <w:left w:val="nil"/>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r>
              <w:rPr>
                <w:rFonts w:eastAsia="方正仿宋简体"/>
                <w:kern w:val="0"/>
                <w:sz w:val="24"/>
                <w:szCs w:val="28"/>
              </w:rPr>
              <w:t>占用保证金（万元）</w:t>
            </w:r>
          </w:p>
        </w:tc>
        <w:tc>
          <w:tcPr>
            <w:tcW w:w="1751" w:type="dxa"/>
            <w:tcBorders>
              <w:top w:val="nil"/>
              <w:left w:val="nil"/>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CellMar>
            <w:top w:w="0" w:type="dxa"/>
            <w:left w:w="0" w:type="dxa"/>
            <w:bottom w:w="0" w:type="dxa"/>
            <w:right w:w="0" w:type="dxa"/>
          </w:tblCellMar>
        </w:tblPrEx>
        <w:trPr>
          <w:jc w:val="center"/>
        </w:trPr>
        <w:tc>
          <w:tcPr>
            <w:tcW w:w="2093"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r>
              <w:rPr>
                <w:rFonts w:eastAsia="方正仿宋简体"/>
                <w:kern w:val="0"/>
                <w:sz w:val="24"/>
                <w:szCs w:val="28"/>
              </w:rPr>
              <w:t>权利仓持仓量</w:t>
            </w:r>
          </w:p>
        </w:tc>
        <w:tc>
          <w:tcPr>
            <w:tcW w:w="892" w:type="dxa"/>
            <w:tcBorders>
              <w:top w:val="nil"/>
              <w:left w:val="nil"/>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p>
        </w:tc>
        <w:tc>
          <w:tcPr>
            <w:tcW w:w="1701" w:type="dxa"/>
            <w:tcBorders>
              <w:top w:val="nil"/>
              <w:left w:val="nil"/>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r>
              <w:rPr>
                <w:rFonts w:eastAsia="方正仿宋简体"/>
                <w:kern w:val="0"/>
                <w:sz w:val="24"/>
                <w:szCs w:val="28"/>
              </w:rPr>
              <w:t>义务仓持仓量</w:t>
            </w:r>
          </w:p>
        </w:tc>
        <w:tc>
          <w:tcPr>
            <w:tcW w:w="890" w:type="dxa"/>
            <w:tcBorders>
              <w:top w:val="nil"/>
              <w:left w:val="nil"/>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p>
        </w:tc>
        <w:tc>
          <w:tcPr>
            <w:tcW w:w="1560" w:type="dxa"/>
            <w:gridSpan w:val="2"/>
            <w:tcBorders>
              <w:top w:val="nil"/>
              <w:left w:val="nil"/>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r>
              <w:rPr>
                <w:rFonts w:eastAsia="方正仿宋简体"/>
                <w:kern w:val="0"/>
                <w:sz w:val="24"/>
                <w:szCs w:val="28"/>
              </w:rPr>
              <w:t>备兑持仓量</w:t>
            </w:r>
          </w:p>
        </w:tc>
        <w:tc>
          <w:tcPr>
            <w:tcW w:w="1751" w:type="dxa"/>
            <w:tcBorders>
              <w:top w:val="nil"/>
              <w:left w:val="nil"/>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CellMar>
            <w:top w:w="0" w:type="dxa"/>
            <w:left w:w="0" w:type="dxa"/>
            <w:bottom w:w="0" w:type="dxa"/>
            <w:right w:w="0" w:type="dxa"/>
          </w:tblCellMar>
        </w:tblPrEx>
        <w:trPr>
          <w:trHeight w:val="636" w:hRule="atLeast"/>
          <w:jc w:val="center"/>
        </w:trPr>
        <w:tc>
          <w:tcPr>
            <w:tcW w:w="2093"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r>
              <w:rPr>
                <w:rFonts w:eastAsia="方正仿宋简体"/>
                <w:kern w:val="0"/>
                <w:sz w:val="24"/>
                <w:szCs w:val="28"/>
              </w:rPr>
              <w:t>持仓意向（含行权意愿与可能被行权准备情况说明）</w:t>
            </w:r>
          </w:p>
        </w:tc>
        <w:tc>
          <w:tcPr>
            <w:tcW w:w="6794" w:type="dxa"/>
            <w:gridSpan w:val="6"/>
            <w:tcBorders>
              <w:top w:val="nil"/>
              <w:left w:val="nil"/>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p>
          <w:p>
            <w:pPr>
              <w:keepNext/>
              <w:keepLines/>
              <w:widowControl/>
              <w:spacing w:before="120" w:beforeAutospacing="1" w:after="120" w:afterAutospacing="1"/>
              <w:outlineLvl w:val="2"/>
              <w:rPr>
                <w:rFonts w:eastAsia="方正仿宋简体"/>
                <w:kern w:val="0"/>
                <w:sz w:val="24"/>
                <w:szCs w:val="28"/>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CellMar>
            <w:top w:w="0" w:type="dxa"/>
            <w:left w:w="0" w:type="dxa"/>
            <w:bottom w:w="0" w:type="dxa"/>
            <w:right w:w="0" w:type="dxa"/>
          </w:tblCellMar>
        </w:tblPrEx>
        <w:trPr>
          <w:jc w:val="center"/>
        </w:trPr>
        <w:tc>
          <w:tcPr>
            <w:tcW w:w="2093"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r>
              <w:rPr>
                <w:rFonts w:eastAsia="方正仿宋简体"/>
                <w:kern w:val="0"/>
                <w:sz w:val="24"/>
                <w:szCs w:val="28"/>
              </w:rPr>
              <w:t>合约编码2</w:t>
            </w:r>
          </w:p>
        </w:tc>
        <w:tc>
          <w:tcPr>
            <w:tcW w:w="2593" w:type="dxa"/>
            <w:gridSpan w:val="2"/>
            <w:tcBorders>
              <w:top w:val="nil"/>
              <w:left w:val="nil"/>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p>
        </w:tc>
        <w:tc>
          <w:tcPr>
            <w:tcW w:w="2450" w:type="dxa"/>
            <w:gridSpan w:val="3"/>
            <w:tcBorders>
              <w:top w:val="nil"/>
              <w:left w:val="nil"/>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r>
              <w:rPr>
                <w:rFonts w:eastAsia="方正仿宋简体"/>
                <w:kern w:val="0"/>
                <w:sz w:val="24"/>
                <w:szCs w:val="28"/>
              </w:rPr>
              <w:t>占用保证金（万元）</w:t>
            </w:r>
          </w:p>
        </w:tc>
        <w:tc>
          <w:tcPr>
            <w:tcW w:w="1751" w:type="dxa"/>
            <w:tcBorders>
              <w:top w:val="nil"/>
              <w:left w:val="nil"/>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CellMar>
            <w:top w:w="0" w:type="dxa"/>
            <w:left w:w="0" w:type="dxa"/>
            <w:bottom w:w="0" w:type="dxa"/>
            <w:right w:w="0" w:type="dxa"/>
          </w:tblCellMar>
        </w:tblPrEx>
        <w:trPr>
          <w:jc w:val="center"/>
        </w:trPr>
        <w:tc>
          <w:tcPr>
            <w:tcW w:w="2093"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r>
              <w:rPr>
                <w:rFonts w:eastAsia="方正仿宋简体"/>
                <w:kern w:val="0"/>
                <w:sz w:val="24"/>
                <w:szCs w:val="28"/>
              </w:rPr>
              <w:t>权利仓持仓量</w:t>
            </w:r>
          </w:p>
        </w:tc>
        <w:tc>
          <w:tcPr>
            <w:tcW w:w="892" w:type="dxa"/>
            <w:tcBorders>
              <w:top w:val="nil"/>
              <w:left w:val="nil"/>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p>
        </w:tc>
        <w:tc>
          <w:tcPr>
            <w:tcW w:w="1701" w:type="dxa"/>
            <w:tcBorders>
              <w:top w:val="nil"/>
              <w:left w:val="nil"/>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r>
              <w:rPr>
                <w:rFonts w:eastAsia="方正仿宋简体"/>
                <w:kern w:val="0"/>
                <w:sz w:val="24"/>
                <w:szCs w:val="28"/>
              </w:rPr>
              <w:t>义务仓持仓量</w:t>
            </w:r>
          </w:p>
        </w:tc>
        <w:tc>
          <w:tcPr>
            <w:tcW w:w="890" w:type="dxa"/>
            <w:tcBorders>
              <w:top w:val="nil"/>
              <w:left w:val="nil"/>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p>
        </w:tc>
        <w:tc>
          <w:tcPr>
            <w:tcW w:w="1560" w:type="dxa"/>
            <w:gridSpan w:val="2"/>
            <w:tcBorders>
              <w:top w:val="nil"/>
              <w:left w:val="nil"/>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r>
              <w:rPr>
                <w:rFonts w:eastAsia="方正仿宋简体"/>
                <w:kern w:val="0"/>
                <w:sz w:val="24"/>
                <w:szCs w:val="28"/>
              </w:rPr>
              <w:t>备兑持仓量</w:t>
            </w:r>
          </w:p>
        </w:tc>
        <w:tc>
          <w:tcPr>
            <w:tcW w:w="1751" w:type="dxa"/>
            <w:tcBorders>
              <w:top w:val="nil"/>
              <w:left w:val="nil"/>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CellMar>
            <w:top w:w="0" w:type="dxa"/>
            <w:left w:w="0" w:type="dxa"/>
            <w:bottom w:w="0" w:type="dxa"/>
            <w:right w:w="0" w:type="dxa"/>
          </w:tblCellMar>
        </w:tblPrEx>
        <w:trPr>
          <w:trHeight w:val="731" w:hRule="atLeast"/>
          <w:jc w:val="center"/>
        </w:trPr>
        <w:tc>
          <w:tcPr>
            <w:tcW w:w="2093"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r>
              <w:rPr>
                <w:rFonts w:eastAsia="方正仿宋简体"/>
                <w:kern w:val="0"/>
                <w:sz w:val="24"/>
                <w:szCs w:val="28"/>
              </w:rPr>
              <w:t>持仓意向（含行权意愿与可能被行权准备情况说明）</w:t>
            </w:r>
          </w:p>
        </w:tc>
        <w:tc>
          <w:tcPr>
            <w:tcW w:w="6794" w:type="dxa"/>
            <w:gridSpan w:val="6"/>
            <w:tcBorders>
              <w:top w:val="nil"/>
              <w:left w:val="nil"/>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p>
          <w:p>
            <w:pPr>
              <w:keepNext/>
              <w:keepLines/>
              <w:widowControl/>
              <w:spacing w:before="120" w:beforeAutospacing="1" w:after="120" w:afterAutospacing="1"/>
              <w:outlineLvl w:val="2"/>
              <w:rPr>
                <w:rFonts w:eastAsia="方正仿宋简体"/>
                <w:kern w:val="0"/>
                <w:sz w:val="24"/>
                <w:szCs w:val="28"/>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CellMar>
            <w:top w:w="0" w:type="dxa"/>
            <w:left w:w="0" w:type="dxa"/>
            <w:bottom w:w="0" w:type="dxa"/>
            <w:right w:w="0" w:type="dxa"/>
          </w:tblCellMar>
        </w:tblPrEx>
        <w:trPr>
          <w:jc w:val="center"/>
        </w:trPr>
        <w:tc>
          <w:tcPr>
            <w:tcW w:w="2093"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r>
              <w:rPr>
                <w:rFonts w:eastAsia="方正仿宋简体"/>
                <w:kern w:val="0"/>
                <w:sz w:val="24"/>
                <w:szCs w:val="28"/>
              </w:rPr>
              <w:t>合约编码3</w:t>
            </w:r>
          </w:p>
        </w:tc>
        <w:tc>
          <w:tcPr>
            <w:tcW w:w="2593" w:type="dxa"/>
            <w:gridSpan w:val="2"/>
            <w:tcBorders>
              <w:top w:val="nil"/>
              <w:left w:val="nil"/>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p>
        </w:tc>
        <w:tc>
          <w:tcPr>
            <w:tcW w:w="2450" w:type="dxa"/>
            <w:gridSpan w:val="3"/>
            <w:tcBorders>
              <w:top w:val="nil"/>
              <w:left w:val="nil"/>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r>
              <w:rPr>
                <w:rFonts w:eastAsia="方正仿宋简体"/>
                <w:kern w:val="0"/>
                <w:sz w:val="24"/>
                <w:szCs w:val="28"/>
              </w:rPr>
              <w:t>占用保证金（万元）</w:t>
            </w:r>
          </w:p>
        </w:tc>
        <w:tc>
          <w:tcPr>
            <w:tcW w:w="1751" w:type="dxa"/>
            <w:tcBorders>
              <w:top w:val="nil"/>
              <w:left w:val="nil"/>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CellMar>
            <w:top w:w="0" w:type="dxa"/>
            <w:left w:w="0" w:type="dxa"/>
            <w:bottom w:w="0" w:type="dxa"/>
            <w:right w:w="0" w:type="dxa"/>
          </w:tblCellMar>
        </w:tblPrEx>
        <w:trPr>
          <w:jc w:val="center"/>
        </w:trPr>
        <w:tc>
          <w:tcPr>
            <w:tcW w:w="2093"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r>
              <w:rPr>
                <w:rFonts w:eastAsia="方正仿宋简体"/>
                <w:kern w:val="0"/>
                <w:sz w:val="24"/>
                <w:szCs w:val="28"/>
              </w:rPr>
              <w:t>权利仓持仓量</w:t>
            </w:r>
          </w:p>
        </w:tc>
        <w:tc>
          <w:tcPr>
            <w:tcW w:w="892" w:type="dxa"/>
            <w:tcBorders>
              <w:top w:val="single" w:color="auto" w:sz="8" w:space="0"/>
              <w:left w:val="nil"/>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p>
        </w:tc>
        <w:tc>
          <w:tcPr>
            <w:tcW w:w="1701" w:type="dxa"/>
            <w:tcBorders>
              <w:top w:val="single" w:color="auto" w:sz="8" w:space="0"/>
              <w:left w:val="nil"/>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r>
              <w:rPr>
                <w:rFonts w:eastAsia="方正仿宋简体"/>
                <w:kern w:val="0"/>
                <w:sz w:val="24"/>
                <w:szCs w:val="28"/>
              </w:rPr>
              <w:t>义务仓持仓量</w:t>
            </w:r>
          </w:p>
        </w:tc>
        <w:tc>
          <w:tcPr>
            <w:tcW w:w="890" w:type="dxa"/>
            <w:tcBorders>
              <w:top w:val="single" w:color="auto" w:sz="8" w:space="0"/>
              <w:left w:val="nil"/>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p>
        </w:tc>
        <w:tc>
          <w:tcPr>
            <w:tcW w:w="1560" w:type="dxa"/>
            <w:gridSpan w:val="2"/>
            <w:tcBorders>
              <w:top w:val="single" w:color="auto" w:sz="8" w:space="0"/>
              <w:left w:val="nil"/>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r>
              <w:rPr>
                <w:rFonts w:eastAsia="方正仿宋简体"/>
                <w:kern w:val="0"/>
                <w:sz w:val="24"/>
                <w:szCs w:val="28"/>
              </w:rPr>
              <w:t>备兑持仓量</w:t>
            </w:r>
          </w:p>
        </w:tc>
        <w:tc>
          <w:tcPr>
            <w:tcW w:w="1751" w:type="dxa"/>
            <w:tcBorders>
              <w:top w:val="single" w:color="auto" w:sz="8" w:space="0"/>
              <w:left w:val="nil"/>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CellMar>
            <w:top w:w="0" w:type="dxa"/>
            <w:left w:w="0" w:type="dxa"/>
            <w:bottom w:w="0" w:type="dxa"/>
            <w:right w:w="0" w:type="dxa"/>
          </w:tblCellMar>
        </w:tblPrEx>
        <w:trPr>
          <w:jc w:val="center"/>
        </w:trPr>
        <w:tc>
          <w:tcPr>
            <w:tcW w:w="2093"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r>
              <w:rPr>
                <w:rFonts w:eastAsia="方正仿宋简体"/>
                <w:kern w:val="0"/>
                <w:sz w:val="24"/>
                <w:szCs w:val="28"/>
              </w:rPr>
              <w:t>持仓意向（含行权意愿与可能被行权准备情况说明）</w:t>
            </w:r>
          </w:p>
        </w:tc>
        <w:tc>
          <w:tcPr>
            <w:tcW w:w="6794" w:type="dxa"/>
            <w:gridSpan w:val="6"/>
            <w:tcBorders>
              <w:top w:val="nil"/>
              <w:left w:val="nil"/>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p>
          <w:p>
            <w:pPr>
              <w:keepNext/>
              <w:keepLines/>
              <w:widowControl/>
              <w:spacing w:before="120" w:beforeAutospacing="1" w:after="120" w:afterAutospacing="1"/>
              <w:outlineLvl w:val="2"/>
              <w:rPr>
                <w:rFonts w:eastAsia="方正仿宋简体"/>
                <w:kern w:val="0"/>
                <w:sz w:val="24"/>
                <w:szCs w:val="28"/>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CellMar>
            <w:top w:w="0" w:type="dxa"/>
            <w:left w:w="0" w:type="dxa"/>
            <w:bottom w:w="0" w:type="dxa"/>
            <w:right w:w="0" w:type="dxa"/>
          </w:tblCellMar>
        </w:tblPrEx>
        <w:trPr>
          <w:jc w:val="center"/>
        </w:trPr>
        <w:tc>
          <w:tcPr>
            <w:tcW w:w="2093"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r>
              <w:rPr>
                <w:rFonts w:eastAsia="方正仿宋简体"/>
                <w:kern w:val="0"/>
                <w:sz w:val="24"/>
                <w:szCs w:val="28"/>
              </w:rPr>
              <w:t>总持仓保证金</w:t>
            </w:r>
          </w:p>
        </w:tc>
        <w:tc>
          <w:tcPr>
            <w:tcW w:w="892" w:type="dxa"/>
            <w:tcBorders>
              <w:top w:val="nil"/>
              <w:left w:val="nil"/>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p>
        </w:tc>
        <w:tc>
          <w:tcPr>
            <w:tcW w:w="1701" w:type="dxa"/>
            <w:tcBorders>
              <w:top w:val="nil"/>
              <w:left w:val="nil"/>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r>
              <w:rPr>
                <w:rFonts w:eastAsia="方正仿宋简体"/>
                <w:kern w:val="0"/>
                <w:sz w:val="24"/>
                <w:szCs w:val="28"/>
              </w:rPr>
              <w:t>资金规模</w:t>
            </w:r>
          </w:p>
        </w:tc>
        <w:tc>
          <w:tcPr>
            <w:tcW w:w="890" w:type="dxa"/>
            <w:tcBorders>
              <w:top w:val="nil"/>
              <w:left w:val="nil"/>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p>
        </w:tc>
        <w:tc>
          <w:tcPr>
            <w:tcW w:w="1560" w:type="dxa"/>
            <w:gridSpan w:val="2"/>
            <w:tcBorders>
              <w:top w:val="nil"/>
              <w:left w:val="nil"/>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r>
              <w:rPr>
                <w:rFonts w:eastAsia="方正仿宋简体"/>
                <w:kern w:val="0"/>
                <w:sz w:val="24"/>
                <w:szCs w:val="28"/>
              </w:rPr>
              <w:t>实际控制人</w:t>
            </w:r>
          </w:p>
        </w:tc>
        <w:tc>
          <w:tcPr>
            <w:tcW w:w="1751" w:type="dxa"/>
            <w:tcBorders>
              <w:top w:val="nil"/>
              <w:left w:val="nil"/>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CellMar>
            <w:top w:w="0" w:type="dxa"/>
            <w:left w:w="0" w:type="dxa"/>
            <w:bottom w:w="0" w:type="dxa"/>
            <w:right w:w="0" w:type="dxa"/>
          </w:tblCellMar>
        </w:tblPrEx>
        <w:trPr>
          <w:jc w:val="center"/>
        </w:trPr>
        <w:tc>
          <w:tcPr>
            <w:tcW w:w="2093"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r>
              <w:rPr>
                <w:rFonts w:eastAsia="方正仿宋简体"/>
                <w:kern w:val="0"/>
                <w:sz w:val="24"/>
                <w:szCs w:val="28"/>
              </w:rPr>
              <w:t>权利仓总持仓量</w:t>
            </w:r>
          </w:p>
        </w:tc>
        <w:tc>
          <w:tcPr>
            <w:tcW w:w="892" w:type="dxa"/>
            <w:tcBorders>
              <w:top w:val="nil"/>
              <w:left w:val="nil"/>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p>
        </w:tc>
        <w:tc>
          <w:tcPr>
            <w:tcW w:w="1701" w:type="dxa"/>
            <w:tcBorders>
              <w:top w:val="nil"/>
              <w:left w:val="nil"/>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r>
              <w:rPr>
                <w:rFonts w:eastAsia="方正仿宋简体"/>
                <w:kern w:val="0"/>
                <w:sz w:val="24"/>
                <w:szCs w:val="28"/>
              </w:rPr>
              <w:t>义务仓总持仓量</w:t>
            </w:r>
          </w:p>
        </w:tc>
        <w:tc>
          <w:tcPr>
            <w:tcW w:w="890" w:type="dxa"/>
            <w:tcBorders>
              <w:top w:val="nil"/>
              <w:left w:val="nil"/>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p>
        </w:tc>
        <w:tc>
          <w:tcPr>
            <w:tcW w:w="1560" w:type="dxa"/>
            <w:gridSpan w:val="2"/>
            <w:tcBorders>
              <w:top w:val="nil"/>
              <w:left w:val="nil"/>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r>
              <w:rPr>
                <w:rFonts w:eastAsia="方正仿宋简体"/>
                <w:kern w:val="0"/>
                <w:sz w:val="24"/>
                <w:szCs w:val="28"/>
              </w:rPr>
              <w:t>备兑总持仓量</w:t>
            </w:r>
          </w:p>
        </w:tc>
        <w:tc>
          <w:tcPr>
            <w:tcW w:w="1751" w:type="dxa"/>
            <w:tcBorders>
              <w:top w:val="nil"/>
              <w:left w:val="nil"/>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CellMar>
            <w:top w:w="0" w:type="dxa"/>
            <w:left w:w="0" w:type="dxa"/>
            <w:bottom w:w="0" w:type="dxa"/>
            <w:right w:w="0" w:type="dxa"/>
          </w:tblCellMar>
        </w:tblPrEx>
        <w:trPr>
          <w:jc w:val="center"/>
        </w:trPr>
        <w:tc>
          <w:tcPr>
            <w:tcW w:w="2093"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r>
              <w:rPr>
                <w:rFonts w:eastAsia="方正仿宋简体"/>
                <w:kern w:val="0"/>
                <w:sz w:val="24"/>
                <w:szCs w:val="28"/>
              </w:rPr>
              <w:t>证券担保物情况</w:t>
            </w:r>
          </w:p>
        </w:tc>
        <w:tc>
          <w:tcPr>
            <w:tcW w:w="6794" w:type="dxa"/>
            <w:gridSpan w:val="6"/>
            <w:tcBorders>
              <w:top w:val="nil"/>
              <w:left w:val="nil"/>
              <w:bottom w:val="single" w:color="auto" w:sz="8" w:space="0"/>
              <w:right w:val="single" w:color="auto" w:sz="8" w:space="0"/>
            </w:tcBorders>
            <w:shd w:val="clear" w:color="auto" w:fill="FFFFFF"/>
            <w:tcMar>
              <w:top w:w="0" w:type="dxa"/>
              <w:left w:w="108" w:type="dxa"/>
              <w:bottom w:w="0" w:type="dxa"/>
              <w:right w:w="108" w:type="dxa"/>
            </w:tcMar>
          </w:tcPr>
          <w:p>
            <w:pPr>
              <w:keepNext/>
              <w:keepLines/>
              <w:widowControl/>
              <w:spacing w:before="120" w:beforeAutospacing="1" w:after="120" w:afterAutospacing="1"/>
              <w:outlineLvl w:val="2"/>
              <w:rPr>
                <w:rFonts w:eastAsia="方正仿宋简体"/>
                <w:kern w:val="0"/>
                <w:sz w:val="24"/>
                <w:szCs w:val="28"/>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CellMar>
            <w:top w:w="0" w:type="dxa"/>
            <w:left w:w="0" w:type="dxa"/>
            <w:bottom w:w="0" w:type="dxa"/>
            <w:right w:w="0" w:type="dxa"/>
          </w:tblCellMar>
        </w:tblPrEx>
        <w:trPr>
          <w:jc w:val="center"/>
        </w:trPr>
        <w:tc>
          <w:tcPr>
            <w:tcW w:w="2093"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r>
              <w:rPr>
                <w:rFonts w:eastAsia="方正仿宋简体"/>
                <w:kern w:val="0"/>
                <w:sz w:val="24"/>
                <w:szCs w:val="28"/>
              </w:rPr>
              <w:t>持有其他期货期权品种情况说明</w:t>
            </w:r>
          </w:p>
        </w:tc>
        <w:tc>
          <w:tcPr>
            <w:tcW w:w="6794" w:type="dxa"/>
            <w:gridSpan w:val="6"/>
            <w:tcBorders>
              <w:top w:val="nil"/>
              <w:left w:val="nil"/>
              <w:bottom w:val="single" w:color="auto" w:sz="8" w:space="0"/>
              <w:right w:val="single" w:color="auto" w:sz="8" w:space="0"/>
            </w:tcBorders>
            <w:shd w:val="clear" w:color="auto" w:fill="FFFFFF"/>
            <w:tcMar>
              <w:top w:w="0" w:type="dxa"/>
              <w:left w:w="108" w:type="dxa"/>
              <w:bottom w:w="0" w:type="dxa"/>
              <w:right w:w="108" w:type="dxa"/>
            </w:tcMar>
          </w:tcPr>
          <w:p>
            <w:pPr>
              <w:keepNext/>
              <w:keepLines/>
              <w:widowControl/>
              <w:spacing w:before="120" w:beforeAutospacing="1" w:after="120" w:afterAutospacing="1"/>
              <w:outlineLvl w:val="2"/>
              <w:rPr>
                <w:rFonts w:eastAsia="方正仿宋简体"/>
                <w:kern w:val="0"/>
                <w:sz w:val="24"/>
                <w:szCs w:val="28"/>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CellMar>
            <w:top w:w="0" w:type="dxa"/>
            <w:left w:w="0" w:type="dxa"/>
            <w:bottom w:w="0" w:type="dxa"/>
            <w:right w:w="0" w:type="dxa"/>
          </w:tblCellMar>
        </w:tblPrEx>
        <w:trPr>
          <w:jc w:val="center"/>
        </w:trPr>
        <w:tc>
          <w:tcPr>
            <w:tcW w:w="2093"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r>
              <w:rPr>
                <w:rFonts w:eastAsia="方正仿宋简体"/>
                <w:kern w:val="0"/>
                <w:sz w:val="24"/>
                <w:szCs w:val="28"/>
              </w:rPr>
              <w:t>资金来源</w:t>
            </w:r>
          </w:p>
        </w:tc>
        <w:tc>
          <w:tcPr>
            <w:tcW w:w="6794" w:type="dxa"/>
            <w:gridSpan w:val="6"/>
            <w:tcBorders>
              <w:top w:val="nil"/>
              <w:left w:val="nil"/>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CellMar>
            <w:top w:w="0" w:type="dxa"/>
            <w:left w:w="0" w:type="dxa"/>
            <w:bottom w:w="0" w:type="dxa"/>
            <w:right w:w="0" w:type="dxa"/>
          </w:tblCellMar>
        </w:tblPrEx>
        <w:trPr>
          <w:jc w:val="center"/>
        </w:trPr>
        <w:tc>
          <w:tcPr>
            <w:tcW w:w="8887" w:type="dxa"/>
            <w:gridSpan w:val="7"/>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ind w:firstLine="360"/>
              <w:rPr>
                <w:rFonts w:eastAsia="方正仿宋简体"/>
                <w:kern w:val="0"/>
                <w:sz w:val="24"/>
                <w:szCs w:val="28"/>
              </w:rPr>
            </w:pPr>
            <w:r>
              <w:rPr>
                <w:rFonts w:eastAsia="方正仿宋简体"/>
                <w:kern w:val="0"/>
                <w:sz w:val="24"/>
                <w:szCs w:val="28"/>
              </w:rPr>
              <w:t>本人（公司）保证以上报告内容的真实性和准确性，不存在任何故意虚假或者遗漏。</w:t>
            </w:r>
          </w:p>
          <w:p>
            <w:pPr>
              <w:widowControl/>
              <w:spacing w:before="120" w:beforeAutospacing="1" w:after="120" w:afterAutospacing="1"/>
              <w:ind w:firstLine="360"/>
              <w:rPr>
                <w:rFonts w:eastAsia="方正仿宋简体"/>
                <w:kern w:val="0"/>
                <w:sz w:val="24"/>
                <w:szCs w:val="28"/>
              </w:rPr>
            </w:pPr>
            <w:r>
              <w:rPr>
                <w:rFonts w:eastAsia="方正仿宋简体"/>
                <w:kern w:val="0"/>
                <w:sz w:val="24"/>
                <w:szCs w:val="28"/>
              </w:rPr>
              <w:t>报告人签名：　　　　　　　　　　　　　报告日期：　　　　年　　月　　日</w:t>
            </w: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CellMar>
            <w:top w:w="0" w:type="dxa"/>
            <w:left w:w="0" w:type="dxa"/>
            <w:bottom w:w="0" w:type="dxa"/>
            <w:right w:w="0" w:type="dxa"/>
          </w:tblCellMar>
        </w:tblPrEx>
        <w:trPr>
          <w:jc w:val="center"/>
        </w:trPr>
        <w:tc>
          <w:tcPr>
            <w:tcW w:w="2093"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r>
              <w:rPr>
                <w:rFonts w:eastAsia="方正仿宋简体"/>
                <w:kern w:val="0"/>
                <w:sz w:val="24"/>
                <w:szCs w:val="28"/>
              </w:rPr>
              <w:t>期权经营机构名称</w:t>
            </w:r>
          </w:p>
        </w:tc>
        <w:tc>
          <w:tcPr>
            <w:tcW w:w="2593" w:type="dxa"/>
            <w:gridSpan w:val="2"/>
            <w:tcBorders>
              <w:top w:val="single" w:color="auto" w:sz="8" w:space="0"/>
              <w:left w:val="nil"/>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p>
        </w:tc>
        <w:tc>
          <w:tcPr>
            <w:tcW w:w="1457" w:type="dxa"/>
            <w:gridSpan w:val="2"/>
            <w:tcBorders>
              <w:top w:val="single" w:color="auto" w:sz="8" w:space="0"/>
              <w:left w:val="nil"/>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r>
              <w:rPr>
                <w:rFonts w:eastAsia="方正仿宋简体"/>
                <w:kern w:val="0"/>
                <w:sz w:val="24"/>
                <w:szCs w:val="28"/>
              </w:rPr>
              <w:t>期权经营机构代码</w:t>
            </w:r>
          </w:p>
        </w:tc>
        <w:tc>
          <w:tcPr>
            <w:tcW w:w="2744" w:type="dxa"/>
            <w:gridSpan w:val="2"/>
            <w:tcBorders>
              <w:top w:val="single" w:color="auto" w:sz="8" w:space="0"/>
              <w:left w:val="nil"/>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jc w:val="center"/>
        </w:trPr>
        <w:tc>
          <w:tcPr>
            <w:tcW w:w="2093"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r>
              <w:rPr>
                <w:rFonts w:eastAsia="方正仿宋简体"/>
                <w:kern w:val="0"/>
                <w:sz w:val="24"/>
                <w:szCs w:val="28"/>
              </w:rPr>
              <w:t>投资者开户日期</w:t>
            </w:r>
          </w:p>
        </w:tc>
        <w:tc>
          <w:tcPr>
            <w:tcW w:w="2593" w:type="dxa"/>
            <w:gridSpan w:val="2"/>
            <w:tcBorders>
              <w:top w:val="nil"/>
              <w:left w:val="nil"/>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p>
        </w:tc>
        <w:tc>
          <w:tcPr>
            <w:tcW w:w="1457" w:type="dxa"/>
            <w:gridSpan w:val="2"/>
            <w:tcBorders>
              <w:top w:val="nil"/>
              <w:left w:val="nil"/>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r>
              <w:rPr>
                <w:rFonts w:eastAsia="方正仿宋简体"/>
                <w:kern w:val="0"/>
                <w:sz w:val="24"/>
                <w:szCs w:val="28"/>
              </w:rPr>
              <w:t>投资者交易方式</w:t>
            </w:r>
          </w:p>
        </w:tc>
        <w:tc>
          <w:tcPr>
            <w:tcW w:w="2744" w:type="dxa"/>
            <w:gridSpan w:val="2"/>
            <w:tcBorders>
              <w:top w:val="nil"/>
              <w:left w:val="nil"/>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jc w:val="center"/>
        </w:trPr>
        <w:tc>
          <w:tcPr>
            <w:tcW w:w="8887" w:type="dxa"/>
            <w:gridSpan w:val="7"/>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tcPr>
          <w:p>
            <w:pPr>
              <w:widowControl/>
              <w:spacing w:before="100" w:beforeAutospacing="1" w:after="100" w:afterAutospacing="1"/>
              <w:ind w:firstLine="480" w:firstLineChars="200"/>
              <w:rPr>
                <w:rFonts w:eastAsia="方正仿宋简体"/>
                <w:kern w:val="0"/>
                <w:sz w:val="24"/>
                <w:szCs w:val="28"/>
              </w:rPr>
            </w:pPr>
            <w:r>
              <w:rPr>
                <w:rFonts w:eastAsia="方正仿宋简体"/>
                <w:kern w:val="0"/>
                <w:sz w:val="24"/>
                <w:szCs w:val="28"/>
              </w:rPr>
              <w:t>经审核，本公司保证本报告所有内容的真实性和准确性，不存在任何隐瞒或者遗漏。</w:t>
            </w:r>
          </w:p>
          <w:p>
            <w:pPr>
              <w:widowControl/>
              <w:spacing w:before="120" w:beforeAutospacing="1" w:after="120" w:afterAutospacing="1"/>
              <w:rPr>
                <w:rFonts w:eastAsia="方正仿宋简体"/>
                <w:kern w:val="0"/>
                <w:sz w:val="24"/>
                <w:szCs w:val="28"/>
              </w:rPr>
            </w:pPr>
            <w:r>
              <w:rPr>
                <w:rFonts w:eastAsia="方正仿宋简体"/>
                <w:kern w:val="0"/>
                <w:sz w:val="24"/>
                <w:szCs w:val="28"/>
              </w:rPr>
              <w:t>期权经营机构单位盖章：　　　　　　　　　　报告日期：　　　　年　　月　　日</w:t>
            </w:r>
          </w:p>
        </w:tc>
      </w:tr>
    </w:tbl>
    <w:p>
      <w:pPr>
        <w:ind w:left="560"/>
        <w:rPr>
          <w:rFonts w:eastAsia="方正仿宋简体"/>
          <w:szCs w:val="22"/>
        </w:rPr>
      </w:pPr>
    </w:p>
    <w:p>
      <w:pPr>
        <w:rPr>
          <w:rFonts w:eastAsia="方正仿宋简体"/>
          <w:bCs/>
          <w:sz w:val="30"/>
          <w:szCs w:val="30"/>
        </w:rPr>
      </w:pPr>
      <w:r>
        <w:rPr>
          <w:rFonts w:eastAsia="方正仿宋简体"/>
          <w:szCs w:val="22"/>
        </w:rPr>
        <w:br w:type="page"/>
      </w:r>
      <w:bookmarkStart w:id="274" w:name="_Toc25842067"/>
      <w:r>
        <w:rPr>
          <w:rFonts w:eastAsia="方正仿宋简体"/>
          <w:bCs/>
          <w:sz w:val="30"/>
          <w:szCs w:val="30"/>
        </w:rPr>
        <w:t>附件13：介绍业务协议范本</w:t>
      </w:r>
      <w:bookmarkEnd w:id="274"/>
    </w:p>
    <w:p>
      <w:pPr>
        <w:autoSpaceDN w:val="0"/>
        <w:spacing w:line="480" w:lineRule="exact"/>
        <w:jc w:val="center"/>
        <w:rPr>
          <w:rFonts w:ascii="方正小标宋简体" w:eastAsia="方正小标宋简体"/>
          <w:sz w:val="44"/>
          <w:szCs w:val="44"/>
        </w:rPr>
      </w:pPr>
    </w:p>
    <w:p>
      <w:pPr>
        <w:autoSpaceDN w:val="0"/>
        <w:spacing w:line="560" w:lineRule="exact"/>
        <w:jc w:val="center"/>
        <w:rPr>
          <w:rFonts w:ascii="黑体" w:hAnsi="黑体" w:eastAsia="黑体"/>
          <w:sz w:val="30"/>
          <w:szCs w:val="30"/>
        </w:rPr>
      </w:pPr>
      <w:r>
        <w:rPr>
          <w:rFonts w:hint="eastAsia" w:ascii="黑体" w:hAnsi="黑体" w:eastAsia="黑体"/>
          <w:sz w:val="30"/>
          <w:szCs w:val="30"/>
        </w:rPr>
        <w:t>期货公司为期权经营机构提供股票期权</w:t>
      </w:r>
    </w:p>
    <w:p>
      <w:pPr>
        <w:autoSpaceDN w:val="0"/>
        <w:spacing w:line="560" w:lineRule="exact"/>
        <w:jc w:val="center"/>
        <w:rPr>
          <w:rFonts w:ascii="黑体" w:hAnsi="黑体" w:eastAsia="黑体"/>
          <w:sz w:val="30"/>
          <w:szCs w:val="30"/>
        </w:rPr>
      </w:pPr>
      <w:r>
        <w:rPr>
          <w:rFonts w:hint="eastAsia" w:ascii="黑体" w:hAnsi="黑体" w:eastAsia="黑体"/>
          <w:sz w:val="30"/>
          <w:szCs w:val="30"/>
        </w:rPr>
        <w:t>介绍业务协议参考范本</w:t>
      </w:r>
    </w:p>
    <w:p>
      <w:pPr>
        <w:autoSpaceDN w:val="0"/>
        <w:spacing w:line="560" w:lineRule="exact"/>
        <w:jc w:val="center"/>
        <w:rPr>
          <w:rFonts w:ascii="黑体" w:hAnsi="黑体" w:eastAsia="黑体"/>
          <w:sz w:val="30"/>
          <w:szCs w:val="30"/>
        </w:rPr>
      </w:pPr>
    </w:p>
    <w:p>
      <w:pPr>
        <w:autoSpaceDN w:val="0"/>
        <w:spacing w:line="580" w:lineRule="exact"/>
        <w:ind w:firstLine="600" w:firstLineChars="200"/>
        <w:jc w:val="left"/>
        <w:rPr>
          <w:rFonts w:eastAsia="方正仿宋简体"/>
          <w:sz w:val="30"/>
          <w:szCs w:val="30"/>
        </w:rPr>
      </w:pPr>
      <w:r>
        <w:rPr>
          <w:rFonts w:eastAsia="方正仿宋简体"/>
          <w:sz w:val="30"/>
          <w:szCs w:val="30"/>
        </w:rPr>
        <w:t xml:space="preserve">甲方 : </w:t>
      </w:r>
      <w:r>
        <w:rPr>
          <w:rFonts w:eastAsia="方正仿宋简体"/>
          <w:sz w:val="30"/>
          <w:szCs w:val="30"/>
          <w:u w:val="single"/>
        </w:rPr>
        <w:t xml:space="preserve">            （</w:t>
      </w:r>
      <w:r>
        <w:rPr>
          <w:rFonts w:eastAsia="方正仿宋简体"/>
          <w:sz w:val="30"/>
          <w:szCs w:val="30"/>
        </w:rPr>
        <w:t xml:space="preserve">期货公司）                 </w:t>
      </w:r>
    </w:p>
    <w:p>
      <w:pPr>
        <w:autoSpaceDN w:val="0"/>
        <w:spacing w:line="580" w:lineRule="exact"/>
        <w:ind w:firstLine="600" w:firstLineChars="200"/>
        <w:jc w:val="left"/>
        <w:rPr>
          <w:rFonts w:eastAsia="方正仿宋简体"/>
          <w:sz w:val="30"/>
          <w:szCs w:val="30"/>
        </w:rPr>
      </w:pPr>
      <w:r>
        <w:rPr>
          <w:rFonts w:eastAsia="方正仿宋简体"/>
          <w:sz w:val="30"/>
          <w:szCs w:val="30"/>
        </w:rPr>
        <w:t xml:space="preserve">乙方 : </w:t>
      </w:r>
      <w:r>
        <w:rPr>
          <w:rFonts w:eastAsia="方正仿宋简体"/>
          <w:sz w:val="30"/>
          <w:szCs w:val="30"/>
          <w:u w:val="single"/>
        </w:rPr>
        <w:t xml:space="preserve">            （</w:t>
      </w:r>
      <w:r>
        <w:rPr>
          <w:rFonts w:eastAsia="方正仿宋简体"/>
          <w:sz w:val="30"/>
          <w:szCs w:val="30"/>
        </w:rPr>
        <w:t xml:space="preserve">证券公司或期货公司）   </w:t>
      </w:r>
    </w:p>
    <w:p>
      <w:pPr>
        <w:autoSpaceDN w:val="0"/>
        <w:spacing w:line="580" w:lineRule="exact"/>
        <w:ind w:firstLine="600" w:firstLineChars="200"/>
        <w:jc w:val="left"/>
        <w:rPr>
          <w:rFonts w:eastAsia="方正仿宋简体"/>
          <w:sz w:val="30"/>
          <w:szCs w:val="30"/>
        </w:rPr>
      </w:pPr>
      <w:r>
        <w:rPr>
          <w:rFonts w:eastAsia="方正仿宋简体"/>
          <w:sz w:val="30"/>
          <w:szCs w:val="30"/>
        </w:rPr>
        <w:t>依据《合同法》《股票期权交易试点管理办法》《证券期货经营机构参与股票期权交易试点指引》及其他相关法律、法规，甲乙双方经友好协商，就甲方为乙方提供股票期权介绍业务有关事宜达成如下协议：</w:t>
      </w:r>
    </w:p>
    <w:p>
      <w:pPr>
        <w:autoSpaceDN w:val="0"/>
        <w:spacing w:line="600" w:lineRule="exact"/>
        <w:jc w:val="center"/>
        <w:rPr>
          <w:rFonts w:ascii="黑体" w:hAnsi="黑体" w:eastAsia="黑体"/>
          <w:sz w:val="30"/>
          <w:szCs w:val="30"/>
        </w:rPr>
      </w:pPr>
      <w:r>
        <w:rPr>
          <w:rFonts w:ascii="黑体" w:hAnsi="黑体" w:eastAsia="黑体"/>
          <w:sz w:val="30"/>
          <w:szCs w:val="30"/>
        </w:rPr>
        <w:t xml:space="preserve"> 第一章  双方声明</w:t>
      </w:r>
    </w:p>
    <w:p>
      <w:pPr>
        <w:widowControl/>
        <w:numPr>
          <w:ilvl w:val="0"/>
          <w:numId w:val="126"/>
        </w:numPr>
        <w:shd w:val="clear" w:color="auto" w:fill="FFFFFF"/>
        <w:spacing w:line="560" w:lineRule="exact"/>
        <w:ind w:left="0" w:firstLine="600" w:firstLineChars="200"/>
        <w:jc w:val="left"/>
        <w:rPr>
          <w:rFonts w:eastAsia="方正仿宋简体"/>
          <w:kern w:val="0"/>
          <w:sz w:val="30"/>
          <w:szCs w:val="30"/>
        </w:rPr>
      </w:pPr>
      <w:r>
        <w:rPr>
          <w:rFonts w:eastAsia="方正仿宋简体"/>
          <w:sz w:val="30"/>
          <w:szCs w:val="30"/>
        </w:rPr>
        <w:t>甲方向乙方作如下声明：</w:t>
      </w:r>
    </w:p>
    <w:p>
      <w:pPr>
        <w:autoSpaceDN w:val="0"/>
        <w:spacing w:line="560" w:lineRule="exact"/>
        <w:ind w:firstLine="600" w:firstLineChars="200"/>
        <w:jc w:val="left"/>
        <w:rPr>
          <w:rFonts w:eastAsia="方正仿宋简体"/>
          <w:sz w:val="30"/>
          <w:szCs w:val="30"/>
        </w:rPr>
      </w:pPr>
      <w:r>
        <w:rPr>
          <w:rFonts w:eastAsia="方正仿宋简体"/>
          <w:sz w:val="30"/>
          <w:szCs w:val="30"/>
        </w:rPr>
        <w:t xml:space="preserve">（一）甲方为依法设立的期货公司。     </w:t>
      </w:r>
    </w:p>
    <w:p>
      <w:pPr>
        <w:autoSpaceDN w:val="0"/>
        <w:spacing w:line="560" w:lineRule="exact"/>
        <w:ind w:firstLine="600" w:firstLineChars="200"/>
        <w:jc w:val="left"/>
        <w:rPr>
          <w:rFonts w:eastAsia="方正仿宋简体"/>
          <w:sz w:val="30"/>
          <w:szCs w:val="30"/>
        </w:rPr>
      </w:pPr>
      <w:r>
        <w:rPr>
          <w:rFonts w:eastAsia="方正仿宋简体"/>
          <w:sz w:val="30"/>
          <w:szCs w:val="30"/>
        </w:rPr>
        <w:t xml:space="preserve">（二）甲方具有相应的人员、经营场所、设备和信息系统，能够为介绍业务提供必要的条件。 </w:t>
      </w:r>
    </w:p>
    <w:p>
      <w:pPr>
        <w:autoSpaceDN w:val="0"/>
        <w:spacing w:line="560" w:lineRule="exact"/>
        <w:ind w:firstLine="600" w:firstLineChars="200"/>
        <w:jc w:val="left"/>
        <w:rPr>
          <w:rFonts w:eastAsia="方正仿宋简体"/>
          <w:sz w:val="30"/>
          <w:szCs w:val="30"/>
        </w:rPr>
      </w:pPr>
      <w:r>
        <w:rPr>
          <w:rFonts w:eastAsia="方正仿宋简体"/>
          <w:sz w:val="30"/>
          <w:szCs w:val="30"/>
        </w:rPr>
        <w:t xml:space="preserve">（三）甲方对所属营业部开展的介绍业务实行统一管理。 </w:t>
      </w:r>
    </w:p>
    <w:p>
      <w:pPr>
        <w:autoSpaceDN w:val="0"/>
        <w:spacing w:line="560" w:lineRule="exact"/>
        <w:ind w:firstLine="600" w:firstLineChars="200"/>
        <w:jc w:val="left"/>
        <w:rPr>
          <w:rFonts w:eastAsia="方正仿宋简体"/>
          <w:sz w:val="30"/>
          <w:szCs w:val="30"/>
        </w:rPr>
      </w:pPr>
      <w:r>
        <w:rPr>
          <w:rFonts w:eastAsia="方正仿宋简体"/>
          <w:sz w:val="30"/>
          <w:szCs w:val="30"/>
        </w:rPr>
        <w:t>甲方保证上述声明的真实性、准确性，并承诺承担因违背上述声明给自己及他人造成的损失</w:t>
      </w:r>
    </w:p>
    <w:p>
      <w:pPr>
        <w:widowControl/>
        <w:numPr>
          <w:ilvl w:val="0"/>
          <w:numId w:val="126"/>
        </w:numPr>
        <w:shd w:val="clear" w:color="auto" w:fill="FFFFFF"/>
        <w:autoSpaceDN w:val="0"/>
        <w:spacing w:line="560" w:lineRule="exact"/>
        <w:ind w:left="0" w:firstLine="600" w:firstLineChars="200"/>
        <w:jc w:val="left"/>
        <w:rPr>
          <w:rFonts w:eastAsia="方正仿宋简体"/>
          <w:sz w:val="30"/>
          <w:szCs w:val="30"/>
        </w:rPr>
      </w:pPr>
      <w:r>
        <w:rPr>
          <w:rFonts w:eastAsia="方正仿宋简体"/>
          <w:sz w:val="30"/>
          <w:szCs w:val="30"/>
        </w:rPr>
        <w:t>乙方向甲方作如下声明：</w:t>
      </w:r>
    </w:p>
    <w:p>
      <w:pPr>
        <w:autoSpaceDN w:val="0"/>
        <w:spacing w:line="560" w:lineRule="exact"/>
        <w:ind w:firstLine="600" w:firstLineChars="200"/>
        <w:jc w:val="left"/>
        <w:rPr>
          <w:rFonts w:eastAsia="方正仿宋简体"/>
          <w:sz w:val="30"/>
          <w:szCs w:val="30"/>
        </w:rPr>
      </w:pPr>
      <w:r>
        <w:rPr>
          <w:rFonts w:eastAsia="方正仿宋简体"/>
          <w:sz w:val="30"/>
          <w:szCs w:val="30"/>
        </w:rPr>
        <w:t xml:space="preserve">（一）乙方为依法设立的证券公司或期货公司，具有股票期权经纪业务资格。    </w:t>
      </w:r>
    </w:p>
    <w:p>
      <w:pPr>
        <w:autoSpaceDN w:val="0"/>
        <w:spacing w:line="560" w:lineRule="exact"/>
        <w:ind w:firstLine="600" w:firstLineChars="200"/>
        <w:jc w:val="left"/>
        <w:rPr>
          <w:rFonts w:eastAsia="方正仿宋简体"/>
          <w:sz w:val="30"/>
          <w:szCs w:val="30"/>
        </w:rPr>
      </w:pPr>
      <w:r>
        <w:rPr>
          <w:rFonts w:eastAsia="方正仿宋简体"/>
          <w:sz w:val="30"/>
          <w:szCs w:val="30"/>
        </w:rPr>
        <w:t xml:space="preserve">（二）乙方具有相应的人员、经营场所、设备和信息系统，能够为甲方开展介绍业务提供必要的条件。 </w:t>
      </w:r>
    </w:p>
    <w:p>
      <w:pPr>
        <w:widowControl/>
        <w:shd w:val="clear" w:color="auto" w:fill="FFFFFF"/>
        <w:autoSpaceDN w:val="0"/>
        <w:spacing w:line="560" w:lineRule="exact"/>
        <w:ind w:firstLine="600" w:firstLineChars="200"/>
        <w:jc w:val="left"/>
        <w:rPr>
          <w:rFonts w:eastAsia="方正仿宋简体"/>
          <w:sz w:val="30"/>
          <w:szCs w:val="30"/>
        </w:rPr>
      </w:pPr>
      <w:r>
        <w:rPr>
          <w:rFonts w:eastAsia="方正仿宋简体"/>
          <w:sz w:val="30"/>
          <w:szCs w:val="30"/>
        </w:rPr>
        <w:t>乙方保证上述声明的真实性、准确性，并承诺承担因违背上述声明给自己及他人造成的损失。</w:t>
      </w:r>
    </w:p>
    <w:p>
      <w:pPr>
        <w:widowControl/>
        <w:shd w:val="clear" w:color="auto" w:fill="FFFFFF"/>
        <w:autoSpaceDN w:val="0"/>
        <w:spacing w:line="560" w:lineRule="exact"/>
        <w:ind w:firstLine="600" w:firstLineChars="200"/>
        <w:jc w:val="left"/>
        <w:rPr>
          <w:rFonts w:eastAsia="方正仿宋简体"/>
          <w:sz w:val="30"/>
          <w:szCs w:val="30"/>
        </w:rPr>
      </w:pPr>
    </w:p>
    <w:p>
      <w:pPr>
        <w:autoSpaceDN w:val="0"/>
        <w:spacing w:line="600" w:lineRule="exact"/>
        <w:jc w:val="center"/>
        <w:rPr>
          <w:rFonts w:eastAsia="方正仿宋简体"/>
          <w:sz w:val="30"/>
          <w:szCs w:val="30"/>
        </w:rPr>
      </w:pPr>
      <w:r>
        <w:rPr>
          <w:rFonts w:ascii="黑体" w:hAnsi="黑体" w:eastAsia="黑体"/>
          <w:sz w:val="30"/>
          <w:szCs w:val="30"/>
        </w:rPr>
        <w:t>第二章     介绍业务范围</w:t>
      </w:r>
    </w:p>
    <w:p>
      <w:pPr>
        <w:widowControl/>
        <w:numPr>
          <w:ilvl w:val="0"/>
          <w:numId w:val="126"/>
        </w:numPr>
        <w:shd w:val="clear" w:color="auto" w:fill="FFFFFF"/>
        <w:autoSpaceDN w:val="0"/>
        <w:spacing w:line="560" w:lineRule="exact"/>
        <w:ind w:left="0" w:firstLine="600" w:firstLineChars="200"/>
        <w:jc w:val="left"/>
        <w:rPr>
          <w:rFonts w:eastAsia="方正仿宋简体"/>
          <w:sz w:val="30"/>
          <w:szCs w:val="30"/>
        </w:rPr>
      </w:pPr>
      <w:r>
        <w:rPr>
          <w:rFonts w:eastAsia="方正仿宋简体"/>
          <w:sz w:val="30"/>
          <w:szCs w:val="30"/>
        </w:rPr>
        <w:t>甲方接受乙方委托，为乙方介绍客户参与股票期权交易，并提供下列服务：</w:t>
      </w:r>
    </w:p>
    <w:p>
      <w:pPr>
        <w:autoSpaceDN w:val="0"/>
        <w:spacing w:line="560" w:lineRule="exact"/>
        <w:ind w:firstLine="600" w:firstLineChars="200"/>
        <w:jc w:val="left"/>
        <w:rPr>
          <w:rFonts w:eastAsia="方正仿宋简体"/>
          <w:sz w:val="30"/>
          <w:szCs w:val="30"/>
        </w:rPr>
      </w:pPr>
      <w:r>
        <w:rPr>
          <w:rFonts w:eastAsia="方正仿宋简体"/>
          <w:sz w:val="30"/>
          <w:szCs w:val="30"/>
        </w:rPr>
        <w:t xml:space="preserve">（一）协助办理客户开户手续； </w:t>
      </w:r>
    </w:p>
    <w:p>
      <w:pPr>
        <w:autoSpaceDN w:val="0"/>
        <w:spacing w:line="560" w:lineRule="exact"/>
        <w:ind w:firstLine="600" w:firstLineChars="200"/>
        <w:jc w:val="left"/>
        <w:rPr>
          <w:rFonts w:eastAsia="方正仿宋简体"/>
          <w:sz w:val="30"/>
          <w:szCs w:val="30"/>
        </w:rPr>
      </w:pPr>
      <w:r>
        <w:rPr>
          <w:rFonts w:eastAsia="方正仿宋简体"/>
          <w:sz w:val="30"/>
          <w:szCs w:val="30"/>
        </w:rPr>
        <w:t>（二）为客户提供股票期权行情信息、交易设施；</w:t>
      </w:r>
    </w:p>
    <w:p>
      <w:pPr>
        <w:autoSpaceDN w:val="0"/>
        <w:spacing w:line="560" w:lineRule="exact"/>
        <w:ind w:firstLine="600" w:firstLineChars="200"/>
        <w:jc w:val="left"/>
        <w:rPr>
          <w:rFonts w:eastAsia="方正仿宋简体"/>
          <w:sz w:val="30"/>
          <w:szCs w:val="30"/>
        </w:rPr>
      </w:pPr>
      <w:r>
        <w:rPr>
          <w:rFonts w:eastAsia="方正仿宋简体"/>
          <w:sz w:val="30"/>
          <w:szCs w:val="30"/>
        </w:rPr>
        <w:t xml:space="preserve">（三）协助开展股票期权风险控制；（可选项） </w:t>
      </w:r>
    </w:p>
    <w:p>
      <w:pPr>
        <w:autoSpaceDN w:val="0"/>
        <w:spacing w:line="560" w:lineRule="exact"/>
        <w:ind w:firstLine="600" w:firstLineChars="200"/>
        <w:jc w:val="left"/>
        <w:rPr>
          <w:rFonts w:eastAsia="方正仿宋简体"/>
          <w:sz w:val="30"/>
          <w:szCs w:val="30"/>
        </w:rPr>
      </w:pPr>
      <w:r>
        <w:rPr>
          <w:rFonts w:eastAsia="方正仿宋简体"/>
          <w:sz w:val="30"/>
          <w:szCs w:val="30"/>
        </w:rPr>
        <w:t xml:space="preserve">（四）双方约定的其他服务。 </w:t>
      </w:r>
    </w:p>
    <w:p>
      <w:pPr>
        <w:widowControl/>
        <w:shd w:val="clear" w:color="auto" w:fill="FFFFFF"/>
        <w:autoSpaceDN w:val="0"/>
        <w:spacing w:line="560" w:lineRule="exact"/>
        <w:ind w:firstLine="600" w:firstLineChars="200"/>
        <w:jc w:val="left"/>
        <w:rPr>
          <w:rFonts w:eastAsia="方正仿宋简体"/>
          <w:sz w:val="30"/>
          <w:szCs w:val="30"/>
        </w:rPr>
      </w:pPr>
      <w:r>
        <w:rPr>
          <w:rFonts w:eastAsia="方正仿宋简体"/>
          <w:sz w:val="30"/>
          <w:szCs w:val="30"/>
        </w:rPr>
        <w:t>介绍业务的报酬及相关费用，由甲乙双方本着平等自愿、互利互惠的原则协商确定。</w:t>
      </w:r>
    </w:p>
    <w:p>
      <w:pPr>
        <w:widowControl/>
        <w:numPr>
          <w:ilvl w:val="0"/>
          <w:numId w:val="126"/>
        </w:numPr>
        <w:shd w:val="clear" w:color="auto" w:fill="FFFFFF"/>
        <w:autoSpaceDN w:val="0"/>
        <w:spacing w:line="560" w:lineRule="exact"/>
        <w:ind w:left="0" w:firstLine="600" w:firstLineChars="200"/>
        <w:jc w:val="left"/>
        <w:rPr>
          <w:rFonts w:eastAsia="方正仿宋简体"/>
          <w:sz w:val="30"/>
          <w:szCs w:val="30"/>
        </w:rPr>
      </w:pPr>
      <w:r>
        <w:rPr>
          <w:rFonts w:eastAsia="方正仿宋简体"/>
          <w:sz w:val="30"/>
          <w:szCs w:val="30"/>
        </w:rPr>
        <w:t>甲方按照本协议约定对乙方承担介绍业务受托责任，甲方与乙方客户之间不存在基于股票期权交易产生的权利义务法律关系。乙方基于股票期权经纪合同直接对客户承担责任</w:t>
      </w:r>
    </w:p>
    <w:p>
      <w:pPr>
        <w:widowControl/>
        <w:numPr>
          <w:ilvl w:val="0"/>
          <w:numId w:val="126"/>
        </w:numPr>
        <w:shd w:val="clear" w:color="auto" w:fill="FFFFFF"/>
        <w:autoSpaceDN w:val="0"/>
        <w:spacing w:line="560" w:lineRule="exact"/>
        <w:ind w:left="0" w:firstLine="600" w:firstLineChars="200"/>
        <w:jc w:val="left"/>
        <w:rPr>
          <w:rFonts w:eastAsia="方正仿宋简体"/>
          <w:sz w:val="30"/>
          <w:szCs w:val="30"/>
        </w:rPr>
      </w:pPr>
      <w:r>
        <w:rPr>
          <w:rFonts w:eastAsia="方正仿宋简体"/>
          <w:sz w:val="30"/>
          <w:szCs w:val="30"/>
        </w:rPr>
        <w:t>甲方不得代理客户进行股票期权的交易、结算，不得代客户接收、保管或者修改交易密码，也不得利用客户的衍生品合约账户、股票期权保证金账户进行股票期权交易。</w:t>
      </w:r>
    </w:p>
    <w:p>
      <w:pPr>
        <w:widowControl/>
        <w:numPr>
          <w:ilvl w:val="0"/>
          <w:numId w:val="126"/>
        </w:numPr>
        <w:shd w:val="clear" w:color="auto" w:fill="FFFFFF"/>
        <w:autoSpaceDN w:val="0"/>
        <w:spacing w:line="560" w:lineRule="exact"/>
        <w:ind w:left="0" w:firstLine="600" w:firstLineChars="200"/>
        <w:jc w:val="left"/>
        <w:rPr>
          <w:rFonts w:eastAsia="方正仿宋简体"/>
          <w:kern w:val="0"/>
          <w:sz w:val="30"/>
          <w:szCs w:val="30"/>
        </w:rPr>
      </w:pPr>
      <w:r>
        <w:rPr>
          <w:rFonts w:eastAsia="方正仿宋简体"/>
          <w:kern w:val="0"/>
          <w:sz w:val="30"/>
          <w:szCs w:val="30"/>
        </w:rPr>
        <w:t>甲方不得代乙方、客户收付股票期权保证金。</w:t>
      </w:r>
    </w:p>
    <w:p>
      <w:pPr>
        <w:widowControl/>
        <w:numPr>
          <w:ilvl w:val="0"/>
          <w:numId w:val="126"/>
        </w:numPr>
        <w:shd w:val="clear" w:color="auto" w:fill="FFFFFF"/>
        <w:autoSpaceDN w:val="0"/>
        <w:spacing w:line="560" w:lineRule="exact"/>
        <w:ind w:left="0" w:firstLine="600" w:firstLineChars="200"/>
        <w:jc w:val="left"/>
        <w:rPr>
          <w:rFonts w:eastAsia="方正仿宋简体"/>
          <w:kern w:val="0"/>
          <w:sz w:val="30"/>
          <w:szCs w:val="30"/>
        </w:rPr>
      </w:pPr>
      <w:r>
        <w:rPr>
          <w:rFonts w:eastAsia="方正仿宋简体"/>
          <w:sz w:val="30"/>
          <w:szCs w:val="30"/>
        </w:rPr>
        <w:t>甲方不得直接或者间接为客户从事股票期权交易提供融资或担保。</w:t>
      </w:r>
    </w:p>
    <w:p>
      <w:pPr>
        <w:autoSpaceDN w:val="0"/>
        <w:spacing w:line="600" w:lineRule="exact"/>
        <w:jc w:val="center"/>
        <w:rPr>
          <w:rFonts w:ascii="黑体" w:hAnsi="黑体" w:eastAsia="黑体"/>
          <w:sz w:val="30"/>
          <w:szCs w:val="30"/>
        </w:rPr>
      </w:pPr>
    </w:p>
    <w:p>
      <w:pPr>
        <w:autoSpaceDN w:val="0"/>
        <w:spacing w:line="560" w:lineRule="exact"/>
        <w:jc w:val="center"/>
        <w:rPr>
          <w:rFonts w:eastAsia="方正仿宋简体"/>
          <w:kern w:val="0"/>
          <w:sz w:val="30"/>
          <w:szCs w:val="30"/>
        </w:rPr>
      </w:pPr>
      <w:r>
        <w:rPr>
          <w:rFonts w:ascii="黑体" w:hAnsi="黑体" w:eastAsia="黑体"/>
          <w:sz w:val="30"/>
          <w:szCs w:val="30"/>
        </w:rPr>
        <w:t>第三章     介绍业务对接管理</w:t>
      </w:r>
    </w:p>
    <w:p>
      <w:pPr>
        <w:widowControl/>
        <w:numPr>
          <w:ilvl w:val="0"/>
          <w:numId w:val="126"/>
        </w:numPr>
        <w:shd w:val="clear" w:color="auto" w:fill="FFFFFF"/>
        <w:autoSpaceDN w:val="0"/>
        <w:spacing w:line="560" w:lineRule="exact"/>
        <w:ind w:left="0" w:firstLine="600" w:firstLineChars="200"/>
        <w:jc w:val="left"/>
        <w:rPr>
          <w:rFonts w:eastAsia="方正仿宋简体"/>
          <w:kern w:val="0"/>
          <w:sz w:val="30"/>
          <w:szCs w:val="30"/>
        </w:rPr>
      </w:pPr>
      <w:r>
        <w:rPr>
          <w:rFonts w:eastAsia="方正仿宋简体"/>
          <w:sz w:val="30"/>
          <w:szCs w:val="30"/>
        </w:rPr>
        <w:t>乙方向甲方提供与股票期权交易业务有关的《股票期权风险揭示书》《股票期权经纪合同》、股票期权交易流程、股票期权保证金安全存管的方式和要求、股票期权结算结果的查询方式、必要的业务单据等资料，并为甲方提供开展介绍业务所必需的业务培训以及其他相应业务支持。</w:t>
      </w:r>
    </w:p>
    <w:p>
      <w:pPr>
        <w:widowControl/>
        <w:shd w:val="clear" w:color="auto" w:fill="FFFFFF"/>
        <w:autoSpaceDN w:val="0"/>
        <w:spacing w:line="560" w:lineRule="exact"/>
        <w:ind w:firstLine="600" w:firstLineChars="200"/>
        <w:jc w:val="left"/>
        <w:rPr>
          <w:rFonts w:eastAsia="方正仿宋简体"/>
          <w:kern w:val="0"/>
          <w:sz w:val="30"/>
          <w:szCs w:val="30"/>
        </w:rPr>
      </w:pPr>
      <w:r>
        <w:rPr>
          <w:rFonts w:eastAsia="方正仿宋简体"/>
          <w:sz w:val="30"/>
          <w:szCs w:val="30"/>
        </w:rPr>
        <w:t>甲方可以根据开展介绍业务的需要，要求乙方提供公司基本情况介绍、有关负责人和业务人员简历等资料，以备客户咨询。</w:t>
      </w:r>
    </w:p>
    <w:p>
      <w:pPr>
        <w:widowControl/>
        <w:numPr>
          <w:ilvl w:val="0"/>
          <w:numId w:val="126"/>
        </w:numPr>
        <w:shd w:val="clear" w:color="auto" w:fill="FFFFFF"/>
        <w:autoSpaceDN w:val="0"/>
        <w:spacing w:line="560" w:lineRule="exact"/>
        <w:ind w:left="0" w:firstLine="600" w:firstLineChars="200"/>
        <w:jc w:val="left"/>
        <w:rPr>
          <w:rFonts w:eastAsia="方正仿宋简体"/>
          <w:kern w:val="0"/>
          <w:sz w:val="30"/>
          <w:szCs w:val="30"/>
        </w:rPr>
      </w:pPr>
      <w:r>
        <w:rPr>
          <w:rFonts w:eastAsia="方正仿宋简体"/>
          <w:sz w:val="30"/>
          <w:szCs w:val="30"/>
        </w:rPr>
        <w:t>甲方按照合规、审慎经营的原则，制定并有效执行介绍业务规则、内部控制、合规检查等制度，确保有效防范和隔离介绍业务与其他业务的风险。</w:t>
      </w:r>
    </w:p>
    <w:p>
      <w:pPr>
        <w:widowControl/>
        <w:numPr>
          <w:ilvl w:val="0"/>
          <w:numId w:val="126"/>
        </w:numPr>
        <w:shd w:val="clear" w:color="auto" w:fill="FFFFFF"/>
        <w:autoSpaceDN w:val="0"/>
        <w:spacing w:line="560" w:lineRule="exact"/>
        <w:ind w:left="0" w:firstLine="600" w:firstLineChars="200"/>
        <w:jc w:val="left"/>
        <w:rPr>
          <w:rFonts w:eastAsia="方正仿宋简体"/>
          <w:kern w:val="0"/>
          <w:sz w:val="30"/>
          <w:szCs w:val="30"/>
        </w:rPr>
      </w:pPr>
      <w:r>
        <w:rPr>
          <w:rFonts w:eastAsia="方正仿宋简体"/>
          <w:sz w:val="30"/>
          <w:szCs w:val="30"/>
        </w:rPr>
        <w:t>甲方在其经营场所显著位置或其网站，公开下列信息：</w:t>
      </w:r>
    </w:p>
    <w:p>
      <w:pPr>
        <w:autoSpaceDN w:val="0"/>
        <w:spacing w:line="560" w:lineRule="exact"/>
        <w:ind w:firstLine="600" w:firstLineChars="200"/>
        <w:jc w:val="left"/>
        <w:rPr>
          <w:rFonts w:eastAsia="方正仿宋简体"/>
          <w:sz w:val="30"/>
          <w:szCs w:val="30"/>
        </w:rPr>
      </w:pPr>
      <w:r>
        <w:rPr>
          <w:rFonts w:eastAsia="方正仿宋简体"/>
          <w:sz w:val="30"/>
          <w:szCs w:val="30"/>
        </w:rPr>
        <w:t xml:space="preserve">（一）受托从事的介绍业务范围； </w:t>
      </w:r>
    </w:p>
    <w:p>
      <w:pPr>
        <w:autoSpaceDN w:val="0"/>
        <w:spacing w:line="560" w:lineRule="exact"/>
        <w:ind w:firstLine="600" w:firstLineChars="200"/>
        <w:jc w:val="left"/>
        <w:rPr>
          <w:rFonts w:eastAsia="方正仿宋简体"/>
          <w:sz w:val="30"/>
          <w:szCs w:val="30"/>
        </w:rPr>
      </w:pPr>
      <w:r>
        <w:rPr>
          <w:rFonts w:eastAsia="方正仿宋简体"/>
          <w:sz w:val="30"/>
          <w:szCs w:val="30"/>
        </w:rPr>
        <w:t xml:space="preserve">（二） 从事介绍业务的管理人员和业务人员的名单和照片； </w:t>
      </w:r>
    </w:p>
    <w:p>
      <w:pPr>
        <w:autoSpaceDN w:val="0"/>
        <w:spacing w:line="560" w:lineRule="exact"/>
        <w:ind w:firstLine="600" w:firstLineChars="200"/>
        <w:jc w:val="left"/>
        <w:rPr>
          <w:rFonts w:eastAsia="方正仿宋简体"/>
          <w:sz w:val="30"/>
          <w:szCs w:val="30"/>
        </w:rPr>
      </w:pPr>
      <w:r>
        <w:rPr>
          <w:rFonts w:eastAsia="方正仿宋简体"/>
          <w:sz w:val="30"/>
          <w:szCs w:val="30"/>
        </w:rPr>
        <w:t xml:space="preserve">（三） 乙方股票期权保证金账户信息、保证金安全存管方式； </w:t>
      </w:r>
    </w:p>
    <w:p>
      <w:pPr>
        <w:autoSpaceDN w:val="0"/>
        <w:spacing w:line="560" w:lineRule="exact"/>
        <w:ind w:firstLine="600" w:firstLineChars="200"/>
        <w:jc w:val="left"/>
        <w:rPr>
          <w:rFonts w:eastAsia="方正仿宋简体"/>
          <w:sz w:val="30"/>
          <w:szCs w:val="30"/>
        </w:rPr>
      </w:pPr>
      <w:r>
        <w:rPr>
          <w:rFonts w:eastAsia="方正仿宋简体"/>
          <w:sz w:val="30"/>
          <w:szCs w:val="30"/>
        </w:rPr>
        <w:t xml:space="preserve">（四） 客户开户和交易流程、出入金流程； </w:t>
      </w:r>
    </w:p>
    <w:p>
      <w:pPr>
        <w:autoSpaceDN w:val="0"/>
        <w:spacing w:line="560" w:lineRule="exact"/>
        <w:ind w:firstLine="600" w:firstLineChars="200"/>
        <w:jc w:val="left"/>
        <w:rPr>
          <w:rFonts w:eastAsia="方正仿宋简体"/>
          <w:sz w:val="30"/>
          <w:szCs w:val="30"/>
        </w:rPr>
      </w:pPr>
      <w:r>
        <w:rPr>
          <w:rFonts w:eastAsia="方正仿宋简体"/>
          <w:sz w:val="30"/>
          <w:szCs w:val="30"/>
        </w:rPr>
        <w:t xml:space="preserve">（五） 客户交易结算结果的查询方式； </w:t>
      </w:r>
    </w:p>
    <w:p>
      <w:pPr>
        <w:autoSpaceDN w:val="0"/>
        <w:spacing w:line="560" w:lineRule="exact"/>
        <w:ind w:firstLine="600" w:firstLineChars="200"/>
        <w:jc w:val="left"/>
        <w:rPr>
          <w:rFonts w:eastAsia="方正仿宋简体"/>
          <w:sz w:val="30"/>
          <w:szCs w:val="30"/>
        </w:rPr>
      </w:pPr>
      <w:r>
        <w:rPr>
          <w:rFonts w:eastAsia="方正仿宋简体"/>
          <w:sz w:val="30"/>
          <w:szCs w:val="30"/>
        </w:rPr>
        <w:t>（六）双方约定的其他信息。</w:t>
      </w:r>
    </w:p>
    <w:p>
      <w:pPr>
        <w:autoSpaceDN w:val="0"/>
        <w:spacing w:line="560" w:lineRule="exact"/>
        <w:ind w:firstLine="600" w:firstLineChars="200"/>
        <w:jc w:val="left"/>
        <w:rPr>
          <w:rFonts w:eastAsia="方正仿宋简体"/>
          <w:sz w:val="30"/>
          <w:szCs w:val="30"/>
        </w:rPr>
      </w:pPr>
      <w:r>
        <w:rPr>
          <w:rFonts w:eastAsia="方正仿宋简体"/>
          <w:sz w:val="30"/>
          <w:szCs w:val="30"/>
        </w:rPr>
        <w:t>乙方在其经营场所显著位置或其网站，对前款（三）、（四）（五）、（六）项规定的有关信息予以公开列示。</w:t>
      </w:r>
    </w:p>
    <w:p>
      <w:pPr>
        <w:widowControl/>
        <w:numPr>
          <w:ilvl w:val="0"/>
          <w:numId w:val="126"/>
        </w:numPr>
        <w:shd w:val="clear" w:color="auto" w:fill="FFFFFF"/>
        <w:autoSpaceDN w:val="0"/>
        <w:spacing w:line="560" w:lineRule="exact"/>
        <w:ind w:left="0" w:firstLine="600" w:firstLineChars="200"/>
        <w:jc w:val="left"/>
        <w:rPr>
          <w:rFonts w:eastAsia="方正仿宋简体"/>
          <w:kern w:val="0"/>
          <w:sz w:val="30"/>
          <w:szCs w:val="30"/>
        </w:rPr>
      </w:pPr>
      <w:r>
        <w:rPr>
          <w:rFonts w:eastAsia="方正仿宋简体"/>
          <w:sz w:val="30"/>
          <w:szCs w:val="30"/>
        </w:rPr>
        <w:t>甲方在为乙方介绍客户时，应当向客户明示其与乙方的介绍业务委托关系，解释甲方、客户、乙方三者之间的权利义务关系，告知股票期权保证金安全存管要求。乙方也应在股票期权经纪合同中明确注明甲方、乙方、客户三者之间的权利义务关系。</w:t>
      </w:r>
    </w:p>
    <w:p>
      <w:pPr>
        <w:widowControl/>
        <w:shd w:val="clear" w:color="auto" w:fill="FFFFFF"/>
        <w:autoSpaceDN w:val="0"/>
        <w:spacing w:line="560" w:lineRule="exact"/>
        <w:ind w:firstLine="600" w:firstLineChars="200"/>
        <w:jc w:val="left"/>
        <w:rPr>
          <w:rFonts w:eastAsia="方正仿宋简体"/>
          <w:kern w:val="0"/>
          <w:sz w:val="30"/>
          <w:szCs w:val="30"/>
        </w:rPr>
      </w:pPr>
      <w:r>
        <w:rPr>
          <w:rFonts w:eastAsia="方正仿宋简体"/>
          <w:sz w:val="30"/>
          <w:szCs w:val="30"/>
        </w:rPr>
        <w:t>甲方在开发客户过程中，应当向客户解释股票期权交易的方式、流程，充分揭示股票期权交易风险，并不得向客户作获利保证、共担风险等承诺，不得虚假宣传误导客户。</w:t>
      </w:r>
    </w:p>
    <w:p>
      <w:pPr>
        <w:widowControl/>
        <w:numPr>
          <w:ilvl w:val="0"/>
          <w:numId w:val="126"/>
        </w:numPr>
        <w:shd w:val="clear" w:color="auto" w:fill="FFFFFF"/>
        <w:autoSpaceDN w:val="0"/>
        <w:spacing w:line="560" w:lineRule="exact"/>
        <w:ind w:left="0" w:firstLine="600" w:firstLineChars="200"/>
        <w:jc w:val="left"/>
        <w:rPr>
          <w:rFonts w:eastAsia="方正仿宋简体"/>
          <w:kern w:val="0"/>
          <w:sz w:val="30"/>
          <w:szCs w:val="30"/>
        </w:rPr>
      </w:pPr>
      <w:r>
        <w:rPr>
          <w:rFonts w:eastAsia="方正仿宋简体"/>
          <w:sz w:val="30"/>
          <w:szCs w:val="30"/>
        </w:rPr>
        <w:t>甲乙双方协商确定客户开户审查的方式、内容和程序，甲方设专人负责协助开户及开户审核工作。</w:t>
      </w:r>
    </w:p>
    <w:p>
      <w:pPr>
        <w:widowControl/>
        <w:numPr>
          <w:ilvl w:val="0"/>
          <w:numId w:val="126"/>
        </w:numPr>
        <w:shd w:val="clear" w:color="auto" w:fill="FFFFFF"/>
        <w:autoSpaceDN w:val="0"/>
        <w:spacing w:line="560" w:lineRule="exact"/>
        <w:ind w:left="0" w:firstLine="600" w:firstLineChars="200"/>
        <w:jc w:val="left"/>
        <w:rPr>
          <w:rFonts w:eastAsia="方正仿宋简体"/>
          <w:kern w:val="0"/>
          <w:sz w:val="30"/>
          <w:szCs w:val="30"/>
        </w:rPr>
      </w:pPr>
      <w:r>
        <w:rPr>
          <w:rFonts w:eastAsia="方正仿宋简体"/>
          <w:kern w:val="0"/>
          <w:sz w:val="30"/>
          <w:szCs w:val="30"/>
        </w:rPr>
        <w:t>甲方建立并有效执行协助开户制度，</w:t>
      </w:r>
      <w:r>
        <w:rPr>
          <w:rFonts w:eastAsia="方正仿宋简体"/>
          <w:sz w:val="30"/>
          <w:szCs w:val="30"/>
        </w:rPr>
        <w:t>协助乙方严格执行股票期权投资者适当性管理制度，</w:t>
      </w:r>
      <w:r>
        <w:rPr>
          <w:rFonts w:eastAsia="方正仿宋简体"/>
          <w:kern w:val="0"/>
          <w:sz w:val="30"/>
          <w:szCs w:val="30"/>
        </w:rPr>
        <w:t>指导客户阅读和签署《股票期权风险揭示书》《股票期权经纪合同》等相关文件，对客户开户资料的真实性、合规性、完整性进行审查，</w:t>
      </w:r>
      <w:r>
        <w:rPr>
          <w:rFonts w:eastAsia="方正仿宋简体"/>
          <w:sz w:val="30"/>
          <w:szCs w:val="30"/>
        </w:rPr>
        <w:t>做好开户入金指导，</w:t>
      </w:r>
      <w:r>
        <w:rPr>
          <w:rFonts w:eastAsia="方正仿宋简体"/>
          <w:kern w:val="0"/>
          <w:sz w:val="30"/>
          <w:szCs w:val="30"/>
        </w:rPr>
        <w:t>并及时将符合适当性管理要求的客户开户资料提交乙方。</w:t>
      </w:r>
    </w:p>
    <w:p>
      <w:pPr>
        <w:autoSpaceDN w:val="0"/>
        <w:spacing w:line="560" w:lineRule="exact"/>
        <w:ind w:firstLine="600" w:firstLineChars="200"/>
        <w:jc w:val="left"/>
        <w:rPr>
          <w:rFonts w:eastAsia="方正仿宋简体"/>
          <w:sz w:val="30"/>
          <w:szCs w:val="30"/>
        </w:rPr>
      </w:pPr>
      <w:r>
        <w:rPr>
          <w:rFonts w:eastAsia="方正仿宋简体"/>
          <w:sz w:val="30"/>
          <w:szCs w:val="30"/>
        </w:rPr>
        <w:t>乙方在复核</w:t>
      </w:r>
      <w:r>
        <w:rPr>
          <w:rFonts w:eastAsia="方正仿宋简体"/>
          <w:kern w:val="0"/>
          <w:sz w:val="30"/>
          <w:szCs w:val="30"/>
        </w:rPr>
        <w:t>甲方提交的客户开户资料无误后，</w:t>
      </w:r>
      <w:r>
        <w:rPr>
          <w:rFonts w:eastAsia="方正仿宋简体"/>
          <w:sz w:val="30"/>
          <w:szCs w:val="30"/>
        </w:rPr>
        <w:t>与客户签订股票期权经纪合同，办理开户手续。</w:t>
      </w:r>
    </w:p>
    <w:p>
      <w:pPr>
        <w:autoSpaceDN w:val="0"/>
        <w:spacing w:line="560" w:lineRule="exact"/>
        <w:ind w:firstLine="600" w:firstLineChars="200"/>
        <w:jc w:val="left"/>
        <w:rPr>
          <w:rFonts w:eastAsia="方正仿宋简体"/>
          <w:sz w:val="30"/>
          <w:szCs w:val="30"/>
        </w:rPr>
      </w:pPr>
      <w:r>
        <w:rPr>
          <w:rFonts w:eastAsia="方正仿宋简体"/>
          <w:sz w:val="30"/>
          <w:szCs w:val="30"/>
        </w:rPr>
        <w:t>股票期权客户的反洗钱工作由乙方负责。甲方分支机构协助乙方在客户办理开户手续时，完成客户身份识别工作，同时采集并留存客户的影像资料。</w:t>
      </w:r>
    </w:p>
    <w:p>
      <w:pPr>
        <w:widowControl/>
        <w:numPr>
          <w:ilvl w:val="0"/>
          <w:numId w:val="126"/>
        </w:numPr>
        <w:shd w:val="clear" w:color="auto" w:fill="FFFFFF"/>
        <w:spacing w:line="560" w:lineRule="exact"/>
        <w:ind w:left="0" w:firstLine="600" w:firstLineChars="200"/>
        <w:jc w:val="left"/>
        <w:rPr>
          <w:rFonts w:eastAsia="方正仿宋简体"/>
          <w:sz w:val="30"/>
          <w:szCs w:val="30"/>
        </w:rPr>
      </w:pPr>
      <w:r>
        <w:rPr>
          <w:rFonts w:eastAsia="方正仿宋简体"/>
          <w:kern w:val="0"/>
          <w:sz w:val="30"/>
          <w:szCs w:val="30"/>
        </w:rPr>
        <w:t>乙方应当及时对介绍业务客户进行回访，确认客户了解股票期权交易风险及股票期权经纪合同主要条款。</w:t>
      </w:r>
    </w:p>
    <w:p>
      <w:pPr>
        <w:widowControl/>
        <w:numPr>
          <w:ilvl w:val="0"/>
          <w:numId w:val="126"/>
        </w:numPr>
        <w:shd w:val="clear" w:color="auto" w:fill="FFFFFF"/>
        <w:spacing w:line="560" w:lineRule="exact"/>
        <w:ind w:left="0" w:firstLine="600" w:firstLineChars="200"/>
        <w:jc w:val="left"/>
        <w:rPr>
          <w:rFonts w:eastAsia="方正仿宋简体"/>
          <w:sz w:val="30"/>
          <w:szCs w:val="30"/>
        </w:rPr>
      </w:pPr>
      <w:r>
        <w:rPr>
          <w:rFonts w:eastAsia="方正仿宋简体"/>
          <w:sz w:val="30"/>
          <w:szCs w:val="30"/>
        </w:rPr>
        <w:t>甲乙双方应各自对股票期权交易涉及的行情、交易系统及设备负责，并共同做好股票期权交易数据传送的安全保密工作。</w:t>
      </w:r>
    </w:p>
    <w:p>
      <w:pPr>
        <w:widowControl/>
        <w:shd w:val="clear" w:color="auto" w:fill="FFFFFF"/>
        <w:spacing w:line="560" w:lineRule="exact"/>
        <w:ind w:firstLine="600" w:firstLineChars="200"/>
        <w:jc w:val="left"/>
        <w:rPr>
          <w:rFonts w:eastAsia="方正仿宋简体"/>
          <w:sz w:val="30"/>
          <w:szCs w:val="30"/>
        </w:rPr>
      </w:pPr>
      <w:r>
        <w:rPr>
          <w:rFonts w:eastAsia="方正仿宋简体"/>
          <w:sz w:val="30"/>
          <w:szCs w:val="30"/>
        </w:rPr>
        <w:t>甲方应协助乙方维护股票期权交易系统的稳定运行，保证股票期权交易数据传送的安全和独立。</w:t>
      </w:r>
    </w:p>
    <w:p>
      <w:pPr>
        <w:widowControl/>
        <w:numPr>
          <w:ilvl w:val="0"/>
          <w:numId w:val="126"/>
        </w:numPr>
        <w:shd w:val="clear" w:color="auto" w:fill="FFFFFF"/>
        <w:spacing w:line="560" w:lineRule="exact"/>
        <w:ind w:left="0" w:firstLine="600" w:firstLineChars="200"/>
        <w:jc w:val="left"/>
        <w:rPr>
          <w:rFonts w:eastAsia="方正仿宋简体"/>
          <w:sz w:val="30"/>
          <w:szCs w:val="30"/>
        </w:rPr>
      </w:pPr>
      <w:r>
        <w:rPr>
          <w:rFonts w:eastAsia="方正仿宋简体"/>
          <w:sz w:val="30"/>
          <w:szCs w:val="30"/>
        </w:rPr>
        <w:t>甲方应告知所介绍客户获取股票期权交易结算结果的渠道或方式，提示客户有义务及时查看，并协助有异议的客户向乙方提出异议。</w:t>
      </w:r>
    </w:p>
    <w:p>
      <w:pPr>
        <w:widowControl/>
        <w:numPr>
          <w:ilvl w:val="0"/>
          <w:numId w:val="126"/>
        </w:numPr>
        <w:shd w:val="clear" w:color="auto" w:fill="FFFFFF"/>
        <w:spacing w:line="560" w:lineRule="exact"/>
        <w:ind w:left="0" w:firstLine="600" w:firstLineChars="200"/>
        <w:jc w:val="left"/>
        <w:rPr>
          <w:rFonts w:eastAsia="方正仿宋简体"/>
          <w:sz w:val="30"/>
          <w:szCs w:val="30"/>
        </w:rPr>
      </w:pPr>
      <w:r>
        <w:rPr>
          <w:rFonts w:eastAsia="方正仿宋简体"/>
          <w:kern w:val="0"/>
          <w:sz w:val="30"/>
          <w:szCs w:val="30"/>
        </w:rPr>
        <w:t>乙方负责股票期权业务风险控制制度的制定和执行，并负责向客户发送追加保证金通知和执行强行平仓。</w:t>
      </w:r>
    </w:p>
    <w:p>
      <w:pPr>
        <w:widowControl/>
        <w:numPr>
          <w:ilvl w:val="0"/>
          <w:numId w:val="126"/>
        </w:numPr>
        <w:shd w:val="clear" w:color="auto" w:fill="FFFFFF"/>
        <w:spacing w:line="560" w:lineRule="exact"/>
        <w:ind w:left="0" w:firstLine="600" w:firstLineChars="200"/>
        <w:jc w:val="left"/>
        <w:rPr>
          <w:rFonts w:eastAsia="方正仿宋简体"/>
          <w:sz w:val="30"/>
          <w:szCs w:val="30"/>
        </w:rPr>
      </w:pPr>
      <w:r>
        <w:rPr>
          <w:rFonts w:eastAsia="方正仿宋简体"/>
          <w:kern w:val="0"/>
          <w:sz w:val="30"/>
          <w:szCs w:val="30"/>
        </w:rPr>
        <w:t>甲方按照约定承担协助风险控制职责的，提供下列服务：</w:t>
      </w:r>
    </w:p>
    <w:p>
      <w:pPr>
        <w:widowControl/>
        <w:numPr>
          <w:ilvl w:val="0"/>
          <w:numId w:val="127"/>
        </w:numPr>
        <w:shd w:val="clear" w:color="auto" w:fill="FFFFFF"/>
        <w:spacing w:line="560" w:lineRule="exact"/>
        <w:ind w:firstLine="600" w:firstLineChars="200"/>
        <w:jc w:val="left"/>
        <w:rPr>
          <w:rFonts w:eastAsia="方正仿宋简体"/>
          <w:kern w:val="0"/>
          <w:sz w:val="30"/>
          <w:szCs w:val="30"/>
        </w:rPr>
      </w:pPr>
      <w:r>
        <w:rPr>
          <w:rFonts w:eastAsia="方正仿宋简体"/>
          <w:kern w:val="0"/>
          <w:sz w:val="30"/>
          <w:szCs w:val="30"/>
        </w:rPr>
        <w:t>当客户被乙方通知追加保证金或被强行平仓时，甲方受乙方委托，对客户进行督促或解释工作；</w:t>
      </w:r>
    </w:p>
    <w:p>
      <w:pPr>
        <w:widowControl/>
        <w:numPr>
          <w:ilvl w:val="0"/>
          <w:numId w:val="127"/>
        </w:numPr>
        <w:shd w:val="clear" w:color="auto" w:fill="FFFFFF"/>
        <w:spacing w:line="560" w:lineRule="exact"/>
        <w:ind w:firstLine="600" w:firstLineChars="200"/>
        <w:jc w:val="left"/>
        <w:rPr>
          <w:rFonts w:eastAsia="方正仿宋简体"/>
          <w:sz w:val="30"/>
          <w:szCs w:val="30"/>
        </w:rPr>
      </w:pPr>
      <w:r>
        <w:rPr>
          <w:rFonts w:eastAsia="方正仿宋简体"/>
          <w:kern w:val="0"/>
          <w:sz w:val="30"/>
          <w:szCs w:val="30"/>
        </w:rPr>
        <w:t>当股票期权、现货市场行情发生重大变化或者客户可能出现交易风险时，甲方受乙方委托进行风险提示。</w:t>
      </w:r>
    </w:p>
    <w:p>
      <w:pPr>
        <w:widowControl/>
        <w:shd w:val="clear" w:color="auto" w:fill="FFFFFF"/>
        <w:spacing w:line="560" w:lineRule="exact"/>
        <w:ind w:firstLine="600" w:firstLineChars="200"/>
        <w:jc w:val="left"/>
        <w:rPr>
          <w:rFonts w:eastAsia="方正仿宋简体"/>
          <w:sz w:val="30"/>
          <w:szCs w:val="30"/>
        </w:rPr>
      </w:pPr>
      <w:r>
        <w:rPr>
          <w:rFonts w:eastAsia="方正仿宋简体"/>
          <w:sz w:val="30"/>
          <w:szCs w:val="30"/>
        </w:rPr>
        <w:t>甲方协助乙方从事向客户提示风险等工作的，乙方应向甲方提供必要的风险控制系统及报表等，以便甲方开展相关工作。</w:t>
      </w:r>
    </w:p>
    <w:p>
      <w:pPr>
        <w:widowControl/>
        <w:numPr>
          <w:ilvl w:val="0"/>
          <w:numId w:val="126"/>
        </w:numPr>
        <w:shd w:val="clear" w:color="auto" w:fill="FFFFFF"/>
        <w:spacing w:line="560" w:lineRule="exact"/>
        <w:ind w:left="0" w:firstLine="600" w:firstLineChars="200"/>
        <w:jc w:val="left"/>
        <w:rPr>
          <w:rFonts w:eastAsia="方正仿宋简体"/>
          <w:sz w:val="30"/>
          <w:szCs w:val="30"/>
        </w:rPr>
      </w:pPr>
      <w:r>
        <w:rPr>
          <w:rFonts w:eastAsia="方正仿宋简体"/>
          <w:sz w:val="30"/>
          <w:szCs w:val="30"/>
        </w:rPr>
        <w:t xml:space="preserve">甲乙双方中任何一方被监管机构采取限制、取消相关业务资格等监管措施时，应自事发之日起 </w:t>
      </w:r>
      <w:r>
        <w:rPr>
          <w:rFonts w:eastAsia="方正仿宋简体"/>
          <w:sz w:val="30"/>
          <w:szCs w:val="30"/>
          <w:u w:val="single"/>
        </w:rPr>
        <w:t xml:space="preserve">   </w:t>
      </w:r>
      <w:r>
        <w:rPr>
          <w:rFonts w:eastAsia="方正仿宋简体"/>
          <w:sz w:val="30"/>
          <w:szCs w:val="30"/>
        </w:rPr>
        <w:t>个工作日内书面通知对方。</w:t>
      </w:r>
    </w:p>
    <w:p>
      <w:pPr>
        <w:widowControl/>
        <w:numPr>
          <w:ilvl w:val="0"/>
          <w:numId w:val="126"/>
        </w:numPr>
        <w:shd w:val="clear" w:color="auto" w:fill="FFFFFF"/>
        <w:spacing w:line="560" w:lineRule="exact"/>
        <w:ind w:left="0" w:firstLine="600" w:firstLineChars="200"/>
        <w:jc w:val="left"/>
        <w:rPr>
          <w:rFonts w:eastAsia="方正仿宋简体"/>
          <w:sz w:val="30"/>
          <w:szCs w:val="30"/>
        </w:rPr>
      </w:pPr>
      <w:r>
        <w:rPr>
          <w:rFonts w:eastAsia="方正仿宋简体"/>
          <w:kern w:val="0"/>
          <w:sz w:val="30"/>
          <w:szCs w:val="30"/>
        </w:rPr>
        <w:t>甲乙双方应当建立和完善介绍业务相关信息系统管理制度。任何一方变更、升级信息系统的，应当做好变更、升级的书面留痕工作，提前3个工作日书面通知对方，并通过适当的方式告知客户防范可能出现的风险。</w:t>
      </w:r>
    </w:p>
    <w:p>
      <w:pPr>
        <w:widowControl/>
        <w:numPr>
          <w:ilvl w:val="0"/>
          <w:numId w:val="126"/>
        </w:numPr>
        <w:shd w:val="clear" w:color="auto" w:fill="FFFFFF"/>
        <w:spacing w:line="560" w:lineRule="exact"/>
        <w:ind w:left="0" w:firstLine="600" w:firstLineChars="200"/>
        <w:jc w:val="left"/>
        <w:rPr>
          <w:rFonts w:eastAsia="方正仿宋简体"/>
          <w:sz w:val="30"/>
          <w:szCs w:val="30"/>
        </w:rPr>
      </w:pPr>
      <w:r>
        <w:rPr>
          <w:rFonts w:eastAsia="方正仿宋简体"/>
          <w:sz w:val="30"/>
          <w:szCs w:val="30"/>
        </w:rPr>
        <w:t>客户出入金必须在乙方的股票期权保证金账户和客户所指定的股票期权结算账户之间进行。</w:t>
      </w:r>
    </w:p>
    <w:p>
      <w:pPr>
        <w:widowControl/>
        <w:numPr>
          <w:ilvl w:val="0"/>
          <w:numId w:val="126"/>
        </w:numPr>
        <w:shd w:val="clear" w:color="auto" w:fill="FFFFFF"/>
        <w:spacing w:line="560" w:lineRule="exact"/>
        <w:ind w:left="0" w:firstLine="600" w:firstLineChars="200"/>
        <w:jc w:val="left"/>
        <w:rPr>
          <w:rFonts w:eastAsia="方正仿宋简体"/>
          <w:sz w:val="30"/>
          <w:szCs w:val="30"/>
        </w:rPr>
      </w:pPr>
      <w:r>
        <w:rPr>
          <w:rFonts w:eastAsia="方正仿宋简体"/>
          <w:sz w:val="30"/>
          <w:szCs w:val="30"/>
        </w:rPr>
        <w:t>乙方变更或撤销股票期权保证金账户的，应当在向监管机构和股票期权保证金安全存管监控机构备案之日起</w:t>
      </w:r>
      <w:r>
        <w:rPr>
          <w:rFonts w:eastAsia="方正仿宋简体"/>
          <w:sz w:val="30"/>
          <w:szCs w:val="30"/>
          <w:u w:val="single"/>
        </w:rPr>
        <w:t xml:space="preserve">    </w:t>
      </w:r>
      <w:r>
        <w:rPr>
          <w:rFonts w:eastAsia="方正仿宋简体"/>
          <w:sz w:val="30"/>
          <w:szCs w:val="30"/>
        </w:rPr>
        <w:t>个工作日内书面通知甲方，并依法向客户披露变更或者撤销情况。</w:t>
      </w:r>
    </w:p>
    <w:p>
      <w:pPr>
        <w:widowControl/>
        <w:shd w:val="clear" w:color="auto" w:fill="FFFFFF"/>
        <w:spacing w:line="560" w:lineRule="exact"/>
        <w:ind w:left="600"/>
        <w:jc w:val="left"/>
        <w:rPr>
          <w:rFonts w:eastAsia="方正仿宋简体"/>
          <w:sz w:val="30"/>
          <w:szCs w:val="30"/>
        </w:rPr>
      </w:pPr>
    </w:p>
    <w:p>
      <w:pPr>
        <w:autoSpaceDN w:val="0"/>
        <w:spacing w:line="560" w:lineRule="exact"/>
        <w:jc w:val="center"/>
        <w:rPr>
          <w:rFonts w:ascii="黑体" w:hAnsi="黑体" w:eastAsia="黑体"/>
          <w:sz w:val="30"/>
          <w:szCs w:val="30"/>
        </w:rPr>
      </w:pPr>
      <w:r>
        <w:rPr>
          <w:rFonts w:ascii="黑体" w:hAnsi="黑体" w:eastAsia="黑体"/>
          <w:sz w:val="30"/>
          <w:szCs w:val="30"/>
        </w:rPr>
        <w:t>第四章   客户投诉的处理方式</w:t>
      </w:r>
    </w:p>
    <w:p>
      <w:pPr>
        <w:widowControl/>
        <w:numPr>
          <w:ilvl w:val="0"/>
          <w:numId w:val="126"/>
        </w:numPr>
        <w:shd w:val="clear" w:color="auto" w:fill="FFFFFF"/>
        <w:spacing w:line="560" w:lineRule="exact"/>
        <w:ind w:left="0" w:firstLine="600" w:firstLineChars="200"/>
        <w:jc w:val="left"/>
        <w:rPr>
          <w:rFonts w:eastAsia="方正仿宋简体"/>
          <w:sz w:val="30"/>
          <w:szCs w:val="30"/>
        </w:rPr>
      </w:pPr>
      <w:r>
        <w:rPr>
          <w:rFonts w:eastAsia="方正仿宋简体"/>
          <w:sz w:val="30"/>
          <w:szCs w:val="30"/>
        </w:rPr>
        <w:t>乙方负责客户投诉的具体处理工作，如需甲方配合，甲方应予以协助。甲乙双方应当建立健全各自的客户投诉接待处理制度以及双方的协作程序，指定具体部门和人员负责双方的客户投诉情况的沟通与联络。</w:t>
      </w:r>
    </w:p>
    <w:p>
      <w:pPr>
        <w:widowControl/>
        <w:shd w:val="clear" w:color="auto" w:fill="FFFFFF"/>
        <w:spacing w:line="560" w:lineRule="exact"/>
        <w:ind w:firstLine="567"/>
        <w:jc w:val="left"/>
        <w:rPr>
          <w:rFonts w:eastAsia="方正仿宋简体"/>
          <w:sz w:val="30"/>
          <w:szCs w:val="30"/>
        </w:rPr>
      </w:pPr>
      <w:r>
        <w:rPr>
          <w:rFonts w:eastAsia="方正仿宋简体"/>
          <w:sz w:val="30"/>
          <w:szCs w:val="30"/>
        </w:rPr>
        <w:t>甲乙双方应将各自的客户投诉方式或渠道对外予以公布。</w:t>
      </w:r>
    </w:p>
    <w:p>
      <w:pPr>
        <w:widowControl/>
        <w:numPr>
          <w:ilvl w:val="0"/>
          <w:numId w:val="126"/>
        </w:numPr>
        <w:shd w:val="clear" w:color="auto" w:fill="FFFFFF"/>
        <w:spacing w:line="560" w:lineRule="exact"/>
        <w:ind w:left="0" w:firstLine="600" w:firstLineChars="200"/>
        <w:jc w:val="left"/>
        <w:rPr>
          <w:rFonts w:eastAsia="方正仿宋简体"/>
          <w:sz w:val="30"/>
          <w:szCs w:val="30"/>
        </w:rPr>
      </w:pPr>
      <w:r>
        <w:rPr>
          <w:rFonts w:eastAsia="方正仿宋简体"/>
          <w:sz w:val="30"/>
          <w:szCs w:val="30"/>
        </w:rPr>
        <w:t>甲乙双方应按照约定的协作程序和规则，本着服务客户、服务合作伙伴的原则，积极、稳妥地处理客户投诉；对投诉本方的应及时处理不推诿，对投诉合作对方的应及时移交并配合做好处理工作，对投诉涉及双方的应及时会同处理。</w:t>
      </w:r>
    </w:p>
    <w:p>
      <w:pPr>
        <w:widowControl/>
        <w:shd w:val="clear" w:color="auto" w:fill="FFFFFF"/>
        <w:spacing w:line="560" w:lineRule="exact"/>
        <w:jc w:val="left"/>
        <w:rPr>
          <w:rFonts w:eastAsia="方正仿宋简体"/>
          <w:sz w:val="30"/>
          <w:szCs w:val="30"/>
        </w:rPr>
      </w:pPr>
    </w:p>
    <w:p>
      <w:pPr>
        <w:widowControl/>
        <w:shd w:val="clear" w:color="auto" w:fill="FFFFFF"/>
        <w:spacing w:line="560" w:lineRule="exact"/>
        <w:jc w:val="left"/>
        <w:rPr>
          <w:rFonts w:eastAsia="方正仿宋简体"/>
          <w:sz w:val="30"/>
          <w:szCs w:val="30"/>
        </w:rPr>
      </w:pPr>
    </w:p>
    <w:p>
      <w:pPr>
        <w:autoSpaceDN w:val="0"/>
        <w:spacing w:line="560" w:lineRule="exact"/>
        <w:jc w:val="center"/>
        <w:rPr>
          <w:rFonts w:eastAsia="方正仿宋简体"/>
          <w:sz w:val="30"/>
          <w:szCs w:val="30"/>
        </w:rPr>
      </w:pPr>
      <w:r>
        <w:rPr>
          <w:rFonts w:ascii="黑体" w:hAnsi="黑体" w:eastAsia="黑体"/>
          <w:sz w:val="30"/>
          <w:szCs w:val="30"/>
        </w:rPr>
        <w:t>第五章   违约责任及协议的终止</w:t>
      </w:r>
    </w:p>
    <w:p>
      <w:pPr>
        <w:widowControl/>
        <w:numPr>
          <w:ilvl w:val="0"/>
          <w:numId w:val="126"/>
        </w:numPr>
        <w:shd w:val="clear" w:color="auto" w:fill="FFFFFF"/>
        <w:spacing w:line="560" w:lineRule="exact"/>
        <w:ind w:left="0" w:firstLine="600" w:firstLineChars="200"/>
        <w:jc w:val="left"/>
        <w:rPr>
          <w:rFonts w:eastAsia="方正仿宋简体"/>
          <w:sz w:val="30"/>
          <w:szCs w:val="30"/>
        </w:rPr>
      </w:pPr>
      <w:r>
        <w:rPr>
          <w:rFonts w:eastAsia="方正仿宋简体"/>
          <w:sz w:val="30"/>
          <w:szCs w:val="30"/>
        </w:rPr>
        <w:t>甲乙双方因任何一方违反本协议，而给对方所造成实际损失的，应当承担赔偿责任。一方严重违反本协议，导致本协议不能履行的，非违约方有权解除协议并要求赔偿，协议自非违约方发出书面解约通知之日起解除。</w:t>
      </w:r>
    </w:p>
    <w:p>
      <w:pPr>
        <w:widowControl/>
        <w:numPr>
          <w:ilvl w:val="0"/>
          <w:numId w:val="126"/>
        </w:numPr>
        <w:shd w:val="clear" w:color="auto" w:fill="FFFFFF"/>
        <w:spacing w:line="560" w:lineRule="exact"/>
        <w:ind w:left="0" w:firstLine="600" w:firstLineChars="200"/>
        <w:jc w:val="left"/>
        <w:rPr>
          <w:rFonts w:eastAsia="方正仿宋简体"/>
          <w:sz w:val="30"/>
          <w:szCs w:val="30"/>
        </w:rPr>
      </w:pPr>
      <w:r>
        <w:rPr>
          <w:rFonts w:eastAsia="方正仿宋简体"/>
          <w:sz w:val="30"/>
          <w:szCs w:val="30"/>
        </w:rPr>
        <w:t>因出现火灾、地震、瘟疫、社会动乱等不可抗力情形，或因出现无法控制和不可预测的系统故障、设备故障 、通讯故障、电力故障等异常事故，或因本协议生效后新颁布、实施或修改的法律、法规、规章、规则或政策等因素，导致协议任何一方不能及时或完全履行本协议的，其相应责任应予免除。</w:t>
      </w:r>
    </w:p>
    <w:p>
      <w:pPr>
        <w:widowControl/>
        <w:shd w:val="clear" w:color="auto" w:fill="FFFFFF"/>
        <w:spacing w:line="560" w:lineRule="exact"/>
        <w:ind w:firstLine="600" w:firstLineChars="200"/>
        <w:jc w:val="left"/>
        <w:rPr>
          <w:rFonts w:eastAsia="方正仿宋简体"/>
          <w:sz w:val="30"/>
          <w:szCs w:val="30"/>
        </w:rPr>
      </w:pPr>
      <w:r>
        <w:rPr>
          <w:rFonts w:eastAsia="方正仿宋简体"/>
          <w:sz w:val="30"/>
          <w:szCs w:val="30"/>
        </w:rPr>
        <w:t xml:space="preserve">遭受不可抗力、异常事故或知悉政策法律变化的一方或双方应在遭受不可抗力、异常事故或知悉政策法律变化后的 </w:t>
      </w:r>
      <w:r>
        <w:rPr>
          <w:rFonts w:eastAsia="方正仿宋简体"/>
          <w:sz w:val="30"/>
          <w:szCs w:val="30"/>
          <w:u w:val="single"/>
        </w:rPr>
        <w:t xml:space="preserve">  </w:t>
      </w:r>
      <w:r>
        <w:rPr>
          <w:rFonts w:eastAsia="方正仿宋简体"/>
          <w:sz w:val="30"/>
          <w:szCs w:val="30"/>
        </w:rPr>
        <w:t>日内书面通知另一方，并提供相应证明，双方应积极协调善后事宜。</w:t>
      </w:r>
    </w:p>
    <w:p>
      <w:pPr>
        <w:widowControl/>
        <w:numPr>
          <w:ilvl w:val="0"/>
          <w:numId w:val="126"/>
        </w:numPr>
        <w:shd w:val="clear" w:color="auto" w:fill="FFFFFF"/>
        <w:spacing w:line="560" w:lineRule="exact"/>
        <w:ind w:left="0" w:firstLine="600" w:firstLineChars="200"/>
        <w:jc w:val="left"/>
        <w:rPr>
          <w:rFonts w:eastAsia="方正仿宋简体"/>
          <w:sz w:val="30"/>
          <w:szCs w:val="30"/>
        </w:rPr>
      </w:pPr>
      <w:r>
        <w:rPr>
          <w:rFonts w:eastAsia="方正仿宋简体"/>
          <w:sz w:val="30"/>
          <w:szCs w:val="30"/>
        </w:rPr>
        <w:t>甲乙双方均有权解除本协议。除有本协议第二十五条规定的情形外，主张解除协议的一方应当提前一个月书面通知对方。</w:t>
      </w:r>
    </w:p>
    <w:p>
      <w:pPr>
        <w:widowControl/>
        <w:numPr>
          <w:ilvl w:val="0"/>
          <w:numId w:val="126"/>
        </w:numPr>
        <w:shd w:val="clear" w:color="auto" w:fill="FFFFFF"/>
        <w:spacing w:line="560" w:lineRule="exact"/>
        <w:ind w:left="0" w:firstLine="600" w:firstLineChars="200"/>
        <w:jc w:val="left"/>
        <w:rPr>
          <w:rFonts w:eastAsia="方正仿宋简体"/>
          <w:sz w:val="30"/>
          <w:szCs w:val="30"/>
        </w:rPr>
      </w:pPr>
      <w:r>
        <w:rPr>
          <w:rFonts w:eastAsia="方正仿宋简体"/>
          <w:sz w:val="30"/>
          <w:szCs w:val="30"/>
        </w:rPr>
        <w:t>甲乙双方因丧失业务资格或依法不能从事相关业务，本协议自动终止。</w:t>
      </w:r>
    </w:p>
    <w:p>
      <w:pPr>
        <w:widowControl/>
        <w:numPr>
          <w:ilvl w:val="0"/>
          <w:numId w:val="126"/>
        </w:numPr>
        <w:shd w:val="clear" w:color="auto" w:fill="FFFFFF"/>
        <w:spacing w:line="560" w:lineRule="exact"/>
        <w:ind w:left="0" w:firstLine="600" w:firstLineChars="200"/>
        <w:jc w:val="left"/>
        <w:rPr>
          <w:rFonts w:eastAsia="方正仿宋简体"/>
          <w:sz w:val="30"/>
          <w:szCs w:val="30"/>
        </w:rPr>
      </w:pPr>
      <w:r>
        <w:rPr>
          <w:rFonts w:eastAsia="方正仿宋简体"/>
          <w:sz w:val="30"/>
          <w:szCs w:val="30"/>
        </w:rPr>
        <w:t>协议解除或终止后，介绍业务的报酬和相关费用的支付等善后事宜，由双方协商处理。</w:t>
      </w:r>
    </w:p>
    <w:p>
      <w:pPr>
        <w:widowControl/>
        <w:shd w:val="clear" w:color="auto" w:fill="FFFFFF"/>
        <w:spacing w:line="560" w:lineRule="exact"/>
        <w:jc w:val="left"/>
        <w:rPr>
          <w:rFonts w:eastAsia="方正仿宋简体"/>
          <w:sz w:val="30"/>
          <w:szCs w:val="30"/>
        </w:rPr>
      </w:pPr>
    </w:p>
    <w:p>
      <w:pPr>
        <w:widowControl/>
        <w:shd w:val="clear" w:color="auto" w:fill="FFFFFF"/>
        <w:spacing w:line="560" w:lineRule="exact"/>
        <w:jc w:val="left"/>
        <w:rPr>
          <w:rFonts w:eastAsia="方正仿宋简体"/>
          <w:sz w:val="30"/>
          <w:szCs w:val="30"/>
        </w:rPr>
      </w:pPr>
    </w:p>
    <w:p>
      <w:pPr>
        <w:autoSpaceDN w:val="0"/>
        <w:spacing w:line="560" w:lineRule="exact"/>
        <w:jc w:val="center"/>
        <w:rPr>
          <w:rFonts w:ascii="黑体" w:hAnsi="黑体" w:eastAsia="黑体"/>
          <w:sz w:val="30"/>
          <w:szCs w:val="30"/>
        </w:rPr>
      </w:pPr>
      <w:r>
        <w:rPr>
          <w:rFonts w:ascii="黑体" w:hAnsi="黑体" w:eastAsia="黑体"/>
          <w:sz w:val="30"/>
          <w:szCs w:val="30"/>
        </w:rPr>
        <w:t>第六章  其他约定</w:t>
      </w:r>
    </w:p>
    <w:p>
      <w:pPr>
        <w:widowControl/>
        <w:numPr>
          <w:ilvl w:val="0"/>
          <w:numId w:val="126"/>
        </w:numPr>
        <w:shd w:val="clear" w:color="auto" w:fill="FFFFFF"/>
        <w:spacing w:line="560" w:lineRule="exact"/>
        <w:ind w:left="0" w:firstLine="600" w:firstLineChars="200"/>
        <w:jc w:val="left"/>
        <w:rPr>
          <w:rFonts w:eastAsia="方正仿宋简体"/>
          <w:sz w:val="30"/>
          <w:szCs w:val="30"/>
        </w:rPr>
      </w:pPr>
      <w:r>
        <w:rPr>
          <w:rFonts w:eastAsia="方正仿宋简体"/>
          <w:sz w:val="30"/>
          <w:szCs w:val="30"/>
        </w:rPr>
        <w:t>甲乙双方对于在介绍业务过程中获知的对方或客户的资料和信息，负有保密义务。未经另一方或客户事先书面许可，任何一方不得对外披露、透露或提供有关的资料和信息。违反本约定给对方或客户造成损失的，应当负赔偿责任。</w:t>
      </w:r>
    </w:p>
    <w:p>
      <w:pPr>
        <w:widowControl/>
        <w:shd w:val="clear" w:color="auto" w:fill="FFFFFF"/>
        <w:spacing w:line="560" w:lineRule="exact"/>
        <w:ind w:firstLine="600" w:firstLineChars="200"/>
        <w:jc w:val="left"/>
        <w:rPr>
          <w:rFonts w:eastAsia="方正仿宋简体"/>
          <w:sz w:val="30"/>
          <w:szCs w:val="30"/>
        </w:rPr>
      </w:pPr>
      <w:r>
        <w:rPr>
          <w:rFonts w:eastAsia="方正仿宋简体"/>
          <w:sz w:val="30"/>
          <w:szCs w:val="30"/>
        </w:rPr>
        <w:t>国家有关部门依法要求查询或提供有关的资料和信息的，不受前款约束。</w:t>
      </w:r>
    </w:p>
    <w:p>
      <w:pPr>
        <w:widowControl/>
        <w:numPr>
          <w:ilvl w:val="0"/>
          <w:numId w:val="126"/>
        </w:numPr>
        <w:shd w:val="clear" w:color="auto" w:fill="FFFFFF"/>
        <w:spacing w:line="560" w:lineRule="exact"/>
        <w:ind w:left="0" w:firstLine="600" w:firstLineChars="200"/>
        <w:jc w:val="left"/>
        <w:rPr>
          <w:rFonts w:eastAsia="方正仿宋简体"/>
          <w:sz w:val="30"/>
          <w:szCs w:val="30"/>
        </w:rPr>
      </w:pPr>
      <w:r>
        <w:rPr>
          <w:rFonts w:eastAsia="方正仿宋简体"/>
          <w:sz w:val="30"/>
          <w:szCs w:val="30"/>
        </w:rPr>
        <w:t>有关本协议的签署、效力和争议解决等均适用中华人民共和国法律、法规及其他有关规章、规则。</w:t>
      </w:r>
    </w:p>
    <w:p>
      <w:pPr>
        <w:widowControl/>
        <w:shd w:val="clear" w:color="auto" w:fill="FFFFFF"/>
        <w:spacing w:line="560" w:lineRule="exact"/>
        <w:ind w:firstLine="600" w:firstLineChars="200"/>
        <w:jc w:val="left"/>
        <w:rPr>
          <w:rFonts w:eastAsia="方正仿宋简体"/>
          <w:sz w:val="30"/>
          <w:szCs w:val="30"/>
        </w:rPr>
      </w:pPr>
      <w:r>
        <w:rPr>
          <w:rFonts w:eastAsia="方正仿宋简体"/>
          <w:sz w:val="30"/>
          <w:szCs w:val="30"/>
        </w:rPr>
        <w:t>本协议签署后，若有关法律、法规、规章、规则修订，本协议与之不相适应的内容及条款自行失效，相关内容及条款按新修订的法律、法规、规章、规则办理。但本协议其他内容和条款继续有效。</w:t>
      </w:r>
    </w:p>
    <w:p>
      <w:pPr>
        <w:widowControl/>
        <w:numPr>
          <w:ilvl w:val="0"/>
          <w:numId w:val="126"/>
        </w:numPr>
        <w:shd w:val="clear" w:color="auto" w:fill="FFFFFF"/>
        <w:spacing w:line="560" w:lineRule="exact"/>
        <w:ind w:left="0" w:firstLine="600" w:firstLineChars="200"/>
        <w:jc w:val="left"/>
        <w:rPr>
          <w:rFonts w:eastAsia="方正仿宋简体"/>
          <w:sz w:val="30"/>
          <w:szCs w:val="30"/>
        </w:rPr>
      </w:pPr>
      <w:r>
        <w:rPr>
          <w:rFonts w:eastAsia="方正仿宋简体"/>
          <w:sz w:val="30"/>
          <w:szCs w:val="30"/>
        </w:rPr>
        <w:t xml:space="preserve">本协议执行中如发生争议 ，由双方友好协商解决。协商不成的，双方可以提请中国证券业协会、中国期货业协会调解，也可以采取以下第 </w:t>
      </w:r>
      <w:r>
        <w:rPr>
          <w:rFonts w:eastAsia="方正仿宋简体"/>
          <w:sz w:val="30"/>
          <w:szCs w:val="30"/>
          <w:u w:val="single"/>
        </w:rPr>
        <w:t xml:space="preserve">       </w:t>
      </w:r>
      <w:r>
        <w:rPr>
          <w:rFonts w:eastAsia="方正仿宋简体"/>
          <w:sz w:val="30"/>
          <w:szCs w:val="30"/>
        </w:rPr>
        <w:t>种方式解决：</w:t>
      </w:r>
    </w:p>
    <w:p>
      <w:pPr>
        <w:autoSpaceDN w:val="0"/>
        <w:spacing w:line="560" w:lineRule="exact"/>
        <w:ind w:firstLine="600" w:firstLineChars="200"/>
        <w:jc w:val="left"/>
        <w:rPr>
          <w:rFonts w:eastAsia="方正仿宋简体"/>
          <w:sz w:val="30"/>
          <w:szCs w:val="30"/>
        </w:rPr>
      </w:pPr>
      <w:r>
        <w:rPr>
          <w:rFonts w:eastAsia="方正仿宋简体"/>
          <w:sz w:val="30"/>
          <w:szCs w:val="30"/>
        </w:rPr>
        <w:t xml:space="preserve">（一）向 </w:t>
      </w:r>
      <w:r>
        <w:rPr>
          <w:rFonts w:eastAsia="方正仿宋简体"/>
          <w:sz w:val="30"/>
          <w:szCs w:val="30"/>
          <w:u w:val="single"/>
        </w:rPr>
        <w:t xml:space="preserve">                    </w:t>
      </w:r>
      <w:r>
        <w:rPr>
          <w:rFonts w:eastAsia="方正仿宋简体"/>
          <w:sz w:val="30"/>
          <w:szCs w:val="30"/>
        </w:rPr>
        <w:t xml:space="preserve">仲裁委员会申请按照该会仲裁规则进行仲裁 。 </w:t>
      </w:r>
    </w:p>
    <w:p>
      <w:pPr>
        <w:widowControl/>
        <w:shd w:val="clear" w:color="auto" w:fill="FFFFFF"/>
        <w:spacing w:line="560" w:lineRule="exact"/>
        <w:ind w:firstLine="600" w:firstLineChars="200"/>
        <w:jc w:val="left"/>
        <w:rPr>
          <w:rFonts w:eastAsia="方正仿宋简体"/>
          <w:sz w:val="30"/>
          <w:szCs w:val="30"/>
        </w:rPr>
      </w:pPr>
      <w:r>
        <w:rPr>
          <w:rFonts w:eastAsia="方正仿宋简体"/>
          <w:sz w:val="30"/>
          <w:szCs w:val="30"/>
        </w:rPr>
        <w:t xml:space="preserve">（二）向 </w:t>
      </w:r>
      <w:r>
        <w:rPr>
          <w:rFonts w:eastAsia="方正仿宋简体"/>
          <w:sz w:val="30"/>
          <w:szCs w:val="30"/>
          <w:u w:val="single"/>
        </w:rPr>
        <w:t xml:space="preserve">                    </w:t>
      </w:r>
      <w:r>
        <w:rPr>
          <w:rFonts w:eastAsia="方正仿宋简体"/>
          <w:sz w:val="30"/>
          <w:szCs w:val="30"/>
        </w:rPr>
        <w:t>方所在地人民法院提起诉讼。</w:t>
      </w:r>
    </w:p>
    <w:p>
      <w:pPr>
        <w:widowControl/>
        <w:numPr>
          <w:ilvl w:val="0"/>
          <w:numId w:val="126"/>
        </w:numPr>
        <w:shd w:val="clear" w:color="auto" w:fill="FFFFFF"/>
        <w:spacing w:line="560" w:lineRule="exact"/>
        <w:ind w:left="0" w:firstLine="600" w:firstLineChars="200"/>
        <w:jc w:val="left"/>
        <w:rPr>
          <w:rFonts w:eastAsia="方正仿宋简体"/>
          <w:sz w:val="30"/>
          <w:szCs w:val="30"/>
        </w:rPr>
      </w:pPr>
      <w:r>
        <w:rPr>
          <w:rFonts w:eastAsia="方正仿宋简体"/>
          <w:sz w:val="30"/>
          <w:szCs w:val="30"/>
        </w:rPr>
        <w:t>本协议未尽事宜，可由甲乙双方协商解决并另行签署书面协议，该协议与本协议具有同等法律效力。</w:t>
      </w:r>
    </w:p>
    <w:p>
      <w:pPr>
        <w:spacing w:line="560" w:lineRule="exact"/>
        <w:jc w:val="left"/>
        <w:outlineLvl w:val="0"/>
        <w:rPr>
          <w:rFonts w:eastAsia="方正仿宋简体"/>
          <w:kern w:val="44"/>
          <w:szCs w:val="21"/>
        </w:rPr>
      </w:pPr>
      <w:r>
        <w:rPr>
          <w:rFonts w:eastAsia="方正仿宋简体"/>
          <w:sz w:val="30"/>
          <w:szCs w:val="30"/>
        </w:rPr>
        <w:br w:type="page"/>
      </w:r>
      <w:bookmarkStart w:id="275" w:name="_Toc25842068"/>
      <w:r>
        <w:rPr>
          <w:rFonts w:eastAsia="方正仿宋简体"/>
          <w:b/>
          <w:bCs/>
          <w:sz w:val="32"/>
          <w:szCs w:val="32"/>
        </w:rPr>
        <w:t>附件14：深圳证券交易所股票期权试点经纪合同示范文本</w:t>
      </w:r>
      <w:bookmarkEnd w:id="275"/>
    </w:p>
    <w:p>
      <w:pPr>
        <w:spacing w:line="240" w:lineRule="exact"/>
        <w:jc w:val="left"/>
        <w:rPr>
          <w:rFonts w:eastAsia="方正仿宋简体"/>
          <w:b/>
          <w:color w:val="4F81BD"/>
          <w:kern w:val="44"/>
          <w:szCs w:val="21"/>
        </w:rPr>
      </w:pPr>
    </w:p>
    <w:p>
      <w:pPr>
        <w:spacing w:line="240" w:lineRule="exact"/>
        <w:jc w:val="left"/>
        <w:rPr>
          <w:rFonts w:eastAsia="方正仿宋简体"/>
          <w:b/>
          <w:color w:val="4F81BD"/>
          <w:kern w:val="44"/>
          <w:szCs w:val="21"/>
        </w:rPr>
      </w:pPr>
    </w:p>
    <w:p>
      <w:pPr>
        <w:spacing w:line="240" w:lineRule="exact"/>
        <w:jc w:val="left"/>
        <w:rPr>
          <w:rFonts w:eastAsia="方正仿宋简体"/>
          <w:b/>
          <w:color w:val="4F81BD"/>
          <w:kern w:val="44"/>
          <w:szCs w:val="21"/>
        </w:rPr>
      </w:pPr>
    </w:p>
    <w:p>
      <w:pPr>
        <w:autoSpaceDN w:val="0"/>
        <w:spacing w:line="560" w:lineRule="exact"/>
        <w:jc w:val="center"/>
        <w:rPr>
          <w:rFonts w:ascii="黑体" w:hAnsi="黑体" w:eastAsia="黑体"/>
          <w:sz w:val="30"/>
          <w:szCs w:val="30"/>
        </w:rPr>
      </w:pPr>
      <w:r>
        <w:rPr>
          <w:rFonts w:ascii="黑体" w:hAnsi="黑体" w:eastAsia="黑体"/>
          <w:sz w:val="30"/>
          <w:szCs w:val="30"/>
        </w:rPr>
        <w:t>投资者须知</w:t>
      </w:r>
    </w:p>
    <w:p>
      <w:pPr>
        <w:spacing w:line="560" w:lineRule="exact"/>
        <w:rPr>
          <w:rFonts w:eastAsia="方正仿宋简体"/>
          <w:sz w:val="28"/>
          <w:szCs w:val="28"/>
        </w:rPr>
      </w:pPr>
    </w:p>
    <w:p>
      <w:pPr>
        <w:spacing w:line="560" w:lineRule="exact"/>
        <w:ind w:firstLine="601" w:firstLineChars="200"/>
        <w:rPr>
          <w:rFonts w:eastAsia="方正仿宋简体"/>
          <w:b/>
          <w:sz w:val="30"/>
          <w:szCs w:val="30"/>
        </w:rPr>
      </w:pPr>
      <w:r>
        <w:rPr>
          <w:rFonts w:eastAsia="方正仿宋简体"/>
          <w:b/>
          <w:sz w:val="30"/>
          <w:szCs w:val="30"/>
        </w:rPr>
        <w:t>一、投资者需具备的开户条件</w:t>
      </w:r>
    </w:p>
    <w:p>
      <w:pPr>
        <w:spacing w:line="560" w:lineRule="exact"/>
        <w:ind w:firstLine="600" w:firstLineChars="200"/>
        <w:rPr>
          <w:rFonts w:eastAsia="方正仿宋简体"/>
          <w:sz w:val="30"/>
          <w:szCs w:val="30"/>
        </w:rPr>
      </w:pPr>
      <w:r>
        <w:rPr>
          <w:rFonts w:eastAsia="方正仿宋简体"/>
          <w:sz w:val="30"/>
          <w:szCs w:val="30"/>
        </w:rPr>
        <w:t>投资者应是具备从事股票期权（以下简称期权）交易主体资格的自然人、法人或其他经济组织。</w:t>
      </w:r>
    </w:p>
    <w:p>
      <w:pPr>
        <w:spacing w:line="560" w:lineRule="exact"/>
        <w:ind w:firstLine="600" w:firstLineChars="200"/>
        <w:rPr>
          <w:rFonts w:eastAsia="方正仿宋简体"/>
          <w:sz w:val="30"/>
          <w:szCs w:val="30"/>
        </w:rPr>
      </w:pPr>
      <w:r>
        <w:rPr>
          <w:rFonts w:eastAsia="方正仿宋简体"/>
          <w:sz w:val="30"/>
          <w:szCs w:val="30"/>
        </w:rPr>
        <w:t xml:space="preserve">自然人申请开户时须是年满十八周岁、具有完全民事行为能力的公民。 </w:t>
      </w:r>
    </w:p>
    <w:p>
      <w:pPr>
        <w:spacing w:line="560" w:lineRule="exact"/>
        <w:ind w:firstLine="600" w:firstLineChars="200"/>
        <w:rPr>
          <w:rFonts w:eastAsia="方正仿宋简体"/>
          <w:sz w:val="28"/>
          <w:szCs w:val="28"/>
        </w:rPr>
      </w:pPr>
      <w:r>
        <w:rPr>
          <w:rFonts w:eastAsia="方正仿宋简体"/>
          <w:sz w:val="30"/>
          <w:szCs w:val="30"/>
        </w:rPr>
        <w:t>投资者须以真实的、合法的身份开户。投资者须保证资金来源的合法性。投资者须保证所提供的营业执照、身份证及其他有关资料的真实性、合法性、有效性。</w:t>
      </w:r>
    </w:p>
    <w:p>
      <w:pPr>
        <w:spacing w:line="560" w:lineRule="exact"/>
        <w:ind w:firstLine="601" w:firstLineChars="200"/>
        <w:rPr>
          <w:rFonts w:eastAsia="方正仿宋简体"/>
          <w:b/>
          <w:sz w:val="30"/>
          <w:szCs w:val="30"/>
        </w:rPr>
      </w:pPr>
      <w:r>
        <w:rPr>
          <w:rFonts w:eastAsia="方正仿宋简体"/>
          <w:b/>
          <w:sz w:val="30"/>
          <w:szCs w:val="30"/>
        </w:rPr>
        <w:t>二、开户文件的签署</w:t>
      </w:r>
    </w:p>
    <w:p>
      <w:pPr>
        <w:spacing w:line="560" w:lineRule="exact"/>
        <w:ind w:firstLine="600" w:firstLineChars="200"/>
        <w:rPr>
          <w:rFonts w:eastAsia="方正仿宋简体"/>
          <w:sz w:val="30"/>
          <w:szCs w:val="30"/>
        </w:rPr>
      </w:pPr>
      <w:r>
        <w:rPr>
          <w:rFonts w:eastAsia="方正仿宋简体"/>
          <w:sz w:val="30"/>
          <w:szCs w:val="30"/>
        </w:rPr>
        <w:t>自然人开户的，必须由投资者本人签署开户文件，不得委托代理人代为办理开户手续、签署开户文件。法人、特殊法人、其他经济组织等机构投资者开户的，应当委托代理人办理开户手续、签署开户文件。</w:t>
      </w:r>
    </w:p>
    <w:p>
      <w:pPr>
        <w:spacing w:line="560" w:lineRule="exact"/>
        <w:ind w:firstLine="600" w:firstLineChars="200"/>
        <w:rPr>
          <w:rFonts w:eastAsia="方正仿宋简体"/>
          <w:sz w:val="28"/>
          <w:szCs w:val="28"/>
        </w:rPr>
      </w:pPr>
      <w:r>
        <w:rPr>
          <w:rFonts w:eastAsia="方正仿宋简体"/>
          <w:sz w:val="30"/>
          <w:szCs w:val="30"/>
        </w:rPr>
        <w:t>委托代理人开户的机构投资者应向公司提供真实、合法、有效的开户代理人授权委托书及其他资料。</w:t>
      </w:r>
    </w:p>
    <w:p>
      <w:pPr>
        <w:spacing w:line="560" w:lineRule="exact"/>
        <w:ind w:firstLine="601" w:firstLineChars="200"/>
        <w:rPr>
          <w:rFonts w:eastAsia="方正仿宋简体"/>
          <w:b/>
          <w:sz w:val="30"/>
          <w:szCs w:val="30"/>
        </w:rPr>
      </w:pPr>
      <w:r>
        <w:rPr>
          <w:rFonts w:eastAsia="方正仿宋简体"/>
          <w:b/>
          <w:sz w:val="30"/>
          <w:szCs w:val="30"/>
        </w:rPr>
        <w:t>三、投资者需知晓的事项</w:t>
      </w:r>
    </w:p>
    <w:p>
      <w:pPr>
        <w:spacing w:line="560" w:lineRule="exact"/>
        <w:ind w:firstLine="600" w:firstLineChars="200"/>
        <w:rPr>
          <w:rFonts w:eastAsia="方正仿宋简体"/>
          <w:sz w:val="30"/>
          <w:szCs w:val="30"/>
        </w:rPr>
      </w:pPr>
      <w:r>
        <w:rPr>
          <w:rFonts w:eastAsia="方正仿宋简体"/>
          <w:sz w:val="30"/>
          <w:szCs w:val="30"/>
        </w:rPr>
        <w:t>（一）知晓期权交易风险</w:t>
      </w:r>
    </w:p>
    <w:p>
      <w:pPr>
        <w:spacing w:line="560" w:lineRule="exact"/>
        <w:ind w:firstLine="600" w:firstLineChars="200"/>
        <w:rPr>
          <w:rFonts w:eastAsia="方正仿宋简体"/>
          <w:sz w:val="30"/>
          <w:szCs w:val="30"/>
        </w:rPr>
      </w:pPr>
      <w:r>
        <w:rPr>
          <w:rFonts w:eastAsia="方正仿宋简体"/>
          <w:sz w:val="30"/>
          <w:szCs w:val="30"/>
        </w:rPr>
        <w:t>投资者应知晓从事期权交易具有风险。投资者应在开户前对自身的经济实力、产品认知能力、风险控制能力、生理及心理承受能力等做出客观判断，应仔细阅读并签字确认《股票期权交易风险揭示书》。</w:t>
      </w:r>
    </w:p>
    <w:p>
      <w:pPr>
        <w:spacing w:line="560" w:lineRule="exact"/>
        <w:ind w:firstLine="600" w:firstLineChars="200"/>
        <w:rPr>
          <w:rFonts w:eastAsia="方正仿宋简体"/>
          <w:sz w:val="30"/>
          <w:szCs w:val="30"/>
        </w:rPr>
      </w:pPr>
      <w:r>
        <w:rPr>
          <w:rFonts w:eastAsia="方正仿宋简体"/>
          <w:sz w:val="30"/>
          <w:szCs w:val="30"/>
        </w:rPr>
        <w:t>（二）知晓期权经营机构不得做获利保证</w:t>
      </w:r>
    </w:p>
    <w:p>
      <w:pPr>
        <w:spacing w:line="560" w:lineRule="exact"/>
        <w:ind w:firstLine="600" w:firstLineChars="200"/>
        <w:rPr>
          <w:rFonts w:eastAsia="方正仿宋简体"/>
          <w:sz w:val="30"/>
          <w:szCs w:val="30"/>
        </w:rPr>
      </w:pPr>
      <w:r>
        <w:rPr>
          <w:rFonts w:eastAsia="方正仿宋简体"/>
          <w:sz w:val="30"/>
          <w:szCs w:val="30"/>
        </w:rPr>
        <w:t>投资者应知晓期权交易中任何获利或者不会发生损失的承诺均为不可能或者是没有根据的，期权经营机构不得与投资者约定分享利益或共担风险。</w:t>
      </w:r>
    </w:p>
    <w:p>
      <w:pPr>
        <w:spacing w:line="560" w:lineRule="exact"/>
        <w:ind w:firstLine="600" w:firstLineChars="200"/>
        <w:rPr>
          <w:rFonts w:eastAsia="方正仿宋简体"/>
          <w:sz w:val="30"/>
          <w:szCs w:val="30"/>
        </w:rPr>
      </w:pPr>
      <w:r>
        <w:rPr>
          <w:rFonts w:eastAsia="方正仿宋简体"/>
          <w:sz w:val="30"/>
          <w:szCs w:val="30"/>
        </w:rPr>
        <w:t>（三）知晓期权经营机构不得接受投资者的全权委托</w:t>
      </w:r>
    </w:p>
    <w:p>
      <w:pPr>
        <w:spacing w:line="560" w:lineRule="exact"/>
        <w:ind w:firstLine="600" w:firstLineChars="200"/>
        <w:rPr>
          <w:rFonts w:eastAsia="方正仿宋简体"/>
          <w:sz w:val="30"/>
          <w:szCs w:val="30"/>
        </w:rPr>
      </w:pPr>
      <w:r>
        <w:rPr>
          <w:rFonts w:eastAsia="方正仿宋简体"/>
          <w:sz w:val="30"/>
          <w:szCs w:val="30"/>
        </w:rPr>
        <w:t>投资者应知晓期权经营机构及其工作人员不得接受投资者的全权委托，投资者也不得要求期权经营机构或其工作人员以全权委托的方式进行期权交易。全权委托指期权经营机构代投资者决定交易指令的内容。</w:t>
      </w:r>
    </w:p>
    <w:p>
      <w:pPr>
        <w:spacing w:line="560" w:lineRule="exact"/>
        <w:ind w:firstLine="600" w:firstLineChars="200"/>
        <w:rPr>
          <w:rFonts w:eastAsia="方正仿宋简体"/>
          <w:sz w:val="30"/>
          <w:szCs w:val="30"/>
        </w:rPr>
      </w:pPr>
      <w:r>
        <w:rPr>
          <w:rFonts w:eastAsia="方正仿宋简体"/>
          <w:sz w:val="30"/>
          <w:szCs w:val="30"/>
        </w:rPr>
        <w:t>（四）知晓投资者本人须对其代理人的代理行为承担民事责任</w:t>
      </w:r>
    </w:p>
    <w:p>
      <w:pPr>
        <w:spacing w:line="560" w:lineRule="exact"/>
        <w:ind w:firstLine="600" w:firstLineChars="200"/>
        <w:rPr>
          <w:rFonts w:eastAsia="方正仿宋简体"/>
          <w:sz w:val="30"/>
          <w:szCs w:val="30"/>
        </w:rPr>
      </w:pPr>
      <w:r>
        <w:rPr>
          <w:rFonts w:eastAsia="方正仿宋简体"/>
          <w:sz w:val="30"/>
          <w:szCs w:val="30"/>
        </w:rPr>
        <w:t>投资者代理人是基于投资者的授权，代理投资者实施民事行为的人，代理人在代理权限内以投资者名义进行的行为即视为投资者自己的行为，代理人向投资者负责，投资者对代理人代理行为的后果承担一切责任。</w:t>
      </w:r>
    </w:p>
    <w:p>
      <w:pPr>
        <w:spacing w:line="560" w:lineRule="exact"/>
        <w:ind w:firstLine="600" w:firstLineChars="200"/>
        <w:rPr>
          <w:rFonts w:eastAsia="方正仿宋简体"/>
          <w:sz w:val="30"/>
          <w:szCs w:val="30"/>
        </w:rPr>
      </w:pPr>
      <w:r>
        <w:rPr>
          <w:rFonts w:eastAsia="方正仿宋简体"/>
          <w:sz w:val="30"/>
          <w:szCs w:val="30"/>
        </w:rPr>
        <w:t>（五）知晓期权保证金安全存管的有关规定</w:t>
      </w:r>
    </w:p>
    <w:p>
      <w:pPr>
        <w:spacing w:line="560" w:lineRule="exact"/>
        <w:ind w:firstLine="600" w:firstLineChars="200"/>
        <w:rPr>
          <w:rFonts w:eastAsia="方正仿宋简体"/>
          <w:sz w:val="30"/>
          <w:szCs w:val="30"/>
        </w:rPr>
      </w:pPr>
      <w:r>
        <w:rPr>
          <w:rFonts w:eastAsia="方正仿宋简体"/>
          <w:sz w:val="30"/>
          <w:szCs w:val="30"/>
        </w:rPr>
        <w:t>为保障期权保证金的安全，投资者应当知晓并遵守中国证监会有关期权保证金存取的规定，应当确保将资金直接存入期权经营机构的客户保证金账户，期权保证金的存取应当通过投资者在期权经营机构登记的期权银行结算账户和期权经营机构的客户期权保证金账户之间转账办理。</w:t>
      </w:r>
    </w:p>
    <w:p>
      <w:pPr>
        <w:spacing w:line="560" w:lineRule="exact"/>
        <w:ind w:firstLine="600" w:firstLineChars="200"/>
        <w:rPr>
          <w:rFonts w:eastAsia="方正仿宋简体"/>
          <w:sz w:val="30"/>
          <w:szCs w:val="30"/>
        </w:rPr>
      </w:pPr>
      <w:r>
        <w:rPr>
          <w:rFonts w:eastAsia="方正仿宋简体"/>
          <w:sz w:val="30"/>
          <w:szCs w:val="30"/>
        </w:rPr>
        <w:t>（六）知晓期权保证金账户和结算资料的查询网址</w:t>
      </w:r>
    </w:p>
    <w:p>
      <w:pPr>
        <w:spacing w:line="560" w:lineRule="exact"/>
        <w:ind w:firstLine="600" w:firstLineChars="200"/>
        <w:rPr>
          <w:rFonts w:eastAsia="方正仿宋简体"/>
          <w:sz w:val="30"/>
          <w:szCs w:val="30"/>
        </w:rPr>
      </w:pPr>
      <w:r>
        <w:rPr>
          <w:rFonts w:eastAsia="方正仿宋简体"/>
          <w:sz w:val="30"/>
          <w:szCs w:val="30"/>
        </w:rPr>
        <w:t>投资者知晓其期权保证金账户和结算资料的查询网址为：（www.sipf.com.cn）或者（www.cfmmc.com）（二者选其一）。</w:t>
      </w:r>
    </w:p>
    <w:p>
      <w:pPr>
        <w:spacing w:line="560" w:lineRule="exact"/>
        <w:ind w:firstLine="600" w:firstLineChars="200"/>
        <w:rPr>
          <w:rFonts w:eastAsia="方正仿宋简体"/>
          <w:sz w:val="30"/>
          <w:szCs w:val="30"/>
        </w:rPr>
      </w:pPr>
      <w:r>
        <w:rPr>
          <w:rFonts w:eastAsia="方正仿宋简体"/>
          <w:sz w:val="30"/>
          <w:szCs w:val="30"/>
        </w:rPr>
        <w:t xml:space="preserve">（七）知晓从业人员资格公示网址 </w:t>
      </w:r>
    </w:p>
    <w:p>
      <w:pPr>
        <w:spacing w:line="560" w:lineRule="exact"/>
        <w:ind w:firstLine="600" w:firstLineChars="200"/>
        <w:rPr>
          <w:rFonts w:eastAsia="方正仿宋简体"/>
          <w:sz w:val="30"/>
          <w:szCs w:val="30"/>
        </w:rPr>
      </w:pPr>
      <w:r>
        <w:rPr>
          <w:rFonts w:eastAsia="方正仿宋简体"/>
          <w:sz w:val="30"/>
          <w:szCs w:val="30"/>
        </w:rPr>
        <w:t>有关从业人员的信息可以通过中国证券业协会网站（www.sac.net.cn）、中国期货业协会网站（www.cfachina.org）进行查询。</w:t>
      </w:r>
    </w:p>
    <w:p>
      <w:pPr>
        <w:spacing w:line="560" w:lineRule="exact"/>
        <w:ind w:firstLine="600" w:firstLineChars="200"/>
        <w:rPr>
          <w:rFonts w:eastAsia="方正仿宋简体"/>
          <w:sz w:val="30"/>
          <w:szCs w:val="30"/>
        </w:rPr>
      </w:pPr>
      <w:r>
        <w:rPr>
          <w:rFonts w:eastAsia="方正仿宋简体"/>
          <w:sz w:val="30"/>
          <w:szCs w:val="30"/>
        </w:rPr>
        <w:t xml:space="preserve">（八）知晓应当妥善保管密码 </w:t>
      </w:r>
    </w:p>
    <w:p>
      <w:pPr>
        <w:spacing w:line="560" w:lineRule="exact"/>
        <w:ind w:firstLine="600" w:firstLineChars="200"/>
        <w:rPr>
          <w:rFonts w:eastAsia="方正仿宋简体"/>
          <w:sz w:val="30"/>
          <w:szCs w:val="30"/>
        </w:rPr>
      </w:pPr>
      <w:r>
        <w:rPr>
          <w:rFonts w:eastAsia="方正仿宋简体"/>
          <w:sz w:val="30"/>
          <w:szCs w:val="30"/>
        </w:rPr>
        <w:t>投资者应当妥善保管自己的交易密码、资金密码、期权保证金安全存管监控机构密码及其他与期权交易相关的密码，凡使用密码进行的所有操作均视为投资者本人的操作，投资者必须承担由于管理不善造成密码泄密所带来的损失。</w:t>
      </w:r>
    </w:p>
    <w:p>
      <w:pPr>
        <w:spacing w:line="560" w:lineRule="exact"/>
        <w:ind w:firstLine="600" w:firstLineChars="200"/>
        <w:rPr>
          <w:rFonts w:eastAsia="方正仿宋简体"/>
          <w:sz w:val="30"/>
          <w:szCs w:val="30"/>
        </w:rPr>
      </w:pPr>
      <w:r>
        <w:rPr>
          <w:rFonts w:eastAsia="方正仿宋简体"/>
          <w:sz w:val="30"/>
          <w:szCs w:val="30"/>
        </w:rPr>
        <w:t>（九）知晓并遵守深圳证券交易所有关异常交易、实际控制关系账户的规定</w:t>
      </w:r>
    </w:p>
    <w:p>
      <w:pPr>
        <w:spacing w:line="560" w:lineRule="exact"/>
        <w:ind w:firstLine="600" w:firstLineChars="200"/>
        <w:rPr>
          <w:rFonts w:eastAsia="方正仿宋简体"/>
          <w:sz w:val="30"/>
          <w:szCs w:val="30"/>
        </w:rPr>
      </w:pPr>
      <w:r>
        <w:rPr>
          <w:rFonts w:eastAsia="方正仿宋简体"/>
          <w:sz w:val="30"/>
          <w:szCs w:val="30"/>
        </w:rPr>
        <w:t xml:space="preserve">投资者应当知晓并遵守深圳证券交易所对自买自卖、频繁报撤单及其他异常交易行为和实际控制关系账户的有关规定。 </w:t>
      </w:r>
    </w:p>
    <w:p>
      <w:pPr>
        <w:spacing w:line="560" w:lineRule="exact"/>
        <w:ind w:firstLine="600" w:firstLineChars="200"/>
        <w:rPr>
          <w:rFonts w:eastAsia="方正仿宋简体"/>
          <w:sz w:val="30"/>
          <w:szCs w:val="30"/>
        </w:rPr>
      </w:pPr>
      <w:r>
        <w:rPr>
          <w:rFonts w:eastAsia="方正仿宋简体"/>
          <w:sz w:val="30"/>
          <w:szCs w:val="30"/>
        </w:rPr>
        <w:t>投资者违反上述规定，经期权经营机构提醒、劝阻、制止无效时，期权经营机构有权采取提高保证金、限制开仓、强行平仓、限制出金、拒绝投资者委托或者终止经纪关系等措施，由此造成的一切损失，均由投资者承担。</w:t>
      </w:r>
      <w:r>
        <w:rPr>
          <w:rFonts w:eastAsia="方正仿宋简体"/>
          <w:sz w:val="30"/>
          <w:szCs w:val="30"/>
        </w:rPr>
        <w:tab/>
      </w:r>
    </w:p>
    <w:p>
      <w:pPr>
        <w:spacing w:line="560" w:lineRule="exact"/>
        <w:ind w:firstLine="600" w:firstLineChars="200"/>
        <w:rPr>
          <w:rFonts w:eastAsia="方正仿宋简体"/>
          <w:sz w:val="30"/>
          <w:szCs w:val="30"/>
        </w:rPr>
      </w:pPr>
      <w:r>
        <w:rPr>
          <w:rFonts w:eastAsia="方正仿宋简体"/>
          <w:sz w:val="30"/>
          <w:szCs w:val="30"/>
        </w:rPr>
        <w:t xml:space="preserve">（十）知晓从事中间介绍业务（      ）公司的有关规定 </w:t>
      </w:r>
    </w:p>
    <w:p>
      <w:pPr>
        <w:spacing w:line="560" w:lineRule="exact"/>
        <w:ind w:firstLine="600" w:firstLineChars="200"/>
        <w:rPr>
          <w:rFonts w:eastAsia="方正仿宋简体"/>
          <w:sz w:val="30"/>
          <w:szCs w:val="30"/>
        </w:rPr>
      </w:pPr>
      <w:r>
        <w:rPr>
          <w:rFonts w:eastAsia="方正仿宋简体"/>
          <w:sz w:val="30"/>
          <w:szCs w:val="30"/>
        </w:rPr>
        <w:t xml:space="preserve">（      ）公司从事中间介绍业务限于以下服务内容： </w:t>
      </w:r>
    </w:p>
    <w:p>
      <w:pPr>
        <w:spacing w:line="560" w:lineRule="exact"/>
        <w:ind w:firstLine="600" w:firstLineChars="200"/>
        <w:rPr>
          <w:rFonts w:eastAsia="方正仿宋简体"/>
          <w:sz w:val="30"/>
          <w:szCs w:val="30"/>
        </w:rPr>
      </w:pPr>
      <w:r>
        <w:rPr>
          <w:rFonts w:eastAsia="方正仿宋简体"/>
          <w:sz w:val="30"/>
          <w:szCs w:val="30"/>
        </w:rPr>
        <w:t xml:space="preserve">1．协助办理开户手续； </w:t>
      </w:r>
    </w:p>
    <w:p>
      <w:pPr>
        <w:spacing w:line="560" w:lineRule="exact"/>
        <w:ind w:firstLine="600" w:firstLineChars="200"/>
        <w:rPr>
          <w:rFonts w:eastAsia="方正仿宋简体"/>
          <w:sz w:val="30"/>
          <w:szCs w:val="30"/>
        </w:rPr>
      </w:pPr>
      <w:r>
        <w:rPr>
          <w:rFonts w:eastAsia="方正仿宋简体"/>
          <w:sz w:val="30"/>
          <w:szCs w:val="30"/>
        </w:rPr>
        <w:t xml:space="preserve">2．提供期权行情信息、交易设施； </w:t>
      </w:r>
    </w:p>
    <w:p>
      <w:pPr>
        <w:spacing w:line="560" w:lineRule="exact"/>
        <w:ind w:firstLine="600" w:firstLineChars="200"/>
        <w:rPr>
          <w:rFonts w:eastAsia="方正仿宋简体"/>
          <w:sz w:val="30"/>
          <w:szCs w:val="30"/>
        </w:rPr>
      </w:pPr>
      <w:r>
        <w:rPr>
          <w:rFonts w:eastAsia="方正仿宋简体"/>
          <w:sz w:val="30"/>
          <w:szCs w:val="30"/>
        </w:rPr>
        <w:t xml:space="preserve">3．协助（   ）公司向投资者提示风险； </w:t>
      </w:r>
    </w:p>
    <w:p>
      <w:pPr>
        <w:spacing w:line="560" w:lineRule="exact"/>
        <w:ind w:firstLine="600" w:firstLineChars="200"/>
        <w:rPr>
          <w:rFonts w:eastAsia="方正仿宋简体"/>
          <w:sz w:val="30"/>
          <w:szCs w:val="30"/>
        </w:rPr>
      </w:pPr>
      <w:r>
        <w:rPr>
          <w:rFonts w:eastAsia="方正仿宋简体"/>
          <w:sz w:val="30"/>
          <w:szCs w:val="30"/>
        </w:rPr>
        <w:t xml:space="preserve">4．中国证监会规定的其他服务。 </w:t>
      </w:r>
    </w:p>
    <w:p>
      <w:pPr>
        <w:spacing w:line="560" w:lineRule="exact"/>
        <w:ind w:firstLine="600" w:firstLineChars="200"/>
        <w:rPr>
          <w:rFonts w:eastAsia="方正仿宋简体"/>
          <w:sz w:val="30"/>
          <w:szCs w:val="30"/>
        </w:rPr>
      </w:pPr>
      <w:r>
        <w:rPr>
          <w:rFonts w:eastAsia="方正仿宋简体"/>
          <w:sz w:val="30"/>
          <w:szCs w:val="30"/>
        </w:rPr>
        <w:t>从事中间介绍业务的（   ）公司不得代理投资者进行期权交易、结算或交割，不得代（    ）公司、投资者收付期权保证金，不得代投资者下达交易指令，不得利用投资者开展期权交易的合约及保证金账户进行期权交易，不得代投资者接收、保管或者修改交易密码，不得为投资者从事期权交易提供融资或担保。</w:t>
      </w:r>
    </w:p>
    <w:p>
      <w:pPr>
        <w:spacing w:line="560" w:lineRule="exact"/>
        <w:ind w:firstLine="600" w:firstLineChars="200"/>
        <w:rPr>
          <w:rFonts w:eastAsia="方正仿宋简体"/>
          <w:sz w:val="30"/>
          <w:szCs w:val="30"/>
        </w:rPr>
      </w:pPr>
      <w:r>
        <w:rPr>
          <w:rFonts w:eastAsia="方正仿宋简体"/>
          <w:sz w:val="30"/>
          <w:szCs w:val="30"/>
        </w:rPr>
        <w:t>（十一）知晓反洗钱法律法规的有关规定</w:t>
      </w:r>
    </w:p>
    <w:p>
      <w:pPr>
        <w:spacing w:line="560" w:lineRule="exact"/>
        <w:ind w:firstLine="600" w:firstLineChars="200"/>
        <w:rPr>
          <w:rFonts w:eastAsia="方正仿宋简体"/>
          <w:sz w:val="30"/>
          <w:szCs w:val="30"/>
        </w:rPr>
      </w:pPr>
      <w:r>
        <w:rPr>
          <w:rFonts w:eastAsia="方正仿宋简体"/>
          <w:sz w:val="30"/>
          <w:szCs w:val="30"/>
        </w:rPr>
        <w:t xml:space="preserve">投资者应当知晓不得利用期权账户从事洗钱活动，知晓期权经营机构作为金融机构承担反洗钱义务，投资者应积极配合期权经营机构开展反洗钱工作，包括但不限于投资者身份识别、可疑交易报告、风险等级划分、账户实际控制关系申报等。 </w:t>
      </w:r>
    </w:p>
    <w:p>
      <w:pPr>
        <w:spacing w:line="560" w:lineRule="exact"/>
        <w:ind w:firstLine="600" w:firstLineChars="200"/>
        <w:rPr>
          <w:rFonts w:eastAsia="方正仿宋简体"/>
          <w:sz w:val="30"/>
          <w:szCs w:val="30"/>
        </w:rPr>
      </w:pPr>
      <w:r>
        <w:rPr>
          <w:rFonts w:eastAsia="方正仿宋简体"/>
          <w:sz w:val="30"/>
          <w:szCs w:val="30"/>
        </w:rPr>
        <w:t>投资者存在洗钱行为的，需要承担法律责任，构成犯罪的，将被追究刑事责任。</w:t>
      </w:r>
      <w:r>
        <w:rPr>
          <w:rFonts w:eastAsia="方正仿宋简体"/>
          <w:sz w:val="30"/>
          <w:szCs w:val="30"/>
        </w:rPr>
        <w:tab/>
      </w:r>
    </w:p>
    <w:p>
      <w:pPr>
        <w:spacing w:line="560" w:lineRule="exact"/>
        <w:ind w:firstLine="600" w:firstLineChars="200"/>
        <w:rPr>
          <w:rFonts w:eastAsia="方正仿宋简体"/>
          <w:sz w:val="30"/>
          <w:szCs w:val="30"/>
        </w:rPr>
      </w:pPr>
      <w:r>
        <w:rPr>
          <w:rFonts w:eastAsia="方正仿宋简体"/>
          <w:sz w:val="30"/>
          <w:szCs w:val="30"/>
        </w:rPr>
        <w:t>（十二）知晓投资者适当性制度的有关规定</w:t>
      </w:r>
    </w:p>
    <w:p>
      <w:pPr>
        <w:spacing w:line="560" w:lineRule="exact"/>
        <w:ind w:firstLine="600" w:firstLineChars="200"/>
        <w:rPr>
          <w:rFonts w:eastAsia="方正仿宋简体"/>
          <w:sz w:val="30"/>
          <w:szCs w:val="30"/>
        </w:rPr>
      </w:pPr>
      <w:r>
        <w:rPr>
          <w:rFonts w:eastAsia="方正仿宋简体"/>
          <w:sz w:val="30"/>
          <w:szCs w:val="30"/>
        </w:rPr>
        <w:t>期权经营机构根据法律、法规、规章、深圳证券交易所、中国证券登记结算有限责任公司以及其他行业自律机构的业务规则的各项要求，对投资者进行适当性评价。评价结果不构成对投资者的投资建议，不构成对投资者的获利保证。</w:t>
      </w:r>
    </w:p>
    <w:p>
      <w:pPr>
        <w:spacing w:line="560" w:lineRule="exact"/>
        <w:ind w:firstLine="600" w:firstLineChars="200"/>
        <w:rPr>
          <w:rFonts w:eastAsia="方正仿宋简体"/>
          <w:sz w:val="30"/>
          <w:szCs w:val="30"/>
        </w:rPr>
      </w:pPr>
      <w:r>
        <w:rPr>
          <w:rFonts w:eastAsia="方正仿宋简体"/>
          <w:sz w:val="30"/>
          <w:szCs w:val="30"/>
        </w:rPr>
        <w:t>投资者应当根据投资者适当性管理制度的要求及自身的风险承受能力，审慎决定是否参与期权交易，不得以不符合适当性标准为由拒绝承担期权交易结果与履约责任。</w:t>
      </w:r>
      <w:r>
        <w:rPr>
          <w:rFonts w:eastAsia="方正仿宋简体"/>
          <w:sz w:val="30"/>
          <w:szCs w:val="30"/>
        </w:rPr>
        <w:tab/>
      </w:r>
    </w:p>
    <w:p>
      <w:pPr>
        <w:adjustRightInd w:val="0"/>
        <w:spacing w:line="560" w:lineRule="exact"/>
        <w:ind w:firstLine="600" w:firstLineChars="200"/>
        <w:rPr>
          <w:rFonts w:eastAsia="方正仿宋简体"/>
          <w:bCs/>
          <w:color w:val="4F81BD"/>
          <w:sz w:val="30"/>
          <w:szCs w:val="30"/>
        </w:rPr>
      </w:pPr>
    </w:p>
    <w:p>
      <w:pPr>
        <w:spacing w:line="560" w:lineRule="exact"/>
        <w:ind w:firstLine="600" w:firstLineChars="200"/>
        <w:jc w:val="left"/>
        <w:rPr>
          <w:rFonts w:eastAsia="方正仿宋简体"/>
          <w:sz w:val="30"/>
          <w:szCs w:val="30"/>
          <w:u w:val="single"/>
        </w:rPr>
      </w:pPr>
      <w:r>
        <w:rPr>
          <w:rFonts w:eastAsia="方正仿宋简体"/>
          <w:sz w:val="30"/>
          <w:szCs w:val="30"/>
          <w:u w:val="single"/>
        </w:rPr>
        <w:t>以上《投资者须知》的各项内容，本人/单位已阅读并完全理解。</w:t>
      </w:r>
      <w:r>
        <w:rPr>
          <w:rFonts w:eastAsia="方正仿宋简体"/>
          <w:sz w:val="30"/>
          <w:szCs w:val="30"/>
        </w:rPr>
        <w:t xml:space="preserve">                                                                      （请抄写以上划线部分）</w:t>
      </w:r>
    </w:p>
    <w:p>
      <w:pPr>
        <w:spacing w:line="560" w:lineRule="exact"/>
        <w:rPr>
          <w:rFonts w:eastAsia="方正仿宋简体"/>
          <w:sz w:val="30"/>
          <w:szCs w:val="30"/>
          <w:u w:val="single"/>
        </w:rPr>
      </w:pPr>
      <w:r>
        <w:rPr>
          <w:rFonts w:eastAsia="方正仿宋简体"/>
          <w:sz w:val="30"/>
          <w:szCs w:val="30"/>
          <w:u w:val="single"/>
        </w:rPr>
        <w:t xml:space="preserve">                                                        </w:t>
      </w:r>
    </w:p>
    <w:p>
      <w:pPr>
        <w:adjustRightInd w:val="0"/>
        <w:snapToGrid w:val="0"/>
        <w:spacing w:line="560" w:lineRule="exact"/>
        <w:rPr>
          <w:rFonts w:eastAsia="方正仿宋简体"/>
          <w:sz w:val="30"/>
          <w:szCs w:val="30"/>
        </w:rPr>
      </w:pPr>
    </w:p>
    <w:p>
      <w:pPr>
        <w:adjustRightInd w:val="0"/>
        <w:snapToGrid w:val="0"/>
        <w:spacing w:line="560" w:lineRule="exact"/>
        <w:ind w:firstLine="5572"/>
        <w:rPr>
          <w:rFonts w:eastAsia="方正仿宋简体"/>
          <w:b/>
          <w:sz w:val="30"/>
          <w:szCs w:val="30"/>
        </w:rPr>
      </w:pPr>
      <w:r>
        <w:rPr>
          <w:rFonts w:eastAsia="方正仿宋简体"/>
          <w:b/>
          <w:sz w:val="30"/>
          <w:szCs w:val="30"/>
        </w:rPr>
        <w:t>自然人投资者</w:t>
      </w:r>
    </w:p>
    <w:p>
      <w:pPr>
        <w:adjustRightInd w:val="0"/>
        <w:snapToGrid w:val="0"/>
        <w:spacing w:line="560" w:lineRule="exact"/>
        <w:rPr>
          <w:rFonts w:eastAsia="方正仿宋简体"/>
          <w:sz w:val="30"/>
          <w:szCs w:val="30"/>
          <w:u w:val="single"/>
        </w:rPr>
      </w:pPr>
      <w:r>
        <w:rPr>
          <w:rFonts w:eastAsia="方正仿宋简体"/>
          <w:sz w:val="30"/>
          <w:szCs w:val="30"/>
        </w:rPr>
        <w:t>甲方（签字）：</w:t>
      </w:r>
    </w:p>
    <w:p>
      <w:pPr>
        <w:adjustRightInd w:val="0"/>
        <w:snapToGrid w:val="0"/>
        <w:spacing w:line="560" w:lineRule="exact"/>
        <w:rPr>
          <w:rFonts w:eastAsia="方正仿宋简体"/>
          <w:sz w:val="30"/>
          <w:szCs w:val="30"/>
        </w:rPr>
      </w:pPr>
      <w:r>
        <w:rPr>
          <w:rFonts w:eastAsia="方正仿宋简体"/>
          <w:sz w:val="30"/>
          <w:szCs w:val="30"/>
        </w:rPr>
        <w:t xml:space="preserve">        </w:t>
      </w:r>
    </w:p>
    <w:p>
      <w:pPr>
        <w:adjustRightInd w:val="0"/>
        <w:snapToGrid w:val="0"/>
        <w:spacing w:line="560" w:lineRule="exact"/>
        <w:ind w:firstLine="5572"/>
        <w:rPr>
          <w:rFonts w:eastAsia="方正仿宋简体"/>
          <w:b/>
          <w:sz w:val="30"/>
          <w:szCs w:val="30"/>
        </w:rPr>
      </w:pPr>
      <w:r>
        <w:rPr>
          <w:rFonts w:eastAsia="方正仿宋简体"/>
          <w:b/>
          <w:sz w:val="30"/>
          <w:szCs w:val="30"/>
        </w:rPr>
        <w:t>机构投资者</w:t>
      </w:r>
    </w:p>
    <w:p>
      <w:pPr>
        <w:adjustRightInd w:val="0"/>
        <w:snapToGrid w:val="0"/>
        <w:spacing w:line="560" w:lineRule="exact"/>
        <w:jc w:val="left"/>
        <w:rPr>
          <w:rFonts w:eastAsia="方正仿宋简体"/>
          <w:sz w:val="30"/>
          <w:szCs w:val="30"/>
          <w:u w:val="single"/>
        </w:rPr>
      </w:pPr>
      <w:r>
        <w:rPr>
          <w:rFonts w:eastAsia="方正仿宋简体"/>
          <w:sz w:val="30"/>
          <w:szCs w:val="30"/>
        </w:rPr>
        <w:t>甲方名称：</w:t>
      </w:r>
    </w:p>
    <w:p>
      <w:pPr>
        <w:adjustRightInd w:val="0"/>
        <w:snapToGrid w:val="0"/>
        <w:spacing w:line="560" w:lineRule="exact"/>
        <w:jc w:val="left"/>
        <w:rPr>
          <w:rFonts w:eastAsia="方正仿宋简体"/>
          <w:sz w:val="30"/>
          <w:szCs w:val="30"/>
        </w:rPr>
      </w:pPr>
      <w:r>
        <w:rPr>
          <w:rFonts w:eastAsia="方正仿宋简体"/>
          <w:sz w:val="30"/>
          <w:szCs w:val="30"/>
        </w:rPr>
        <w:t>（加盖公章）</w:t>
      </w:r>
    </w:p>
    <w:p>
      <w:pPr>
        <w:adjustRightInd w:val="0"/>
        <w:snapToGrid w:val="0"/>
        <w:spacing w:line="560" w:lineRule="exact"/>
        <w:rPr>
          <w:rFonts w:eastAsia="方正仿宋简体"/>
          <w:sz w:val="30"/>
          <w:szCs w:val="30"/>
        </w:rPr>
      </w:pPr>
      <w:r>
        <w:rPr>
          <w:rFonts w:eastAsia="方正仿宋简体"/>
          <w:sz w:val="30"/>
          <w:szCs w:val="30"/>
        </w:rPr>
        <w:t xml:space="preserve">委托代理人： </w:t>
      </w:r>
    </w:p>
    <w:p>
      <w:pPr>
        <w:adjustRightInd w:val="0"/>
        <w:snapToGrid w:val="0"/>
        <w:spacing w:line="560" w:lineRule="exact"/>
        <w:rPr>
          <w:rFonts w:eastAsia="方正仿宋简体"/>
          <w:sz w:val="30"/>
          <w:szCs w:val="30"/>
        </w:rPr>
      </w:pPr>
      <w:r>
        <w:rPr>
          <w:rFonts w:eastAsia="方正仿宋简体"/>
          <w:sz w:val="30"/>
          <w:szCs w:val="30"/>
        </w:rPr>
        <w:t xml:space="preserve">（签字）           </w:t>
      </w:r>
    </w:p>
    <w:p>
      <w:pPr>
        <w:adjustRightInd w:val="0"/>
        <w:snapToGrid w:val="0"/>
        <w:spacing w:line="560" w:lineRule="exact"/>
        <w:jc w:val="right"/>
        <w:rPr>
          <w:rFonts w:eastAsia="方正仿宋简体"/>
          <w:sz w:val="30"/>
          <w:szCs w:val="30"/>
        </w:rPr>
      </w:pPr>
    </w:p>
    <w:p>
      <w:pPr>
        <w:adjustRightInd w:val="0"/>
        <w:snapToGrid w:val="0"/>
        <w:spacing w:line="560" w:lineRule="exact"/>
        <w:jc w:val="right"/>
        <w:rPr>
          <w:rFonts w:eastAsia="方正仿宋简体"/>
          <w:sz w:val="30"/>
          <w:szCs w:val="30"/>
        </w:rPr>
      </w:pPr>
      <w:r>
        <w:rPr>
          <w:rFonts w:eastAsia="方正仿宋简体"/>
          <w:vanish/>
          <w:sz w:val="30"/>
          <w:szCs w:val="30"/>
        </w:rPr>
        <w:cr/>
      </w:r>
      <w:r>
        <w:rPr>
          <w:rFonts w:eastAsia="方正仿宋简体"/>
          <w:vanish/>
          <w:sz w:val="30"/>
          <w:szCs w:val="30"/>
        </w:rPr>
        <w:t xml:space="preserve">  </w:t>
      </w:r>
      <w:r>
        <w:rPr>
          <w:rFonts w:eastAsia="方正仿宋简体"/>
          <w:sz w:val="30"/>
          <w:szCs w:val="30"/>
        </w:rPr>
        <w:t>签署日期：</w:t>
      </w:r>
      <w:r>
        <w:rPr>
          <w:rFonts w:eastAsia="方正仿宋简体"/>
          <w:sz w:val="30"/>
          <w:szCs w:val="30"/>
          <w:u w:val="single"/>
        </w:rPr>
        <w:t xml:space="preserve">      </w:t>
      </w:r>
      <w:r>
        <w:rPr>
          <w:rFonts w:eastAsia="方正仿宋简体"/>
          <w:sz w:val="30"/>
          <w:szCs w:val="30"/>
        </w:rPr>
        <w:t>年</w:t>
      </w:r>
      <w:r>
        <w:rPr>
          <w:rFonts w:eastAsia="方正仿宋简体"/>
          <w:sz w:val="30"/>
          <w:szCs w:val="30"/>
          <w:u w:val="single"/>
        </w:rPr>
        <w:t xml:space="preserve">    </w:t>
      </w:r>
      <w:r>
        <w:rPr>
          <w:rFonts w:eastAsia="方正仿宋简体"/>
          <w:sz w:val="30"/>
          <w:szCs w:val="30"/>
        </w:rPr>
        <w:t>月</w:t>
      </w:r>
      <w:r>
        <w:rPr>
          <w:rFonts w:eastAsia="方正仿宋简体"/>
          <w:sz w:val="30"/>
          <w:szCs w:val="30"/>
          <w:u w:val="single"/>
        </w:rPr>
        <w:t xml:space="preserve">    </w:t>
      </w:r>
      <w:r>
        <w:rPr>
          <w:rFonts w:eastAsia="方正仿宋简体"/>
          <w:sz w:val="30"/>
          <w:szCs w:val="30"/>
        </w:rPr>
        <w:t>日</w:t>
      </w:r>
    </w:p>
    <w:p>
      <w:pPr>
        <w:spacing w:line="560" w:lineRule="exact"/>
        <w:rPr>
          <w:rFonts w:eastAsia="方正仿宋简体"/>
          <w:sz w:val="28"/>
          <w:szCs w:val="28"/>
        </w:rPr>
      </w:pPr>
      <w:r>
        <w:rPr>
          <w:rFonts w:eastAsia="方正仿宋简体"/>
          <w:sz w:val="38"/>
          <w:szCs w:val="38"/>
        </w:rPr>
        <w:br w:type="page"/>
      </w:r>
    </w:p>
    <w:p>
      <w:pPr>
        <w:autoSpaceDN w:val="0"/>
        <w:spacing w:line="560" w:lineRule="exact"/>
        <w:jc w:val="center"/>
        <w:rPr>
          <w:rFonts w:eastAsia="方正仿宋简体"/>
          <w:bCs/>
          <w:kern w:val="44"/>
          <w:sz w:val="30"/>
          <w:szCs w:val="30"/>
        </w:rPr>
      </w:pPr>
      <w:r>
        <w:rPr>
          <w:rFonts w:ascii="黑体" w:hAnsi="黑体" w:eastAsia="黑体"/>
          <w:sz w:val="30"/>
          <w:szCs w:val="30"/>
        </w:rPr>
        <w:t>经纪合同示范文本</w:t>
      </w:r>
    </w:p>
    <w:p>
      <w:pPr>
        <w:spacing w:line="560" w:lineRule="exact"/>
        <w:jc w:val="center"/>
        <w:rPr>
          <w:rFonts w:eastAsia="方正仿宋简体"/>
          <w:kern w:val="44"/>
          <w:sz w:val="28"/>
          <w:szCs w:val="28"/>
        </w:rPr>
      </w:pP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00" w:firstLineChars="200"/>
        <w:jc w:val="left"/>
        <w:rPr>
          <w:rFonts w:eastAsia="方正仿宋简体"/>
          <w:kern w:val="0"/>
          <w:sz w:val="30"/>
          <w:szCs w:val="30"/>
          <w:u w:val="single"/>
          <w:lang w:val="zh-CN" w:eastAsia="zh-CN"/>
        </w:rPr>
      </w:pPr>
      <w:r>
        <w:rPr>
          <w:rFonts w:eastAsia="方正仿宋简体"/>
          <w:kern w:val="0"/>
          <w:sz w:val="30"/>
          <w:szCs w:val="30"/>
          <w:lang w:val="zh-CN" w:eastAsia="zh-CN"/>
        </w:rPr>
        <w:t>甲方：</w:t>
      </w:r>
      <w:r>
        <w:rPr>
          <w:rFonts w:eastAsia="方正仿宋简体"/>
          <w:kern w:val="0"/>
          <w:sz w:val="30"/>
          <w:szCs w:val="30"/>
          <w:u w:val="single"/>
          <w:lang w:val="zh-CN" w:eastAsia="zh-CN"/>
        </w:rPr>
        <w:t xml:space="preserve">                    </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00" w:firstLineChars="200"/>
        <w:jc w:val="left"/>
        <w:rPr>
          <w:rFonts w:eastAsia="方正仿宋简体"/>
          <w:kern w:val="0"/>
          <w:sz w:val="30"/>
          <w:szCs w:val="30"/>
          <w:lang w:val="zh-CN" w:eastAsia="zh-CN"/>
        </w:rPr>
      </w:pPr>
      <w:r>
        <w:rPr>
          <w:rFonts w:eastAsia="方正仿宋简体"/>
          <w:kern w:val="0"/>
          <w:sz w:val="30"/>
          <w:szCs w:val="30"/>
          <w:lang w:val="zh-CN" w:eastAsia="zh-CN"/>
        </w:rPr>
        <w:t>乙方：</w:t>
      </w:r>
      <w:r>
        <w:rPr>
          <w:rFonts w:eastAsia="方正仿宋简体"/>
          <w:kern w:val="0"/>
          <w:sz w:val="30"/>
          <w:szCs w:val="30"/>
          <w:u w:val="single"/>
          <w:lang w:val="zh-CN" w:eastAsia="zh-CN"/>
        </w:rPr>
        <w:t xml:space="preserve">                    </w:t>
      </w:r>
      <w:r>
        <w:rPr>
          <w:rFonts w:eastAsia="方正仿宋简体"/>
          <w:kern w:val="0"/>
          <w:sz w:val="30"/>
          <w:szCs w:val="30"/>
          <w:lang w:val="zh-CN" w:eastAsia="zh-CN"/>
        </w:rPr>
        <w:t>（期权经营机构法人）</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00" w:firstLineChars="200"/>
        <w:jc w:val="left"/>
        <w:rPr>
          <w:rFonts w:eastAsia="方正仿宋简体"/>
          <w:kern w:val="0"/>
          <w:sz w:val="30"/>
          <w:szCs w:val="30"/>
          <w:lang w:val="zh-CN" w:eastAsia="zh-CN"/>
        </w:rPr>
      </w:pPr>
    </w:p>
    <w:p>
      <w:pPr>
        <w:widowControl/>
        <w:spacing w:line="560" w:lineRule="exact"/>
        <w:jc w:val="left"/>
        <w:rPr>
          <w:rFonts w:eastAsia="方正仿宋简体"/>
          <w:kern w:val="0"/>
          <w:sz w:val="30"/>
          <w:szCs w:val="30"/>
        </w:rPr>
      </w:pPr>
      <w:r>
        <w:rPr>
          <w:rFonts w:eastAsia="方正仿宋简体"/>
          <w:kern w:val="0"/>
          <w:sz w:val="30"/>
          <w:szCs w:val="30"/>
        </w:rPr>
        <w:t xml:space="preserve">    甲、乙双方经过平等协商，就乙方为甲方提供股票期权（以下简称期权）交易经纪服务的有关事项订立本合同。</w:t>
      </w:r>
    </w:p>
    <w:p>
      <w:pPr>
        <w:widowControl/>
        <w:spacing w:line="560" w:lineRule="exact"/>
        <w:jc w:val="left"/>
        <w:rPr>
          <w:rFonts w:eastAsia="方正仿宋简体"/>
          <w:kern w:val="0"/>
          <w:sz w:val="28"/>
          <w:szCs w:val="28"/>
        </w:rPr>
      </w:pPr>
    </w:p>
    <w:p>
      <w:pPr>
        <w:keepNext/>
        <w:keepLines/>
        <w:numPr>
          <w:ilvl w:val="0"/>
          <w:numId w:val="128"/>
        </w:numPr>
        <w:spacing w:line="560" w:lineRule="exact"/>
        <w:ind w:left="420"/>
        <w:jc w:val="center"/>
        <w:rPr>
          <w:rFonts w:ascii="黑体" w:hAnsi="黑体" w:eastAsia="黑体"/>
          <w:bCs/>
          <w:kern w:val="44"/>
          <w:sz w:val="30"/>
          <w:szCs w:val="30"/>
        </w:rPr>
      </w:pPr>
      <w:r>
        <w:rPr>
          <w:rFonts w:ascii="黑体" w:hAnsi="黑体" w:eastAsia="黑体"/>
          <w:bCs/>
          <w:kern w:val="44"/>
          <w:sz w:val="30"/>
          <w:szCs w:val="30"/>
        </w:rPr>
        <w:t>声明与承诺</w:t>
      </w:r>
    </w:p>
    <w:p>
      <w:pPr>
        <w:numPr>
          <w:ilvl w:val="0"/>
          <w:numId w:val="129"/>
        </w:numPr>
        <w:adjustRightInd w:val="0"/>
        <w:spacing w:line="560" w:lineRule="exact"/>
        <w:ind w:left="0" w:firstLine="600" w:firstLineChars="200"/>
        <w:rPr>
          <w:rFonts w:eastAsia="方正仿宋简体"/>
          <w:bCs/>
          <w:sz w:val="30"/>
          <w:szCs w:val="30"/>
        </w:rPr>
      </w:pPr>
      <w:r>
        <w:rPr>
          <w:rFonts w:eastAsia="方正仿宋简体"/>
          <w:bCs/>
          <w:sz w:val="30"/>
          <w:szCs w:val="30"/>
        </w:rPr>
        <w:t>乙方向甲方作如下声明和承诺：</w:t>
      </w:r>
    </w:p>
    <w:p>
      <w:pPr>
        <w:adjustRightInd w:val="0"/>
        <w:spacing w:line="560" w:lineRule="exact"/>
        <w:ind w:firstLine="600" w:firstLineChars="200"/>
        <w:rPr>
          <w:rFonts w:eastAsia="方正仿宋简体"/>
          <w:bCs/>
          <w:sz w:val="30"/>
          <w:szCs w:val="30"/>
        </w:rPr>
      </w:pPr>
      <w:r>
        <w:rPr>
          <w:rFonts w:eastAsia="方正仿宋简体"/>
          <w:bCs/>
          <w:sz w:val="30"/>
          <w:szCs w:val="30"/>
        </w:rPr>
        <w:t>1. 乙方是依法设立的期权经营机构，具有相应的期权经纪业务资格；</w:t>
      </w:r>
    </w:p>
    <w:p>
      <w:pPr>
        <w:adjustRightInd w:val="0"/>
        <w:spacing w:line="560" w:lineRule="exact"/>
        <w:ind w:firstLine="600" w:firstLineChars="200"/>
        <w:rPr>
          <w:rFonts w:eastAsia="方正仿宋简体"/>
          <w:bCs/>
          <w:sz w:val="30"/>
          <w:szCs w:val="30"/>
        </w:rPr>
      </w:pPr>
      <w:r>
        <w:rPr>
          <w:rFonts w:eastAsia="方正仿宋简体"/>
          <w:bCs/>
          <w:sz w:val="30"/>
          <w:szCs w:val="30"/>
        </w:rPr>
        <w:t>2. 乙方具有开展期权经纪业务的必要条件，能够为甲方的期权交易提供相应的服务；</w:t>
      </w:r>
    </w:p>
    <w:p>
      <w:pPr>
        <w:adjustRightInd w:val="0"/>
        <w:spacing w:line="560" w:lineRule="exact"/>
        <w:ind w:firstLine="600" w:firstLineChars="200"/>
        <w:rPr>
          <w:rFonts w:eastAsia="方正仿宋简体"/>
          <w:bCs/>
          <w:sz w:val="30"/>
          <w:szCs w:val="30"/>
        </w:rPr>
      </w:pPr>
      <w:r>
        <w:rPr>
          <w:rFonts w:eastAsia="方正仿宋简体"/>
          <w:bCs/>
          <w:sz w:val="30"/>
          <w:szCs w:val="30"/>
        </w:rPr>
        <w:t xml:space="preserve">3. 乙方承诺遵守有关法律、法规、规章、深圳证券交易所（以下简称深交所）以及中国证券登记结算有限责任公司（以下简称中国结算）业务规则，不接受投资者的全权交易委托，不对投资者的投资收益或亏损进行任何形式的保证，不编造或传播虚假信息误导投资者，不诱使投资者进行不必要的期权交易； </w:t>
      </w:r>
    </w:p>
    <w:p>
      <w:pPr>
        <w:adjustRightInd w:val="0"/>
        <w:spacing w:line="560" w:lineRule="exact"/>
        <w:ind w:firstLine="600" w:firstLineChars="200"/>
        <w:rPr>
          <w:rFonts w:eastAsia="方正仿宋简体"/>
          <w:bCs/>
          <w:sz w:val="30"/>
          <w:szCs w:val="30"/>
        </w:rPr>
      </w:pPr>
      <w:r>
        <w:rPr>
          <w:rFonts w:eastAsia="方正仿宋简体"/>
          <w:bCs/>
          <w:sz w:val="30"/>
          <w:szCs w:val="30"/>
        </w:rPr>
        <w:t>4. 乙方承诺遵守本合同，按本合同为甲方提供期权交易经纪服务。</w:t>
      </w:r>
    </w:p>
    <w:p>
      <w:pPr>
        <w:numPr>
          <w:ilvl w:val="0"/>
          <w:numId w:val="129"/>
        </w:numPr>
        <w:adjustRightInd w:val="0"/>
        <w:spacing w:line="560" w:lineRule="exact"/>
        <w:ind w:left="0" w:firstLine="600" w:firstLineChars="200"/>
        <w:rPr>
          <w:rFonts w:eastAsia="方正仿宋简体"/>
          <w:bCs/>
          <w:sz w:val="30"/>
          <w:szCs w:val="30"/>
        </w:rPr>
      </w:pPr>
      <w:r>
        <w:rPr>
          <w:rFonts w:eastAsia="方正仿宋简体"/>
          <w:bCs/>
          <w:sz w:val="30"/>
          <w:szCs w:val="30"/>
        </w:rPr>
        <w:t>甲方向乙方作如下声明和承诺：</w:t>
      </w:r>
    </w:p>
    <w:p>
      <w:pPr>
        <w:adjustRightInd w:val="0"/>
        <w:spacing w:line="560" w:lineRule="exact"/>
        <w:ind w:firstLine="600" w:firstLineChars="200"/>
        <w:rPr>
          <w:rFonts w:eastAsia="方正仿宋简体"/>
          <w:bCs/>
          <w:sz w:val="30"/>
          <w:szCs w:val="30"/>
        </w:rPr>
      </w:pPr>
      <w:r>
        <w:rPr>
          <w:rFonts w:eastAsia="方正仿宋简体"/>
          <w:bCs/>
          <w:sz w:val="30"/>
          <w:szCs w:val="30"/>
        </w:rPr>
        <w:t>1. 甲方具有合法的期权投资资格，不存在法律、法规、规章、深交所及中国结算的业务规则禁止或限制其进行期权交易的情形；</w:t>
      </w:r>
    </w:p>
    <w:p>
      <w:pPr>
        <w:adjustRightInd w:val="0"/>
        <w:spacing w:line="560" w:lineRule="exact"/>
        <w:ind w:firstLine="600" w:firstLineChars="200"/>
        <w:rPr>
          <w:rFonts w:eastAsia="方正仿宋简体"/>
          <w:bCs/>
          <w:sz w:val="30"/>
          <w:szCs w:val="30"/>
        </w:rPr>
      </w:pPr>
      <w:r>
        <w:rPr>
          <w:rFonts w:eastAsia="方正仿宋简体"/>
          <w:bCs/>
          <w:sz w:val="30"/>
          <w:szCs w:val="30"/>
        </w:rPr>
        <w:t>2. 甲方保证在其与乙方本合同关系存续期内向乙方提供的所有证件、资料均真实、准确、完整、合法，并保证其资金来源合法；</w:t>
      </w:r>
    </w:p>
    <w:p>
      <w:pPr>
        <w:adjustRightInd w:val="0"/>
        <w:spacing w:line="560" w:lineRule="exact"/>
        <w:ind w:firstLine="600" w:firstLineChars="200"/>
        <w:rPr>
          <w:rFonts w:eastAsia="方正仿宋简体"/>
          <w:bCs/>
          <w:sz w:val="30"/>
          <w:szCs w:val="30"/>
        </w:rPr>
      </w:pPr>
      <w:r>
        <w:rPr>
          <w:rFonts w:eastAsia="方正仿宋简体"/>
          <w:bCs/>
          <w:sz w:val="30"/>
          <w:szCs w:val="30"/>
        </w:rPr>
        <w:t>3. 甲方已阅读并充分理解乙方向其提供的《风险揭示书》《投资者须知》，清楚认识并愿意承担期权市场投资风险；甲方已详细阅读本合同所有条款，并准确理解其含义，特别是其中有关乙方的免责条款；</w:t>
      </w:r>
    </w:p>
    <w:p>
      <w:pPr>
        <w:adjustRightInd w:val="0"/>
        <w:spacing w:line="560" w:lineRule="exact"/>
        <w:ind w:firstLine="600" w:firstLineChars="200"/>
        <w:rPr>
          <w:rFonts w:eastAsia="方正仿宋简体"/>
          <w:bCs/>
          <w:sz w:val="30"/>
          <w:szCs w:val="30"/>
        </w:rPr>
      </w:pPr>
      <w:r>
        <w:rPr>
          <w:rFonts w:eastAsia="方正仿宋简体"/>
          <w:bCs/>
          <w:sz w:val="30"/>
          <w:szCs w:val="30"/>
        </w:rPr>
        <w:t>4. 甲方承诺遵守有关法律、法规、规章、深交所及中国结算的业务规则，遵守乙方投资者适当性管理相关制度和要求；</w:t>
      </w:r>
    </w:p>
    <w:p>
      <w:pPr>
        <w:adjustRightInd w:val="0"/>
        <w:spacing w:line="560" w:lineRule="exact"/>
        <w:ind w:firstLine="600" w:firstLineChars="200"/>
        <w:rPr>
          <w:rFonts w:eastAsia="方正仿宋简体"/>
          <w:bCs/>
          <w:sz w:val="30"/>
          <w:szCs w:val="30"/>
        </w:rPr>
      </w:pPr>
      <w:r>
        <w:rPr>
          <w:rFonts w:eastAsia="方正仿宋简体"/>
          <w:bCs/>
          <w:sz w:val="30"/>
          <w:szCs w:val="30"/>
        </w:rPr>
        <w:t>5. 甲方承诺遵守本合同，并承诺遵守乙方的相关管理制度。</w:t>
      </w:r>
    </w:p>
    <w:p>
      <w:pPr>
        <w:numPr>
          <w:ilvl w:val="0"/>
          <w:numId w:val="129"/>
        </w:numPr>
        <w:adjustRightInd w:val="0"/>
        <w:spacing w:line="560" w:lineRule="exact"/>
        <w:ind w:left="0" w:firstLine="600" w:firstLineChars="200"/>
        <w:rPr>
          <w:rFonts w:eastAsia="方正仿宋简体"/>
          <w:bCs/>
          <w:sz w:val="30"/>
          <w:szCs w:val="30"/>
        </w:rPr>
      </w:pPr>
      <w:r>
        <w:rPr>
          <w:rFonts w:eastAsia="方正仿宋简体"/>
          <w:bCs/>
          <w:sz w:val="30"/>
          <w:szCs w:val="30"/>
        </w:rPr>
        <w:t xml:space="preserve">甲方委托乙方从事期权交易，保证所提供的证件及资料具有真实性、合法性及有效性。甲方声明并保证不具有下列情形： </w:t>
      </w:r>
    </w:p>
    <w:p>
      <w:pPr>
        <w:adjustRightInd w:val="0"/>
        <w:spacing w:line="560" w:lineRule="exact"/>
        <w:ind w:firstLine="600" w:firstLineChars="200"/>
        <w:rPr>
          <w:rFonts w:eastAsia="方正仿宋简体"/>
          <w:bCs/>
          <w:sz w:val="30"/>
          <w:szCs w:val="30"/>
        </w:rPr>
      </w:pPr>
      <w:r>
        <w:rPr>
          <w:rFonts w:eastAsia="方正仿宋简体"/>
          <w:bCs/>
          <w:sz w:val="30"/>
          <w:szCs w:val="30"/>
        </w:rPr>
        <w:t xml:space="preserve">（一）无民事行为能力或者限制民事行为能力的自然人； </w:t>
      </w:r>
    </w:p>
    <w:p>
      <w:pPr>
        <w:adjustRightInd w:val="0"/>
        <w:spacing w:line="560" w:lineRule="exact"/>
        <w:ind w:firstLine="600" w:firstLineChars="200"/>
        <w:rPr>
          <w:rFonts w:eastAsia="方正仿宋简体"/>
          <w:bCs/>
          <w:sz w:val="30"/>
          <w:szCs w:val="30"/>
        </w:rPr>
      </w:pPr>
      <w:r>
        <w:rPr>
          <w:rFonts w:eastAsia="方正仿宋简体"/>
          <w:bCs/>
          <w:sz w:val="30"/>
          <w:szCs w:val="30"/>
        </w:rPr>
        <w:t xml:space="preserve">（二）中国证监会及其派出机构、中国期货业协会、中国证券业协会、深交所、中国结算、期权保证金安全存管监控机构、期权经营机构的工作人员及其配偶； </w:t>
      </w:r>
    </w:p>
    <w:p>
      <w:pPr>
        <w:adjustRightInd w:val="0"/>
        <w:spacing w:line="560" w:lineRule="exact"/>
        <w:ind w:firstLine="600" w:firstLineChars="200"/>
        <w:rPr>
          <w:rFonts w:eastAsia="方正仿宋简体"/>
          <w:bCs/>
          <w:sz w:val="30"/>
          <w:szCs w:val="30"/>
        </w:rPr>
      </w:pPr>
      <w:r>
        <w:rPr>
          <w:rFonts w:eastAsia="方正仿宋简体"/>
          <w:bCs/>
          <w:sz w:val="30"/>
          <w:szCs w:val="30"/>
        </w:rPr>
        <w:t xml:space="preserve">（三）国家机关、事业单位； </w:t>
      </w:r>
    </w:p>
    <w:p>
      <w:pPr>
        <w:adjustRightInd w:val="0"/>
        <w:spacing w:line="560" w:lineRule="exact"/>
        <w:ind w:firstLine="600" w:firstLineChars="200"/>
        <w:rPr>
          <w:rFonts w:eastAsia="方正仿宋简体"/>
          <w:bCs/>
          <w:sz w:val="30"/>
          <w:szCs w:val="30"/>
        </w:rPr>
      </w:pPr>
      <w:r>
        <w:rPr>
          <w:rFonts w:eastAsia="方正仿宋简体"/>
          <w:bCs/>
          <w:sz w:val="30"/>
          <w:szCs w:val="30"/>
        </w:rPr>
        <w:t xml:space="preserve">（四）证券、期货市场禁止进入者； </w:t>
      </w:r>
    </w:p>
    <w:p>
      <w:pPr>
        <w:adjustRightInd w:val="0"/>
        <w:spacing w:line="560" w:lineRule="exact"/>
        <w:ind w:firstLine="600" w:firstLineChars="200"/>
        <w:rPr>
          <w:rFonts w:eastAsia="方正仿宋简体"/>
          <w:bCs/>
          <w:sz w:val="30"/>
          <w:szCs w:val="30"/>
        </w:rPr>
      </w:pPr>
      <w:r>
        <w:rPr>
          <w:rFonts w:eastAsia="方正仿宋简体"/>
          <w:bCs/>
          <w:sz w:val="30"/>
          <w:szCs w:val="30"/>
        </w:rPr>
        <w:t xml:space="preserve">（五）未能提供真实、合法、有效开户证明文件的单位或个人； </w:t>
      </w:r>
    </w:p>
    <w:p>
      <w:pPr>
        <w:adjustRightInd w:val="0"/>
        <w:spacing w:line="560" w:lineRule="exact"/>
        <w:ind w:firstLine="600" w:firstLineChars="200"/>
        <w:rPr>
          <w:rFonts w:eastAsia="方正仿宋简体"/>
          <w:bCs/>
          <w:sz w:val="30"/>
          <w:szCs w:val="30"/>
        </w:rPr>
      </w:pPr>
      <w:r>
        <w:rPr>
          <w:rFonts w:eastAsia="方正仿宋简体"/>
          <w:bCs/>
          <w:sz w:val="30"/>
          <w:szCs w:val="30"/>
        </w:rPr>
        <w:t xml:space="preserve">（六）中国证监会及深交所规定不得从事期权交易的其他单位或个人。 </w:t>
      </w:r>
    </w:p>
    <w:p>
      <w:pPr>
        <w:adjustRightInd w:val="0"/>
        <w:spacing w:line="560" w:lineRule="exact"/>
        <w:ind w:firstLine="600" w:firstLineChars="200"/>
        <w:rPr>
          <w:rFonts w:eastAsia="方正仿宋简体"/>
          <w:bCs/>
          <w:sz w:val="30"/>
          <w:szCs w:val="30"/>
        </w:rPr>
      </w:pPr>
      <w:r>
        <w:rPr>
          <w:rFonts w:eastAsia="方正仿宋简体"/>
          <w:bCs/>
          <w:sz w:val="30"/>
          <w:szCs w:val="30"/>
        </w:rPr>
        <w:t>如果以上声明部分或全部不真实，甲方承担由此产生的全部法律责任并自行承担由此造成的一切损失。</w:t>
      </w:r>
    </w:p>
    <w:p>
      <w:pPr>
        <w:numPr>
          <w:ilvl w:val="0"/>
          <w:numId w:val="129"/>
        </w:numPr>
        <w:adjustRightInd w:val="0"/>
        <w:spacing w:line="560" w:lineRule="exact"/>
        <w:ind w:left="0" w:firstLine="600" w:firstLineChars="200"/>
        <w:rPr>
          <w:rFonts w:eastAsia="方正仿宋简体"/>
          <w:bCs/>
          <w:sz w:val="30"/>
          <w:szCs w:val="30"/>
        </w:rPr>
      </w:pPr>
      <w:r>
        <w:rPr>
          <w:rFonts w:eastAsia="方正仿宋简体"/>
          <w:bCs/>
          <w:sz w:val="30"/>
          <w:szCs w:val="30"/>
        </w:rPr>
        <w:t xml:space="preserve">在本合同关系存续期间，甲方提供给乙方的身份证明文件过期、身份信息发生变更的，甲方有义务及时向乙方提供新的相关材料。否则，乙方有权拒绝甲方开仓和出金指令，并有权进一步限制或者取消甲方的交易权限。甲方在开户时提供的其他信息发生变更时，也应及时向乙方更新。如因甲方未能及时提供更新信息而导致的后果、风险和损失由甲方承担。  </w:t>
      </w:r>
    </w:p>
    <w:p>
      <w:pPr>
        <w:numPr>
          <w:ilvl w:val="0"/>
          <w:numId w:val="129"/>
        </w:numPr>
        <w:adjustRightInd w:val="0"/>
        <w:spacing w:line="560" w:lineRule="exact"/>
        <w:ind w:left="0" w:firstLine="600" w:firstLineChars="200"/>
        <w:rPr>
          <w:rFonts w:eastAsia="方正仿宋简体"/>
          <w:bCs/>
          <w:sz w:val="30"/>
          <w:szCs w:val="30"/>
        </w:rPr>
      </w:pPr>
      <w:r>
        <w:rPr>
          <w:rFonts w:eastAsia="方正仿宋简体"/>
          <w:bCs/>
          <w:sz w:val="30"/>
          <w:szCs w:val="30"/>
        </w:rPr>
        <w:t>乙方根据反洗钱法律法规履行投资者身份识别、可疑交易报告及其他反洗钱义务，甲方应当积极予以配合。</w:t>
      </w:r>
    </w:p>
    <w:p>
      <w:pPr>
        <w:numPr>
          <w:ilvl w:val="0"/>
          <w:numId w:val="129"/>
        </w:numPr>
        <w:adjustRightInd w:val="0"/>
        <w:spacing w:line="560" w:lineRule="exact"/>
        <w:ind w:left="0" w:firstLine="600" w:firstLineChars="200"/>
        <w:rPr>
          <w:rFonts w:eastAsia="方正仿宋简体"/>
          <w:bCs/>
          <w:sz w:val="30"/>
          <w:szCs w:val="30"/>
        </w:rPr>
      </w:pPr>
      <w:r>
        <w:rPr>
          <w:rFonts w:eastAsia="方正仿宋简体"/>
          <w:bCs/>
          <w:sz w:val="30"/>
          <w:szCs w:val="30"/>
        </w:rPr>
        <w:t>乙方应当在营业场所置备期权交易法律、法规、规章、深交所及中国结算业务规则、乙方管理制度等相关文件，提供网上查询等方式供甲方查询乙方从业人员名册及从业人员资格证明等资料。甲方可以向乙方询问上述材料及其内容的含义，乙方应当予以必要解释。</w:t>
      </w:r>
    </w:p>
    <w:p>
      <w:pPr>
        <w:adjustRightInd w:val="0"/>
        <w:spacing w:line="560" w:lineRule="exact"/>
        <w:rPr>
          <w:rFonts w:eastAsia="方正仿宋简体"/>
          <w:bCs/>
          <w:sz w:val="28"/>
          <w:szCs w:val="28"/>
        </w:rPr>
      </w:pPr>
    </w:p>
    <w:p>
      <w:pPr>
        <w:keepNext/>
        <w:keepLines/>
        <w:numPr>
          <w:ilvl w:val="0"/>
          <w:numId w:val="128"/>
        </w:numPr>
        <w:spacing w:line="560" w:lineRule="exact"/>
        <w:ind w:left="420"/>
        <w:jc w:val="center"/>
        <w:rPr>
          <w:rFonts w:ascii="黑体" w:hAnsi="黑体" w:eastAsia="黑体"/>
          <w:bCs/>
          <w:kern w:val="44"/>
          <w:sz w:val="30"/>
          <w:szCs w:val="30"/>
        </w:rPr>
      </w:pPr>
      <w:r>
        <w:rPr>
          <w:rFonts w:ascii="黑体" w:hAnsi="黑体" w:eastAsia="黑体"/>
          <w:bCs/>
          <w:kern w:val="44"/>
          <w:sz w:val="30"/>
          <w:szCs w:val="30"/>
        </w:rPr>
        <w:t>开户</w:t>
      </w:r>
    </w:p>
    <w:p>
      <w:pPr>
        <w:numPr>
          <w:ilvl w:val="0"/>
          <w:numId w:val="129"/>
        </w:numPr>
        <w:adjustRightInd w:val="0"/>
        <w:spacing w:line="560" w:lineRule="exact"/>
        <w:ind w:left="0" w:firstLine="600" w:firstLineChars="200"/>
        <w:rPr>
          <w:rFonts w:eastAsia="方正仿宋简体"/>
          <w:bCs/>
          <w:sz w:val="30"/>
          <w:szCs w:val="30"/>
        </w:rPr>
      </w:pPr>
      <w:r>
        <w:rPr>
          <w:rFonts w:eastAsia="方正仿宋简体"/>
          <w:bCs/>
          <w:sz w:val="30"/>
          <w:szCs w:val="30"/>
        </w:rPr>
        <w:t>甲方向乙方申请开立衍生品合约账户（以下简称合约账户）及期权保证金账户（以下简称保证金账户），须到乙方柜台办理。</w:t>
      </w:r>
    </w:p>
    <w:p>
      <w:pPr>
        <w:adjustRightInd w:val="0"/>
        <w:spacing w:line="560" w:lineRule="exact"/>
        <w:ind w:firstLine="600" w:firstLineChars="200"/>
        <w:rPr>
          <w:rFonts w:eastAsia="方正仿宋简体"/>
          <w:bCs/>
          <w:sz w:val="30"/>
          <w:szCs w:val="30"/>
        </w:rPr>
      </w:pPr>
      <w:r>
        <w:rPr>
          <w:rFonts w:eastAsia="方正仿宋简体"/>
          <w:bCs/>
          <w:sz w:val="30"/>
          <w:szCs w:val="30"/>
        </w:rPr>
        <w:t>甲方向乙方申请开立合约账户的，其合约账户对应的证券账户须已在乙方使用，并已申报账户使用信息。</w:t>
      </w:r>
    </w:p>
    <w:p>
      <w:pPr>
        <w:numPr>
          <w:ilvl w:val="0"/>
          <w:numId w:val="129"/>
        </w:numPr>
        <w:adjustRightInd w:val="0"/>
        <w:spacing w:line="560" w:lineRule="exact"/>
        <w:ind w:left="0" w:firstLine="600" w:firstLineChars="200"/>
        <w:rPr>
          <w:rFonts w:eastAsia="方正仿宋简体"/>
          <w:bCs/>
          <w:sz w:val="30"/>
          <w:szCs w:val="30"/>
        </w:rPr>
      </w:pPr>
      <w:r>
        <w:rPr>
          <w:rFonts w:eastAsia="方正仿宋简体"/>
          <w:bCs/>
          <w:sz w:val="30"/>
          <w:szCs w:val="30"/>
        </w:rPr>
        <w:t>甲方为机构投资者的，应当依法指定合法的代理人（包括开户代理人、指令下达人、资金调拨人、结算单确认人）。甲方为个人投资者的，不得委托他人作为代理人代理开户。</w:t>
      </w:r>
    </w:p>
    <w:p>
      <w:pPr>
        <w:numPr>
          <w:ilvl w:val="0"/>
          <w:numId w:val="129"/>
        </w:numPr>
        <w:adjustRightInd w:val="0"/>
        <w:spacing w:line="560" w:lineRule="exact"/>
        <w:ind w:left="0" w:firstLine="600" w:firstLineChars="200"/>
        <w:rPr>
          <w:rFonts w:eastAsia="方正仿宋简体"/>
          <w:bCs/>
          <w:sz w:val="30"/>
          <w:szCs w:val="30"/>
        </w:rPr>
      </w:pPr>
      <w:r>
        <w:rPr>
          <w:rFonts w:eastAsia="方正仿宋简体"/>
          <w:bCs/>
          <w:sz w:val="30"/>
          <w:szCs w:val="30"/>
        </w:rPr>
        <w:t>甲方指定的代理人在甲方授权范围内所做出的任何行为均代表甲方行为，甲方应承担由此产生的全部责任。</w:t>
      </w:r>
    </w:p>
    <w:p>
      <w:pPr>
        <w:adjustRightInd w:val="0"/>
        <w:spacing w:line="560" w:lineRule="exact"/>
        <w:ind w:firstLine="600" w:firstLineChars="200"/>
        <w:rPr>
          <w:rFonts w:eastAsia="方正仿宋简体"/>
          <w:bCs/>
          <w:sz w:val="30"/>
          <w:szCs w:val="30"/>
        </w:rPr>
      </w:pPr>
      <w:r>
        <w:rPr>
          <w:rFonts w:eastAsia="方正仿宋简体"/>
          <w:bCs/>
          <w:sz w:val="30"/>
          <w:szCs w:val="30"/>
        </w:rPr>
        <w:t>甲方如变更代理人，应当书面通知乙方并经乙方确认。甲方的法定代表人或者负责人应当在授权委托书以及变更通知上签字，并加盖甲方公章。</w:t>
      </w:r>
    </w:p>
    <w:p>
      <w:pPr>
        <w:numPr>
          <w:ilvl w:val="0"/>
          <w:numId w:val="129"/>
        </w:numPr>
        <w:adjustRightInd w:val="0"/>
        <w:spacing w:line="560" w:lineRule="exact"/>
        <w:ind w:left="0" w:firstLine="600" w:firstLineChars="200"/>
        <w:rPr>
          <w:rFonts w:eastAsia="方正仿宋简体"/>
          <w:bCs/>
          <w:sz w:val="30"/>
          <w:szCs w:val="30"/>
        </w:rPr>
      </w:pPr>
      <w:r>
        <w:rPr>
          <w:rFonts w:eastAsia="方正仿宋简体"/>
          <w:bCs/>
          <w:sz w:val="30"/>
          <w:szCs w:val="30"/>
        </w:rPr>
        <w:t>甲方为个人投资者的，申请开户前应当如实填写《股票期权业务投资者适当性综合评估表》，通过乙方根据要求进行的投资者适当性综合评估。</w:t>
      </w:r>
    </w:p>
    <w:p>
      <w:pPr>
        <w:numPr>
          <w:ilvl w:val="0"/>
          <w:numId w:val="129"/>
        </w:numPr>
        <w:adjustRightInd w:val="0"/>
        <w:spacing w:line="560" w:lineRule="exact"/>
        <w:ind w:left="0" w:firstLine="600" w:firstLineChars="200"/>
        <w:rPr>
          <w:rFonts w:eastAsia="方正仿宋简体"/>
          <w:bCs/>
          <w:sz w:val="30"/>
          <w:szCs w:val="30"/>
        </w:rPr>
      </w:pPr>
      <w:r>
        <w:rPr>
          <w:rFonts w:eastAsia="方正仿宋简体"/>
          <w:bCs/>
          <w:sz w:val="30"/>
          <w:szCs w:val="30"/>
        </w:rPr>
        <w:t>甲方为个人投资者的，申请开设合约账户及保证金账户时须出示下列证件及资料，并按乙方要求如实填写开户申请表：</w:t>
      </w:r>
    </w:p>
    <w:p>
      <w:pPr>
        <w:adjustRightInd w:val="0"/>
        <w:spacing w:line="560" w:lineRule="exact"/>
        <w:ind w:firstLine="600" w:firstLineChars="200"/>
        <w:rPr>
          <w:rFonts w:eastAsia="方正仿宋简体"/>
          <w:bCs/>
          <w:sz w:val="30"/>
          <w:szCs w:val="30"/>
        </w:rPr>
      </w:pPr>
      <w:r>
        <w:rPr>
          <w:rFonts w:eastAsia="方正仿宋简体"/>
          <w:bCs/>
          <w:sz w:val="30"/>
          <w:szCs w:val="30"/>
        </w:rPr>
        <w:t>1．本人身份证件（包含身份证、护照或其他证明本人身份的法定身份证件）及其复印件；</w:t>
      </w:r>
    </w:p>
    <w:p>
      <w:pPr>
        <w:adjustRightInd w:val="0"/>
        <w:spacing w:line="560" w:lineRule="exact"/>
        <w:ind w:firstLine="600" w:firstLineChars="200"/>
        <w:rPr>
          <w:rFonts w:eastAsia="方正仿宋简体"/>
          <w:bCs/>
          <w:sz w:val="30"/>
          <w:szCs w:val="30"/>
        </w:rPr>
      </w:pPr>
      <w:r>
        <w:rPr>
          <w:rFonts w:eastAsia="方正仿宋简体"/>
          <w:bCs/>
          <w:sz w:val="30"/>
          <w:szCs w:val="30"/>
        </w:rPr>
        <w:t>2．本人同名证券账户信息。</w:t>
      </w:r>
    </w:p>
    <w:p>
      <w:pPr>
        <w:numPr>
          <w:ilvl w:val="0"/>
          <w:numId w:val="129"/>
        </w:numPr>
        <w:adjustRightInd w:val="0"/>
        <w:spacing w:line="560" w:lineRule="exact"/>
        <w:ind w:left="0" w:firstLine="600" w:firstLineChars="200"/>
        <w:rPr>
          <w:rFonts w:eastAsia="方正仿宋简体"/>
          <w:bCs/>
          <w:sz w:val="30"/>
          <w:szCs w:val="30"/>
        </w:rPr>
      </w:pPr>
      <w:r>
        <w:rPr>
          <w:rFonts w:eastAsia="方正仿宋简体"/>
          <w:bCs/>
          <w:sz w:val="30"/>
          <w:szCs w:val="30"/>
        </w:rPr>
        <w:t>甲方为机构投资者的，开设合约账户和保证金账户时须出示下列证件及资料，并按照乙方要求如实填写开户申请表：</w:t>
      </w:r>
    </w:p>
    <w:p>
      <w:pPr>
        <w:adjustRightInd w:val="0"/>
        <w:spacing w:line="560" w:lineRule="exact"/>
        <w:ind w:firstLine="600" w:firstLineChars="200"/>
        <w:rPr>
          <w:rFonts w:eastAsia="方正仿宋简体"/>
          <w:bCs/>
          <w:sz w:val="30"/>
          <w:szCs w:val="30"/>
        </w:rPr>
      </w:pPr>
      <w:r>
        <w:rPr>
          <w:rFonts w:eastAsia="方正仿宋简体"/>
          <w:bCs/>
          <w:sz w:val="30"/>
          <w:szCs w:val="30"/>
        </w:rPr>
        <w:t xml:space="preserve">1．投资者有效身份证明文件副本及其复印件，或加盖公章的复印件，法定代表人或负责人证明书、法定代表人或负责人身份证明原件及复印件； </w:t>
      </w:r>
    </w:p>
    <w:p>
      <w:pPr>
        <w:adjustRightInd w:val="0"/>
        <w:spacing w:line="560" w:lineRule="exact"/>
        <w:ind w:firstLine="600" w:firstLineChars="200"/>
        <w:rPr>
          <w:rFonts w:eastAsia="方正仿宋简体"/>
          <w:bCs/>
          <w:sz w:val="30"/>
          <w:szCs w:val="30"/>
        </w:rPr>
      </w:pPr>
      <w:r>
        <w:rPr>
          <w:rFonts w:eastAsia="方正仿宋简体"/>
          <w:bCs/>
          <w:sz w:val="30"/>
          <w:szCs w:val="30"/>
        </w:rPr>
        <w:t>2．加盖机构公章、法定代表人或负责人签字的授权委托书以及代理人身份证明原件及复印件；</w:t>
      </w:r>
    </w:p>
    <w:p>
      <w:pPr>
        <w:adjustRightInd w:val="0"/>
        <w:spacing w:line="560" w:lineRule="exact"/>
        <w:ind w:firstLine="600" w:firstLineChars="200"/>
        <w:rPr>
          <w:rFonts w:eastAsia="方正仿宋简体"/>
          <w:bCs/>
          <w:sz w:val="30"/>
          <w:szCs w:val="30"/>
        </w:rPr>
      </w:pPr>
      <w:r>
        <w:rPr>
          <w:rFonts w:eastAsia="方正仿宋简体"/>
          <w:bCs/>
          <w:sz w:val="30"/>
          <w:szCs w:val="30"/>
        </w:rPr>
        <w:t>3．投资者同名证券账户信息。</w:t>
      </w:r>
    </w:p>
    <w:p>
      <w:pPr>
        <w:numPr>
          <w:ilvl w:val="0"/>
          <w:numId w:val="129"/>
        </w:numPr>
        <w:adjustRightInd w:val="0"/>
        <w:spacing w:line="560" w:lineRule="exact"/>
        <w:ind w:left="0" w:firstLine="600" w:firstLineChars="200"/>
        <w:rPr>
          <w:rFonts w:eastAsia="方正仿宋简体"/>
          <w:bCs/>
          <w:sz w:val="30"/>
          <w:szCs w:val="30"/>
        </w:rPr>
      </w:pPr>
      <w:r>
        <w:rPr>
          <w:rFonts w:eastAsia="方正仿宋简体"/>
          <w:bCs/>
          <w:sz w:val="30"/>
          <w:szCs w:val="30"/>
        </w:rPr>
        <w:t>甲方提供的开户材料完整，并符合相关条件和要求的，乙方为甲方向中国结算申请配发实名合约账户号码，并为甲方开立保证金账户。</w:t>
      </w:r>
    </w:p>
    <w:p>
      <w:pPr>
        <w:numPr>
          <w:ilvl w:val="0"/>
          <w:numId w:val="129"/>
        </w:numPr>
        <w:adjustRightInd w:val="0"/>
        <w:spacing w:line="560" w:lineRule="exact"/>
        <w:ind w:left="0" w:firstLine="600" w:firstLineChars="200"/>
        <w:rPr>
          <w:rFonts w:eastAsia="方正仿宋简体"/>
          <w:bCs/>
          <w:sz w:val="30"/>
          <w:szCs w:val="30"/>
        </w:rPr>
      </w:pPr>
      <w:r>
        <w:rPr>
          <w:rFonts w:eastAsia="方正仿宋简体"/>
          <w:bCs/>
          <w:sz w:val="30"/>
          <w:szCs w:val="30"/>
        </w:rPr>
        <w:t>甲方在乙方开立的合约账户，仅用于期权合约的交易，不可用于证券现券交易或者存放证券现券。甲方合约账户未完成销户的，不得办理对应证券账户的销户业务。</w:t>
      </w:r>
    </w:p>
    <w:p>
      <w:pPr>
        <w:numPr>
          <w:ilvl w:val="0"/>
          <w:numId w:val="129"/>
        </w:numPr>
        <w:adjustRightInd w:val="0"/>
        <w:spacing w:line="560" w:lineRule="exact"/>
        <w:ind w:left="0" w:firstLine="600" w:firstLineChars="200"/>
        <w:rPr>
          <w:rFonts w:eastAsia="方正仿宋简体"/>
          <w:bCs/>
          <w:sz w:val="30"/>
          <w:szCs w:val="30"/>
        </w:rPr>
      </w:pPr>
      <w:r>
        <w:rPr>
          <w:rFonts w:eastAsia="方正仿宋简体"/>
          <w:bCs/>
          <w:sz w:val="30"/>
          <w:szCs w:val="30"/>
        </w:rPr>
        <w:t>甲方在乙方开立的保证金账户，存放甲方用于期权交易、结算与行权交割等的资金。乙方通过该账户对甲方的期权交易进行前端控制、清算交收和计付利息等。</w:t>
      </w:r>
    </w:p>
    <w:p>
      <w:pPr>
        <w:numPr>
          <w:ilvl w:val="0"/>
          <w:numId w:val="129"/>
        </w:numPr>
        <w:adjustRightInd w:val="0"/>
        <w:spacing w:line="560" w:lineRule="exact"/>
        <w:ind w:left="0" w:firstLine="600" w:firstLineChars="200"/>
        <w:rPr>
          <w:rFonts w:eastAsia="方正仿宋简体"/>
          <w:bCs/>
          <w:sz w:val="30"/>
          <w:szCs w:val="30"/>
        </w:rPr>
      </w:pPr>
      <w:r>
        <w:rPr>
          <w:rFonts w:eastAsia="方正仿宋简体"/>
          <w:bCs/>
          <w:sz w:val="30"/>
          <w:szCs w:val="30"/>
        </w:rPr>
        <w:t>甲方开设合约账户与保证金账户时，应同时自行设置交易密码和资金密码（以下统称密码）。甲方在正常的交易时间内可以随时修改密码。甲方必须牢记该密码。</w:t>
      </w:r>
    </w:p>
    <w:p>
      <w:pPr>
        <w:adjustRightInd w:val="0"/>
        <w:spacing w:line="560" w:lineRule="exact"/>
        <w:ind w:firstLine="600" w:firstLineChars="200"/>
        <w:rPr>
          <w:rFonts w:eastAsia="方正仿宋简体"/>
          <w:bCs/>
          <w:sz w:val="30"/>
          <w:szCs w:val="30"/>
        </w:rPr>
      </w:pPr>
      <w:r>
        <w:rPr>
          <w:rFonts w:eastAsia="方正仿宋简体"/>
          <w:bCs/>
          <w:sz w:val="30"/>
          <w:szCs w:val="30"/>
        </w:rPr>
        <w:t>甲方应当妥善管理自己的密码，并自定义和全权管理本人的密码。由于甲方管理不善造成密码泄密所带来的损失，乙方不承担责任。</w:t>
      </w:r>
    </w:p>
    <w:p>
      <w:pPr>
        <w:numPr>
          <w:ilvl w:val="0"/>
          <w:numId w:val="129"/>
        </w:numPr>
        <w:adjustRightInd w:val="0"/>
        <w:spacing w:line="560" w:lineRule="exact"/>
        <w:ind w:left="0" w:firstLine="600" w:firstLineChars="200"/>
        <w:rPr>
          <w:rFonts w:eastAsia="方正仿宋简体"/>
          <w:bCs/>
          <w:sz w:val="30"/>
          <w:szCs w:val="30"/>
        </w:rPr>
      </w:pPr>
      <w:r>
        <w:rPr>
          <w:rFonts w:eastAsia="方正仿宋简体"/>
          <w:bCs/>
          <w:sz w:val="30"/>
          <w:szCs w:val="30"/>
        </w:rPr>
        <w:t>乙方根据中国证监会、深交所等的有关规定，对甲方参与期权交易进行投资者适当性管理。甲方应当根据乙方要求，如实提供用于投资者适当性评估及开户的相关信息和材料，并对其真实性、完整性、合法性负责。</w:t>
      </w:r>
    </w:p>
    <w:p>
      <w:pPr>
        <w:numPr>
          <w:ilvl w:val="0"/>
          <w:numId w:val="129"/>
        </w:numPr>
        <w:adjustRightInd w:val="0"/>
        <w:spacing w:line="560" w:lineRule="exact"/>
        <w:ind w:left="0" w:firstLine="600" w:firstLineChars="200"/>
        <w:rPr>
          <w:rFonts w:eastAsia="方正仿宋简体"/>
          <w:bCs/>
          <w:sz w:val="30"/>
          <w:szCs w:val="30"/>
        </w:rPr>
      </w:pPr>
      <w:r>
        <w:rPr>
          <w:rFonts w:eastAsia="方正仿宋简体"/>
          <w:bCs/>
          <w:sz w:val="30"/>
          <w:szCs w:val="30"/>
        </w:rPr>
        <w:t>乙方根据深交所的有关规定及本合同约定，对甲方参与期权交易的交易权限进行分级管理。</w:t>
      </w:r>
    </w:p>
    <w:p>
      <w:pPr>
        <w:adjustRightInd w:val="0"/>
        <w:spacing w:line="560" w:lineRule="exact"/>
        <w:ind w:firstLine="600" w:firstLineChars="200"/>
        <w:rPr>
          <w:rFonts w:eastAsia="方正仿宋简体"/>
          <w:bCs/>
          <w:sz w:val="30"/>
          <w:szCs w:val="30"/>
        </w:rPr>
      </w:pPr>
      <w:r>
        <w:rPr>
          <w:rFonts w:eastAsia="方正仿宋简体"/>
          <w:bCs/>
          <w:sz w:val="30"/>
          <w:szCs w:val="30"/>
        </w:rPr>
        <w:t>甲方为个人投资者的，乙方根据其适当性管理综合评估结果、股票期权知识测试分数以及具备的期权模拟交易经历，核定甲方的交易权限。</w:t>
      </w:r>
    </w:p>
    <w:p>
      <w:pPr>
        <w:numPr>
          <w:ilvl w:val="0"/>
          <w:numId w:val="129"/>
        </w:numPr>
        <w:adjustRightInd w:val="0"/>
        <w:spacing w:line="560" w:lineRule="exact"/>
        <w:ind w:left="0" w:firstLine="600" w:firstLineChars="200"/>
        <w:rPr>
          <w:rFonts w:eastAsia="方正仿宋简体"/>
          <w:bCs/>
          <w:sz w:val="30"/>
          <w:szCs w:val="30"/>
        </w:rPr>
      </w:pPr>
      <w:r>
        <w:rPr>
          <w:rFonts w:eastAsia="方正仿宋简体"/>
          <w:bCs/>
          <w:sz w:val="30"/>
          <w:szCs w:val="30"/>
        </w:rPr>
        <w:t>甲方申请调高交易权限级别的，乙方根据深交所的规定及本合同的约定对其进行综合评估。甲方申请符合条件的，乙方对其交易权限级别进行调整。</w:t>
      </w:r>
    </w:p>
    <w:p>
      <w:pPr>
        <w:adjustRightInd w:val="0"/>
        <w:spacing w:line="560" w:lineRule="exact"/>
        <w:ind w:firstLine="600" w:firstLineChars="200"/>
        <w:rPr>
          <w:rFonts w:eastAsia="方正仿宋简体"/>
          <w:bCs/>
          <w:sz w:val="30"/>
          <w:szCs w:val="30"/>
        </w:rPr>
      </w:pPr>
      <w:r>
        <w:rPr>
          <w:rFonts w:eastAsia="方正仿宋简体"/>
          <w:bCs/>
          <w:sz w:val="30"/>
          <w:szCs w:val="30"/>
        </w:rPr>
        <w:t>甲方申请调低交易权限级别的，应当至少提前三个交易日以电子或者书面方式告知乙方。</w:t>
      </w:r>
    </w:p>
    <w:p>
      <w:pPr>
        <w:numPr>
          <w:ilvl w:val="0"/>
          <w:numId w:val="129"/>
        </w:numPr>
        <w:adjustRightInd w:val="0"/>
        <w:spacing w:line="560" w:lineRule="exact"/>
        <w:ind w:left="0" w:firstLine="600" w:firstLineChars="200"/>
        <w:rPr>
          <w:rFonts w:eastAsia="方正仿宋简体"/>
          <w:bCs/>
          <w:sz w:val="30"/>
          <w:szCs w:val="30"/>
        </w:rPr>
      </w:pPr>
      <w:r>
        <w:rPr>
          <w:rFonts w:eastAsia="方正仿宋简体"/>
          <w:bCs/>
          <w:sz w:val="30"/>
          <w:szCs w:val="30"/>
        </w:rPr>
        <w:t>甲方提供的用于投资者适当性评估的相关信息和材料发生重大变化的，应当及时告知乙方。乙方有根据认为甲方不再符合其交易权限对应的资格条件的，可以调低甲方的交易权限级别或者取消甲方的交易权限。</w:t>
      </w:r>
    </w:p>
    <w:p>
      <w:pPr>
        <w:numPr>
          <w:ilvl w:val="0"/>
          <w:numId w:val="129"/>
        </w:numPr>
        <w:adjustRightInd w:val="0"/>
        <w:spacing w:line="560" w:lineRule="exact"/>
        <w:ind w:left="0" w:firstLine="600" w:firstLineChars="200"/>
        <w:rPr>
          <w:rFonts w:eastAsia="方正仿宋简体"/>
          <w:bCs/>
          <w:sz w:val="30"/>
          <w:szCs w:val="30"/>
        </w:rPr>
      </w:pPr>
      <w:r>
        <w:rPr>
          <w:rFonts w:eastAsia="方正仿宋简体"/>
          <w:bCs/>
          <w:sz w:val="30"/>
          <w:szCs w:val="30"/>
        </w:rPr>
        <w:t xml:space="preserve">   乙方核定、调整甲方交易权限级别的，由乙方在其柜台交易系统中设定或者调整甲方交易权限级别，并以书面形式与甲方确认。</w:t>
      </w:r>
    </w:p>
    <w:p>
      <w:pPr>
        <w:adjustRightInd w:val="0"/>
        <w:spacing w:line="560" w:lineRule="exact"/>
        <w:ind w:firstLine="600" w:firstLineChars="200"/>
        <w:rPr>
          <w:rFonts w:eastAsia="方正仿宋简体"/>
          <w:bCs/>
          <w:sz w:val="30"/>
          <w:szCs w:val="30"/>
        </w:rPr>
      </w:pPr>
      <w:r>
        <w:rPr>
          <w:rFonts w:eastAsia="方正仿宋简体"/>
          <w:bCs/>
          <w:sz w:val="30"/>
          <w:szCs w:val="30"/>
        </w:rPr>
        <w:t>甲方应当按照乙方核定或者调整后的交易权限进行期权交易委托。</w:t>
      </w:r>
    </w:p>
    <w:p>
      <w:pPr>
        <w:numPr>
          <w:ilvl w:val="0"/>
          <w:numId w:val="129"/>
        </w:numPr>
        <w:adjustRightInd w:val="0"/>
        <w:spacing w:line="560" w:lineRule="exact"/>
        <w:ind w:left="0" w:firstLine="600" w:firstLineChars="200"/>
        <w:rPr>
          <w:rFonts w:eastAsia="方正仿宋简体"/>
          <w:bCs/>
          <w:sz w:val="30"/>
          <w:szCs w:val="30"/>
        </w:rPr>
      </w:pPr>
      <w:r>
        <w:rPr>
          <w:rFonts w:eastAsia="方正仿宋简体"/>
          <w:bCs/>
          <w:sz w:val="30"/>
          <w:szCs w:val="30"/>
        </w:rPr>
        <w:tab/>
      </w:r>
      <w:r>
        <w:rPr>
          <w:rFonts w:eastAsia="方正仿宋简体"/>
          <w:bCs/>
          <w:sz w:val="30"/>
          <w:szCs w:val="30"/>
        </w:rPr>
        <w:t>甲方合约账户内持有持仓及存在未了结债权债务的，乙方有权拒绝为甲方办理合约账户的销户，由此产生的一切法律责任和后果由甲方自行承担。</w:t>
      </w:r>
    </w:p>
    <w:p>
      <w:pPr>
        <w:adjustRightInd w:val="0"/>
        <w:spacing w:line="560" w:lineRule="exact"/>
        <w:rPr>
          <w:rFonts w:eastAsia="方正仿宋简体"/>
          <w:bCs/>
          <w:sz w:val="28"/>
          <w:szCs w:val="28"/>
        </w:rPr>
      </w:pPr>
    </w:p>
    <w:p>
      <w:pPr>
        <w:keepNext/>
        <w:keepLines/>
        <w:numPr>
          <w:ilvl w:val="0"/>
          <w:numId w:val="128"/>
        </w:numPr>
        <w:spacing w:line="560" w:lineRule="exact"/>
        <w:ind w:left="420"/>
        <w:jc w:val="center"/>
        <w:rPr>
          <w:rFonts w:ascii="黑体" w:hAnsi="黑体" w:eastAsia="黑体"/>
          <w:bCs/>
          <w:kern w:val="44"/>
          <w:sz w:val="30"/>
          <w:szCs w:val="30"/>
        </w:rPr>
      </w:pPr>
      <w:r>
        <w:rPr>
          <w:rFonts w:ascii="黑体" w:hAnsi="黑体" w:eastAsia="黑体"/>
          <w:bCs/>
          <w:kern w:val="44"/>
          <w:sz w:val="30"/>
          <w:szCs w:val="30"/>
        </w:rPr>
        <w:t>交易委托</w:t>
      </w:r>
    </w:p>
    <w:p>
      <w:pPr>
        <w:numPr>
          <w:ilvl w:val="0"/>
          <w:numId w:val="129"/>
        </w:numPr>
        <w:adjustRightInd w:val="0"/>
        <w:spacing w:line="560" w:lineRule="exact"/>
        <w:ind w:left="0" w:firstLine="600" w:firstLineChars="200"/>
        <w:rPr>
          <w:rFonts w:eastAsia="方正仿宋简体"/>
          <w:bCs/>
          <w:sz w:val="30"/>
          <w:szCs w:val="30"/>
        </w:rPr>
      </w:pPr>
      <w:r>
        <w:rPr>
          <w:rFonts w:hint="eastAsia" w:eastAsia="方正仿宋简体"/>
          <w:bCs/>
          <w:sz w:val="30"/>
          <w:szCs w:val="30"/>
        </w:rPr>
        <w:t xml:space="preserve"> </w:t>
      </w:r>
      <w:r>
        <w:rPr>
          <w:rFonts w:eastAsia="方正仿宋简体"/>
          <w:bCs/>
          <w:sz w:val="30"/>
          <w:szCs w:val="30"/>
        </w:rPr>
        <w:t>乙方接受甲方委托，以乙方名义按照甲方交易指令为甲方进行期权交易，交易结果由甲方承担。</w:t>
      </w:r>
    </w:p>
    <w:p>
      <w:pPr>
        <w:numPr>
          <w:ilvl w:val="0"/>
          <w:numId w:val="129"/>
        </w:numPr>
        <w:adjustRightInd w:val="0"/>
        <w:spacing w:line="560" w:lineRule="exact"/>
        <w:ind w:left="0" w:firstLine="600" w:firstLineChars="200"/>
        <w:rPr>
          <w:rFonts w:eastAsia="方正仿宋简体"/>
          <w:bCs/>
          <w:sz w:val="30"/>
          <w:szCs w:val="30"/>
        </w:rPr>
      </w:pPr>
      <w:r>
        <w:rPr>
          <w:rFonts w:hint="eastAsia" w:eastAsia="方正仿宋简体"/>
          <w:bCs/>
          <w:sz w:val="30"/>
          <w:szCs w:val="30"/>
        </w:rPr>
        <w:t xml:space="preserve"> </w:t>
      </w:r>
      <w:r>
        <w:rPr>
          <w:rFonts w:eastAsia="方正仿宋简体"/>
          <w:bCs/>
          <w:sz w:val="30"/>
          <w:szCs w:val="30"/>
        </w:rPr>
        <w:t>甲方可以通过互联网、期权交易客户端、电话或书面等方式向乙方提交期权交易委托指令（以下简称交易指令）。甲方提交的交易指令类型应当符合深交所及乙方的相关规定。</w:t>
      </w:r>
    </w:p>
    <w:p>
      <w:pPr>
        <w:adjustRightInd w:val="0"/>
        <w:spacing w:line="560" w:lineRule="exact"/>
        <w:ind w:firstLine="600" w:firstLineChars="200"/>
        <w:rPr>
          <w:rFonts w:eastAsia="方正仿宋简体"/>
          <w:bCs/>
          <w:sz w:val="30"/>
          <w:szCs w:val="30"/>
        </w:rPr>
      </w:pPr>
      <w:r>
        <w:rPr>
          <w:rFonts w:eastAsia="方正仿宋简体"/>
          <w:bCs/>
          <w:sz w:val="30"/>
          <w:szCs w:val="30"/>
        </w:rPr>
        <w:t>甲方通过互联网下达期权交易指令（以下简称网上交易），是指甲方使用计算机、移动终端等设备并通过互联网，或者通过乙方局域网络向乙方下达交易指令，进行期权交易的一种交易方式。</w:t>
      </w:r>
    </w:p>
    <w:p>
      <w:pPr>
        <w:numPr>
          <w:ilvl w:val="0"/>
          <w:numId w:val="129"/>
        </w:numPr>
        <w:adjustRightInd w:val="0"/>
        <w:spacing w:line="560" w:lineRule="exact"/>
        <w:ind w:left="0" w:firstLine="600" w:firstLineChars="200"/>
        <w:rPr>
          <w:rFonts w:eastAsia="方正仿宋简体"/>
          <w:bCs/>
          <w:sz w:val="30"/>
          <w:szCs w:val="30"/>
        </w:rPr>
      </w:pPr>
      <w:r>
        <w:rPr>
          <w:rFonts w:hint="eastAsia" w:eastAsia="方正仿宋简体"/>
          <w:bCs/>
          <w:sz w:val="30"/>
          <w:szCs w:val="30"/>
        </w:rPr>
        <w:t xml:space="preserve"> </w:t>
      </w:r>
      <w:r>
        <w:rPr>
          <w:rFonts w:eastAsia="方正仿宋简体"/>
          <w:bCs/>
          <w:sz w:val="30"/>
          <w:szCs w:val="30"/>
        </w:rPr>
        <w:t>甲方下达交易指令，应当根据乙方确定的格式要求，填写以下内容：</w:t>
      </w:r>
    </w:p>
    <w:p>
      <w:pPr>
        <w:adjustRightInd w:val="0"/>
        <w:spacing w:line="560" w:lineRule="exact"/>
        <w:ind w:firstLine="600" w:firstLineChars="200"/>
        <w:rPr>
          <w:rFonts w:eastAsia="方正仿宋简体"/>
          <w:bCs/>
          <w:sz w:val="30"/>
          <w:szCs w:val="30"/>
        </w:rPr>
      </w:pPr>
      <w:r>
        <w:rPr>
          <w:rFonts w:eastAsia="方正仿宋简体"/>
          <w:bCs/>
          <w:sz w:val="30"/>
          <w:szCs w:val="30"/>
        </w:rPr>
        <w:t>（一）合约账户号码；</w:t>
      </w:r>
    </w:p>
    <w:p>
      <w:pPr>
        <w:adjustRightInd w:val="0"/>
        <w:spacing w:line="560" w:lineRule="exact"/>
        <w:ind w:firstLine="600" w:firstLineChars="200"/>
        <w:rPr>
          <w:rFonts w:eastAsia="方正仿宋简体"/>
          <w:bCs/>
          <w:sz w:val="30"/>
          <w:szCs w:val="30"/>
        </w:rPr>
      </w:pPr>
      <w:r>
        <w:rPr>
          <w:rFonts w:eastAsia="方正仿宋简体"/>
          <w:bCs/>
          <w:sz w:val="30"/>
          <w:szCs w:val="30"/>
        </w:rPr>
        <w:t>（二）期权合约编码；</w:t>
      </w:r>
    </w:p>
    <w:p>
      <w:pPr>
        <w:adjustRightInd w:val="0"/>
        <w:spacing w:line="560" w:lineRule="exact"/>
        <w:ind w:firstLine="600" w:firstLineChars="200"/>
        <w:rPr>
          <w:rFonts w:eastAsia="方正仿宋简体"/>
          <w:bCs/>
          <w:sz w:val="30"/>
          <w:szCs w:val="30"/>
        </w:rPr>
      </w:pPr>
      <w:r>
        <w:rPr>
          <w:rFonts w:eastAsia="方正仿宋简体"/>
          <w:bCs/>
          <w:sz w:val="30"/>
          <w:szCs w:val="30"/>
        </w:rPr>
        <w:t>（三）买卖类型；</w:t>
      </w:r>
    </w:p>
    <w:p>
      <w:pPr>
        <w:adjustRightInd w:val="0"/>
        <w:spacing w:line="560" w:lineRule="exact"/>
        <w:ind w:firstLine="600" w:firstLineChars="200"/>
        <w:rPr>
          <w:rFonts w:eastAsia="方正仿宋简体"/>
          <w:bCs/>
          <w:sz w:val="30"/>
          <w:szCs w:val="30"/>
        </w:rPr>
      </w:pPr>
      <w:r>
        <w:rPr>
          <w:rFonts w:eastAsia="方正仿宋简体"/>
          <w:bCs/>
          <w:sz w:val="30"/>
          <w:szCs w:val="30"/>
        </w:rPr>
        <w:t>（四）委托数量；</w:t>
      </w:r>
    </w:p>
    <w:p>
      <w:pPr>
        <w:adjustRightInd w:val="0"/>
        <w:spacing w:line="560" w:lineRule="exact"/>
        <w:ind w:firstLine="600" w:firstLineChars="200"/>
        <w:rPr>
          <w:rFonts w:eastAsia="方正仿宋简体"/>
          <w:bCs/>
          <w:sz w:val="30"/>
          <w:szCs w:val="30"/>
        </w:rPr>
      </w:pPr>
      <w:r>
        <w:rPr>
          <w:rFonts w:eastAsia="方正仿宋简体"/>
          <w:bCs/>
          <w:sz w:val="30"/>
          <w:szCs w:val="30"/>
        </w:rPr>
        <w:t>（五）委托类型与价格；</w:t>
      </w:r>
    </w:p>
    <w:p>
      <w:pPr>
        <w:adjustRightInd w:val="0"/>
        <w:spacing w:line="560" w:lineRule="exact"/>
        <w:ind w:firstLine="600" w:firstLineChars="200"/>
        <w:rPr>
          <w:rFonts w:eastAsia="方正仿宋简体"/>
          <w:bCs/>
          <w:sz w:val="30"/>
          <w:szCs w:val="30"/>
        </w:rPr>
      </w:pPr>
      <w:r>
        <w:rPr>
          <w:rFonts w:eastAsia="方正仿宋简体"/>
          <w:bCs/>
          <w:sz w:val="30"/>
          <w:szCs w:val="30"/>
        </w:rPr>
        <w:t xml:space="preserve">（六）深交所及期权经营机构要求的其他内容。 </w:t>
      </w:r>
    </w:p>
    <w:p>
      <w:pPr>
        <w:adjustRightInd w:val="0"/>
        <w:spacing w:line="560" w:lineRule="exact"/>
        <w:ind w:firstLine="600" w:firstLineChars="200"/>
        <w:rPr>
          <w:rFonts w:eastAsia="方正仿宋简体"/>
          <w:bCs/>
          <w:sz w:val="30"/>
          <w:szCs w:val="30"/>
        </w:rPr>
      </w:pPr>
      <w:r>
        <w:rPr>
          <w:rFonts w:eastAsia="方正仿宋简体"/>
          <w:bCs/>
          <w:sz w:val="30"/>
          <w:szCs w:val="30"/>
        </w:rPr>
        <w:t>前款第（三）项所称买卖类型，包括买入开仓、买入平仓、卖出开仓、卖出平仓、备兑开仓、备兑平仓等。</w:t>
      </w:r>
    </w:p>
    <w:p>
      <w:pPr>
        <w:adjustRightInd w:val="0"/>
        <w:spacing w:line="560" w:lineRule="exact"/>
        <w:ind w:firstLine="600" w:firstLineChars="200"/>
        <w:rPr>
          <w:rFonts w:eastAsia="方正仿宋简体"/>
          <w:bCs/>
          <w:sz w:val="30"/>
          <w:szCs w:val="30"/>
        </w:rPr>
      </w:pPr>
      <w:r>
        <w:rPr>
          <w:rFonts w:eastAsia="方正仿宋简体"/>
          <w:bCs/>
          <w:sz w:val="30"/>
          <w:szCs w:val="30"/>
        </w:rPr>
        <w:t>前款第（五）项所称委托类型，包括普通限价委托、全额成交或撤销限价委托、对手方最优价格市价委托、本方最优价格市价委托、最优五档即时成交剩余撤销市价委托、即时成交剩余撤销市价委托、全额成交或撤销市价委托等。</w:t>
      </w:r>
    </w:p>
    <w:p>
      <w:pPr>
        <w:numPr>
          <w:ilvl w:val="0"/>
          <w:numId w:val="129"/>
        </w:numPr>
        <w:adjustRightInd w:val="0"/>
        <w:spacing w:line="560" w:lineRule="exact"/>
        <w:ind w:left="0" w:firstLine="600" w:firstLineChars="200"/>
        <w:rPr>
          <w:rFonts w:eastAsia="方正仿宋简体"/>
          <w:bCs/>
          <w:sz w:val="30"/>
          <w:szCs w:val="30"/>
        </w:rPr>
      </w:pPr>
      <w:r>
        <w:rPr>
          <w:rFonts w:eastAsia="方正仿宋简体"/>
          <w:bCs/>
          <w:sz w:val="30"/>
          <w:szCs w:val="30"/>
        </w:rPr>
        <w:tab/>
      </w:r>
      <w:r>
        <w:rPr>
          <w:rFonts w:eastAsia="方正仿宋简体"/>
          <w:bCs/>
          <w:sz w:val="30"/>
          <w:szCs w:val="30"/>
        </w:rPr>
        <w:t>甲方下达的交易指令，应当符合乙方以及深交所规定的要求。乙方电脑系统和深交所交易系统拒绝受理的委托，以及虽被接收但根据深交所业务规则被认为无效的委托，均视为无效委托。</w:t>
      </w:r>
    </w:p>
    <w:p>
      <w:pPr>
        <w:numPr>
          <w:ilvl w:val="0"/>
          <w:numId w:val="129"/>
        </w:numPr>
        <w:adjustRightInd w:val="0"/>
        <w:spacing w:line="560" w:lineRule="exact"/>
        <w:ind w:left="0" w:firstLine="600" w:firstLineChars="200"/>
        <w:rPr>
          <w:rFonts w:eastAsia="方正仿宋简体"/>
          <w:bCs/>
          <w:sz w:val="30"/>
          <w:szCs w:val="30"/>
        </w:rPr>
      </w:pPr>
      <w:r>
        <w:rPr>
          <w:rFonts w:eastAsia="方正仿宋简体"/>
          <w:bCs/>
          <w:sz w:val="30"/>
          <w:szCs w:val="30"/>
        </w:rPr>
        <w:tab/>
      </w:r>
      <w:r>
        <w:rPr>
          <w:rFonts w:eastAsia="方正仿宋简体"/>
          <w:bCs/>
          <w:sz w:val="30"/>
          <w:szCs w:val="30"/>
        </w:rPr>
        <w:t>甲方进行网上交易的，乙方交易服务器内的委托记录将作为甲乙双方核查交易指令合法、有效的证明。甲方同意，乙方交易服务器内的交易记录与书面指令具有同等法律效力。</w:t>
      </w:r>
    </w:p>
    <w:p>
      <w:pPr>
        <w:numPr>
          <w:ilvl w:val="0"/>
          <w:numId w:val="129"/>
        </w:numPr>
        <w:adjustRightInd w:val="0"/>
        <w:spacing w:line="560" w:lineRule="exact"/>
        <w:ind w:left="0" w:firstLine="600" w:firstLineChars="200"/>
        <w:rPr>
          <w:rFonts w:eastAsia="方正仿宋简体"/>
          <w:bCs/>
          <w:sz w:val="30"/>
          <w:szCs w:val="30"/>
        </w:rPr>
      </w:pPr>
      <w:r>
        <w:rPr>
          <w:rFonts w:eastAsia="方正仿宋简体"/>
          <w:bCs/>
          <w:sz w:val="30"/>
          <w:szCs w:val="30"/>
        </w:rPr>
        <w:tab/>
      </w:r>
      <w:r>
        <w:rPr>
          <w:rFonts w:eastAsia="方正仿宋简体"/>
          <w:bCs/>
          <w:sz w:val="30"/>
          <w:szCs w:val="30"/>
        </w:rPr>
        <w:t>由于网上交易系统受各种因素的影响存在中断的可能性，为保证甲方交易的正常进行，乙方为甲方提供备用下单通道，当甲方不能正常进行网上交易时，可改作电话方式或书面方式下达交易指令。</w:t>
      </w:r>
    </w:p>
    <w:p>
      <w:pPr>
        <w:numPr>
          <w:ilvl w:val="0"/>
          <w:numId w:val="129"/>
        </w:numPr>
        <w:adjustRightInd w:val="0"/>
        <w:spacing w:line="560" w:lineRule="exact"/>
        <w:ind w:left="0" w:firstLine="600" w:firstLineChars="200"/>
        <w:rPr>
          <w:rFonts w:eastAsia="方正仿宋简体"/>
          <w:bCs/>
          <w:sz w:val="30"/>
          <w:szCs w:val="30"/>
        </w:rPr>
      </w:pPr>
      <w:r>
        <w:rPr>
          <w:rFonts w:eastAsia="方正仿宋简体"/>
          <w:bCs/>
          <w:sz w:val="30"/>
          <w:szCs w:val="30"/>
        </w:rPr>
        <w:tab/>
      </w:r>
      <w:r>
        <w:rPr>
          <w:rFonts w:eastAsia="方正仿宋简体"/>
          <w:bCs/>
          <w:sz w:val="30"/>
          <w:szCs w:val="30"/>
        </w:rPr>
        <w:t>甲方通过电话方式下达交易指令的，应当与乙方约定身份认证方式（电话交易密码）。乙方受理甲方电话委托业务的电话号码为：（          ）。通过乙方身份认证的交易指令视为甲方下达的指令。</w:t>
      </w:r>
    </w:p>
    <w:p>
      <w:pPr>
        <w:numPr>
          <w:ilvl w:val="0"/>
          <w:numId w:val="129"/>
        </w:numPr>
        <w:adjustRightInd w:val="0"/>
        <w:spacing w:line="560" w:lineRule="exact"/>
        <w:ind w:left="0" w:firstLine="600" w:firstLineChars="200"/>
        <w:rPr>
          <w:rFonts w:eastAsia="方正仿宋简体"/>
          <w:bCs/>
          <w:sz w:val="30"/>
          <w:szCs w:val="30"/>
        </w:rPr>
      </w:pPr>
      <w:r>
        <w:rPr>
          <w:rFonts w:eastAsia="方正仿宋简体"/>
          <w:bCs/>
          <w:sz w:val="30"/>
          <w:szCs w:val="30"/>
        </w:rPr>
        <w:t>以电话方式下达交易指令的，乙方有权进行同步录音保留原始交易指令记录。甲方同意，乙方的录音记录将作为甲乙双方核查交易指令合法、有效的证明，与书面指令具有同等法律效力。</w:t>
      </w:r>
    </w:p>
    <w:p>
      <w:pPr>
        <w:numPr>
          <w:ilvl w:val="0"/>
          <w:numId w:val="129"/>
        </w:numPr>
        <w:adjustRightInd w:val="0"/>
        <w:spacing w:line="560" w:lineRule="exact"/>
        <w:ind w:left="0" w:firstLine="600" w:firstLineChars="200"/>
        <w:rPr>
          <w:rFonts w:eastAsia="方正仿宋简体"/>
          <w:bCs/>
          <w:sz w:val="30"/>
          <w:szCs w:val="30"/>
        </w:rPr>
      </w:pPr>
      <w:r>
        <w:rPr>
          <w:rFonts w:eastAsia="方正仿宋简体"/>
          <w:bCs/>
          <w:sz w:val="30"/>
          <w:szCs w:val="30"/>
        </w:rPr>
        <w:tab/>
      </w:r>
      <w:r>
        <w:rPr>
          <w:rFonts w:eastAsia="方正仿宋简体"/>
          <w:bCs/>
          <w:sz w:val="30"/>
          <w:szCs w:val="30"/>
        </w:rPr>
        <w:t>甲方以书面方式下达交易指令的，交易指令单的填写应完整、准确、清晰，并由甲方或者甲方指令下达人签字（及/或盖章）。</w:t>
      </w:r>
    </w:p>
    <w:p>
      <w:pPr>
        <w:numPr>
          <w:ilvl w:val="0"/>
          <w:numId w:val="129"/>
        </w:numPr>
        <w:adjustRightInd w:val="0"/>
        <w:spacing w:line="560" w:lineRule="exact"/>
        <w:ind w:left="0" w:firstLine="600" w:firstLineChars="200"/>
        <w:rPr>
          <w:rFonts w:eastAsia="方正仿宋简体"/>
          <w:bCs/>
          <w:sz w:val="30"/>
          <w:szCs w:val="30"/>
        </w:rPr>
      </w:pPr>
      <w:r>
        <w:rPr>
          <w:rFonts w:eastAsia="方正仿宋简体"/>
          <w:bCs/>
          <w:sz w:val="30"/>
          <w:szCs w:val="30"/>
        </w:rPr>
        <w:tab/>
      </w:r>
      <w:r>
        <w:rPr>
          <w:rFonts w:eastAsia="方正仿宋简体"/>
          <w:bCs/>
          <w:sz w:val="30"/>
          <w:szCs w:val="30"/>
        </w:rPr>
        <w:t>甲方进行柜台委托时，必须提供甲方本人或其授权代理人身份证，并填写委托单，否则乙方有权拒绝受理甲方的委托，由此造成的后果由甲方承担。</w:t>
      </w:r>
    </w:p>
    <w:p>
      <w:pPr>
        <w:numPr>
          <w:ilvl w:val="0"/>
          <w:numId w:val="129"/>
        </w:numPr>
        <w:adjustRightInd w:val="0"/>
        <w:spacing w:line="560" w:lineRule="exact"/>
        <w:ind w:left="0" w:firstLine="600" w:firstLineChars="200"/>
        <w:rPr>
          <w:rFonts w:eastAsia="方正仿宋简体"/>
          <w:bCs/>
          <w:sz w:val="30"/>
          <w:szCs w:val="30"/>
        </w:rPr>
      </w:pPr>
      <w:r>
        <w:rPr>
          <w:rFonts w:eastAsia="方正仿宋简体"/>
          <w:bCs/>
          <w:sz w:val="30"/>
          <w:szCs w:val="30"/>
        </w:rPr>
        <w:tab/>
      </w:r>
      <w:r>
        <w:rPr>
          <w:rFonts w:eastAsia="方正仿宋简体"/>
          <w:bCs/>
          <w:sz w:val="30"/>
          <w:szCs w:val="30"/>
        </w:rPr>
        <w:t>甲方在使用非柜台委托方式进行证券交易时，必须严格按照乙方期权交易委托系统的提示进行操作，因甲方操作失误造成的损失由甲方自行承担。</w:t>
      </w:r>
    </w:p>
    <w:p>
      <w:pPr>
        <w:numPr>
          <w:ilvl w:val="0"/>
          <w:numId w:val="129"/>
        </w:numPr>
        <w:adjustRightInd w:val="0"/>
        <w:spacing w:line="560" w:lineRule="exact"/>
        <w:ind w:left="0" w:firstLine="600" w:firstLineChars="200"/>
        <w:rPr>
          <w:rFonts w:eastAsia="方正仿宋简体"/>
          <w:bCs/>
          <w:sz w:val="30"/>
          <w:szCs w:val="30"/>
        </w:rPr>
      </w:pPr>
      <w:r>
        <w:rPr>
          <w:rFonts w:eastAsia="方正仿宋简体"/>
          <w:bCs/>
          <w:sz w:val="30"/>
          <w:szCs w:val="30"/>
        </w:rPr>
        <w:tab/>
      </w:r>
      <w:r>
        <w:rPr>
          <w:rFonts w:eastAsia="方正仿宋简体"/>
          <w:bCs/>
          <w:sz w:val="30"/>
          <w:szCs w:val="30"/>
        </w:rPr>
        <w:t>乙方有权审核甲方的交易指令，包括但不限于资金是否充足、合约标的是否充足、合约持仓是否充足、开仓数量是否超过持仓限额、指令内容是否明确、是否违反有关法律、法规、规章、深交所及中国结算业务规则等，以确定指令的有效性。当确定甲方的指令为无效指令时，乙方有权拒绝执行甲方的指令。</w:t>
      </w:r>
    </w:p>
    <w:p>
      <w:pPr>
        <w:adjustRightInd w:val="0"/>
        <w:spacing w:line="560" w:lineRule="exact"/>
        <w:ind w:firstLine="600" w:firstLineChars="200"/>
        <w:rPr>
          <w:rFonts w:eastAsia="方正仿宋简体"/>
          <w:bCs/>
          <w:sz w:val="30"/>
          <w:szCs w:val="30"/>
        </w:rPr>
      </w:pPr>
      <w:r>
        <w:rPr>
          <w:rFonts w:eastAsia="方正仿宋简体"/>
          <w:bCs/>
          <w:sz w:val="30"/>
          <w:szCs w:val="30"/>
        </w:rPr>
        <w:t>甲方交易指令出现超越其交易权限、持仓限额或者保证金不足等情形的，乙方有权拒绝执行甲方的指令。</w:t>
      </w:r>
    </w:p>
    <w:p>
      <w:pPr>
        <w:numPr>
          <w:ilvl w:val="0"/>
          <w:numId w:val="129"/>
        </w:numPr>
        <w:adjustRightInd w:val="0"/>
        <w:spacing w:line="560" w:lineRule="exact"/>
        <w:ind w:left="0" w:firstLine="600" w:firstLineChars="200"/>
        <w:rPr>
          <w:rFonts w:eastAsia="方正仿宋简体"/>
          <w:bCs/>
          <w:sz w:val="30"/>
          <w:szCs w:val="30"/>
        </w:rPr>
      </w:pPr>
      <w:r>
        <w:rPr>
          <w:rFonts w:eastAsia="方正仿宋简体"/>
          <w:bCs/>
          <w:sz w:val="30"/>
          <w:szCs w:val="30"/>
        </w:rPr>
        <w:tab/>
      </w:r>
      <w:r>
        <w:rPr>
          <w:rFonts w:eastAsia="方正仿宋简体"/>
          <w:bCs/>
          <w:sz w:val="30"/>
          <w:szCs w:val="30"/>
        </w:rPr>
        <w:t>甲方在下达交易指令后，可以在指令全部成交之前向乙方要求撤回指令。但如果该指令已经在深交所全部或部分成交，或者按照深交所业务规则不能撤回的，甲方应当承担交易结果。</w:t>
      </w:r>
    </w:p>
    <w:p>
      <w:pPr>
        <w:adjustRightInd w:val="0"/>
        <w:spacing w:line="560" w:lineRule="exact"/>
        <w:ind w:firstLine="600" w:firstLineChars="200"/>
        <w:rPr>
          <w:rFonts w:eastAsia="方正仿宋简体"/>
          <w:bCs/>
          <w:sz w:val="30"/>
          <w:szCs w:val="30"/>
        </w:rPr>
      </w:pPr>
      <w:r>
        <w:rPr>
          <w:rFonts w:eastAsia="方正仿宋简体"/>
          <w:bCs/>
          <w:sz w:val="30"/>
          <w:szCs w:val="30"/>
        </w:rPr>
        <w:t>由于市场原因或者其他非乙方原因导致甲方交易指令全部或者部分无法成交的，乙方不承担责任。乙方错误执行甲方交易指令，除甲方认可的以外，交易结果由乙方承担。</w:t>
      </w:r>
    </w:p>
    <w:p>
      <w:pPr>
        <w:numPr>
          <w:ilvl w:val="0"/>
          <w:numId w:val="129"/>
        </w:numPr>
        <w:adjustRightInd w:val="0"/>
        <w:spacing w:line="560" w:lineRule="exact"/>
        <w:ind w:left="0" w:firstLine="600" w:firstLineChars="200"/>
        <w:rPr>
          <w:rFonts w:eastAsia="方正仿宋简体"/>
          <w:bCs/>
          <w:sz w:val="30"/>
          <w:szCs w:val="30"/>
        </w:rPr>
      </w:pPr>
      <w:r>
        <w:rPr>
          <w:rFonts w:eastAsia="方正仿宋简体"/>
          <w:bCs/>
          <w:sz w:val="30"/>
          <w:szCs w:val="30"/>
        </w:rPr>
        <w:tab/>
      </w:r>
      <w:r>
        <w:rPr>
          <w:rFonts w:eastAsia="方正仿宋简体"/>
          <w:bCs/>
          <w:sz w:val="30"/>
          <w:szCs w:val="30"/>
        </w:rPr>
        <w:t>甲方有权查询自己的原始交易凭证、了解自己的账户情况，乙方应当给予积极配合。</w:t>
      </w:r>
    </w:p>
    <w:p>
      <w:pPr>
        <w:numPr>
          <w:ilvl w:val="0"/>
          <w:numId w:val="129"/>
        </w:numPr>
        <w:adjustRightInd w:val="0"/>
        <w:spacing w:line="560" w:lineRule="exact"/>
        <w:ind w:left="0" w:firstLine="600" w:firstLineChars="200"/>
        <w:rPr>
          <w:rFonts w:eastAsia="方正仿宋简体"/>
          <w:bCs/>
          <w:sz w:val="30"/>
          <w:szCs w:val="30"/>
        </w:rPr>
      </w:pPr>
      <w:r>
        <w:rPr>
          <w:rFonts w:eastAsia="方正仿宋简体"/>
          <w:bCs/>
          <w:sz w:val="30"/>
          <w:szCs w:val="30"/>
        </w:rPr>
        <w:tab/>
      </w:r>
      <w:r>
        <w:rPr>
          <w:rFonts w:eastAsia="方正仿宋简体"/>
          <w:bCs/>
          <w:sz w:val="30"/>
          <w:szCs w:val="30"/>
        </w:rPr>
        <w:t>乙方应当在其营业场所或者网站向甲方提供国内期权市场行情、信息及与交易相关的服务。</w:t>
      </w:r>
    </w:p>
    <w:p>
      <w:pPr>
        <w:adjustRightInd w:val="0"/>
        <w:spacing w:line="560" w:lineRule="exact"/>
        <w:ind w:firstLine="600" w:firstLineChars="200"/>
        <w:rPr>
          <w:rFonts w:eastAsia="方正仿宋简体"/>
          <w:bCs/>
          <w:sz w:val="30"/>
          <w:szCs w:val="30"/>
        </w:rPr>
      </w:pPr>
      <w:r>
        <w:rPr>
          <w:rFonts w:eastAsia="方正仿宋简体"/>
          <w:bCs/>
          <w:sz w:val="30"/>
          <w:szCs w:val="30"/>
        </w:rPr>
        <w:t>乙方可以通过举办讲座、发放资料及其他方式向甲方提供期权交易知识和交易技术的培训服务。</w:t>
      </w:r>
    </w:p>
    <w:p>
      <w:pPr>
        <w:numPr>
          <w:ilvl w:val="0"/>
          <w:numId w:val="129"/>
        </w:numPr>
        <w:adjustRightInd w:val="0"/>
        <w:spacing w:line="560" w:lineRule="exact"/>
        <w:ind w:left="0" w:firstLine="600" w:firstLineChars="200"/>
        <w:rPr>
          <w:rFonts w:eastAsia="方正仿宋简体"/>
          <w:bCs/>
          <w:sz w:val="30"/>
          <w:szCs w:val="30"/>
        </w:rPr>
      </w:pPr>
      <w:r>
        <w:rPr>
          <w:rFonts w:eastAsia="方正仿宋简体"/>
          <w:bCs/>
          <w:sz w:val="30"/>
          <w:szCs w:val="30"/>
        </w:rPr>
        <w:tab/>
      </w:r>
      <w:r>
        <w:rPr>
          <w:rFonts w:eastAsia="方正仿宋简体"/>
          <w:bCs/>
          <w:sz w:val="30"/>
          <w:szCs w:val="30"/>
        </w:rPr>
        <w:t>乙方提供的任何关于期权市场的行情信息、资讯、分析和培训，仅供甲方参考，不构成对甲方下达指令的指示、诱导或者暗示。</w:t>
      </w:r>
    </w:p>
    <w:p>
      <w:pPr>
        <w:adjustRightInd w:val="0"/>
        <w:spacing w:line="560" w:lineRule="exact"/>
        <w:ind w:firstLine="600" w:firstLineChars="200"/>
        <w:rPr>
          <w:rFonts w:eastAsia="方正仿宋简体"/>
          <w:bCs/>
          <w:sz w:val="30"/>
          <w:szCs w:val="30"/>
        </w:rPr>
      </w:pPr>
      <w:r>
        <w:rPr>
          <w:rFonts w:eastAsia="方正仿宋简体"/>
          <w:bCs/>
          <w:sz w:val="30"/>
          <w:szCs w:val="30"/>
        </w:rPr>
        <w:t>甲方应当对自己的交易行为负责，不能以根据乙方的分析或者信息进行交易为理由，要求乙方对其交易亏损承担责任。</w:t>
      </w:r>
    </w:p>
    <w:p>
      <w:pPr>
        <w:numPr>
          <w:ilvl w:val="0"/>
          <w:numId w:val="129"/>
        </w:numPr>
        <w:adjustRightInd w:val="0"/>
        <w:spacing w:line="560" w:lineRule="exact"/>
        <w:ind w:left="0" w:firstLine="600" w:firstLineChars="200"/>
        <w:rPr>
          <w:rFonts w:eastAsia="方正仿宋简体"/>
          <w:bCs/>
          <w:sz w:val="30"/>
          <w:szCs w:val="30"/>
        </w:rPr>
      </w:pPr>
      <w:r>
        <w:rPr>
          <w:rFonts w:eastAsia="方正仿宋简体"/>
          <w:bCs/>
          <w:sz w:val="30"/>
          <w:szCs w:val="30"/>
        </w:rPr>
        <w:tab/>
      </w:r>
      <w:r>
        <w:rPr>
          <w:rFonts w:eastAsia="方正仿宋简体"/>
          <w:bCs/>
          <w:sz w:val="30"/>
          <w:szCs w:val="30"/>
        </w:rPr>
        <w:t>甲方应当及时了解期权交易相关的法律、法规、规章和深交所、中国结算的业务规则，并可要求乙方对上述内容进行说明，乙方应予以解释，但甲方不得要求乙方为其做出期权投资判断或决策。</w:t>
      </w:r>
    </w:p>
    <w:p>
      <w:pPr>
        <w:adjustRightInd w:val="0"/>
        <w:spacing w:line="560" w:lineRule="exact"/>
        <w:rPr>
          <w:rFonts w:eastAsia="方正仿宋简体"/>
          <w:bCs/>
          <w:sz w:val="28"/>
          <w:szCs w:val="28"/>
        </w:rPr>
      </w:pPr>
    </w:p>
    <w:p>
      <w:pPr>
        <w:keepNext/>
        <w:keepLines/>
        <w:numPr>
          <w:ilvl w:val="0"/>
          <w:numId w:val="128"/>
        </w:numPr>
        <w:spacing w:line="560" w:lineRule="exact"/>
        <w:ind w:left="420"/>
        <w:jc w:val="center"/>
        <w:rPr>
          <w:rFonts w:ascii="黑体" w:hAnsi="黑体" w:eastAsia="黑体"/>
          <w:bCs/>
          <w:kern w:val="44"/>
          <w:sz w:val="30"/>
          <w:szCs w:val="30"/>
        </w:rPr>
      </w:pPr>
      <w:r>
        <w:rPr>
          <w:rFonts w:ascii="黑体" w:hAnsi="黑体" w:eastAsia="黑体"/>
          <w:bCs/>
          <w:kern w:val="44"/>
          <w:sz w:val="30"/>
          <w:szCs w:val="30"/>
        </w:rPr>
        <w:t>结算</w:t>
      </w:r>
    </w:p>
    <w:p>
      <w:pPr>
        <w:numPr>
          <w:ilvl w:val="0"/>
          <w:numId w:val="129"/>
        </w:numPr>
        <w:adjustRightInd w:val="0"/>
        <w:spacing w:line="560" w:lineRule="exact"/>
        <w:ind w:left="0" w:firstLine="600" w:firstLineChars="200"/>
        <w:rPr>
          <w:rFonts w:eastAsia="方正仿宋简体"/>
          <w:bCs/>
          <w:sz w:val="30"/>
          <w:szCs w:val="30"/>
        </w:rPr>
      </w:pPr>
      <w:r>
        <w:rPr>
          <w:rFonts w:hint="eastAsia" w:eastAsia="方正仿宋简体"/>
          <w:bCs/>
          <w:sz w:val="30"/>
          <w:szCs w:val="30"/>
        </w:rPr>
        <w:t xml:space="preserve"> </w:t>
      </w:r>
      <w:r>
        <w:rPr>
          <w:rFonts w:eastAsia="方正仿宋简体"/>
          <w:bCs/>
          <w:sz w:val="30"/>
          <w:szCs w:val="30"/>
        </w:rPr>
        <w:t>甲方同意，对于甲方的期权合约交易或者行权，乙方以自己的名义或委托结算参与人以其名义与中国结算完成集中结算，并由乙方办理乙方与甲方之间的期权结算，甲方不与中国结算发生结算关系。</w:t>
      </w:r>
    </w:p>
    <w:p>
      <w:pPr>
        <w:adjustRightInd w:val="0"/>
        <w:spacing w:line="560" w:lineRule="exact"/>
        <w:ind w:firstLine="600" w:firstLineChars="200"/>
        <w:rPr>
          <w:rFonts w:eastAsia="方正仿宋简体"/>
          <w:bCs/>
          <w:sz w:val="30"/>
          <w:szCs w:val="30"/>
        </w:rPr>
      </w:pPr>
      <w:r>
        <w:rPr>
          <w:rFonts w:eastAsia="方正仿宋简体"/>
          <w:bCs/>
          <w:sz w:val="30"/>
          <w:szCs w:val="30"/>
        </w:rPr>
        <w:t>甲乙双方发生的纠纷，不影响中国结算依照业务规则正在进行或已经进行的结算业务处理及违约处理。</w:t>
      </w:r>
    </w:p>
    <w:p>
      <w:pPr>
        <w:numPr>
          <w:ilvl w:val="0"/>
          <w:numId w:val="129"/>
        </w:numPr>
        <w:adjustRightInd w:val="0"/>
        <w:spacing w:line="560" w:lineRule="exact"/>
        <w:ind w:left="0" w:firstLine="600" w:firstLineChars="200"/>
        <w:rPr>
          <w:rFonts w:eastAsia="方正仿宋简体"/>
          <w:bCs/>
          <w:sz w:val="30"/>
          <w:szCs w:val="30"/>
        </w:rPr>
      </w:pPr>
      <w:r>
        <w:rPr>
          <w:rFonts w:eastAsia="方正仿宋简体"/>
          <w:bCs/>
          <w:sz w:val="30"/>
          <w:szCs w:val="30"/>
        </w:rPr>
        <w:tab/>
      </w:r>
      <w:r>
        <w:rPr>
          <w:rFonts w:eastAsia="方正仿宋简体"/>
          <w:bCs/>
          <w:sz w:val="30"/>
          <w:szCs w:val="30"/>
        </w:rPr>
        <w:t>甲方知晓并认可，甲方合约账户内的持仓，为乙方接受甲方委托以乙方的名义为甲方进行交易所形成的持仓。</w:t>
      </w:r>
    </w:p>
    <w:p>
      <w:pPr>
        <w:adjustRightInd w:val="0"/>
        <w:spacing w:line="560" w:lineRule="exact"/>
        <w:ind w:firstLine="600" w:firstLineChars="200"/>
        <w:rPr>
          <w:rFonts w:eastAsia="方正仿宋简体"/>
          <w:bCs/>
          <w:sz w:val="30"/>
          <w:szCs w:val="30"/>
        </w:rPr>
      </w:pPr>
      <w:r>
        <w:rPr>
          <w:rFonts w:eastAsia="方正仿宋简体"/>
          <w:bCs/>
          <w:sz w:val="30"/>
          <w:szCs w:val="30"/>
        </w:rPr>
        <w:t>甲方对其合约账户内的期权合约行权的，通过甲方合约账户对应的证券账户进行合约标的的行权交割。</w:t>
      </w:r>
    </w:p>
    <w:p>
      <w:pPr>
        <w:numPr>
          <w:ilvl w:val="0"/>
          <w:numId w:val="129"/>
        </w:numPr>
        <w:adjustRightInd w:val="0"/>
        <w:spacing w:line="560" w:lineRule="exact"/>
        <w:ind w:left="0" w:firstLine="600" w:firstLineChars="200"/>
        <w:rPr>
          <w:rFonts w:eastAsia="方正仿宋简体"/>
          <w:bCs/>
          <w:sz w:val="30"/>
          <w:szCs w:val="30"/>
        </w:rPr>
      </w:pPr>
      <w:r>
        <w:rPr>
          <w:rFonts w:eastAsia="方正仿宋简体"/>
          <w:bCs/>
          <w:sz w:val="30"/>
          <w:szCs w:val="30"/>
        </w:rPr>
        <w:tab/>
      </w:r>
      <w:r>
        <w:rPr>
          <w:rFonts w:eastAsia="方正仿宋简体"/>
          <w:bCs/>
          <w:sz w:val="30"/>
          <w:szCs w:val="30"/>
        </w:rPr>
        <w:t>甲方在进行期权交易前，应当向乙方交纳足额权利金、保证金；乙方在行权结算的集中交割、交收前，应当向甲方足额收取其应付的合约标的和资金。</w:t>
      </w:r>
    </w:p>
    <w:p>
      <w:pPr>
        <w:adjustRightInd w:val="0"/>
        <w:spacing w:line="560" w:lineRule="exact"/>
        <w:ind w:firstLine="600" w:firstLineChars="200"/>
        <w:rPr>
          <w:rFonts w:eastAsia="方正仿宋简体"/>
          <w:bCs/>
          <w:sz w:val="30"/>
          <w:szCs w:val="30"/>
        </w:rPr>
      </w:pPr>
      <w:r>
        <w:rPr>
          <w:rFonts w:eastAsia="方正仿宋简体"/>
          <w:bCs/>
          <w:sz w:val="30"/>
          <w:szCs w:val="30"/>
        </w:rPr>
        <w:t>除深交所、中国结算业务规则另有规定或者本合同另有约定外，乙方应当向正常履行资金交收和合约标的交割义务的甲方交付其应收的合约标的和资金。</w:t>
      </w:r>
    </w:p>
    <w:p>
      <w:pPr>
        <w:numPr>
          <w:ilvl w:val="0"/>
          <w:numId w:val="129"/>
        </w:numPr>
        <w:adjustRightInd w:val="0"/>
        <w:spacing w:line="560" w:lineRule="exact"/>
        <w:ind w:left="0" w:firstLine="600" w:firstLineChars="200"/>
        <w:rPr>
          <w:rFonts w:eastAsia="方正仿宋简体"/>
          <w:bCs/>
          <w:sz w:val="30"/>
          <w:szCs w:val="30"/>
        </w:rPr>
      </w:pPr>
      <w:r>
        <w:rPr>
          <w:rFonts w:eastAsia="方正仿宋简体"/>
          <w:bCs/>
          <w:sz w:val="30"/>
          <w:szCs w:val="30"/>
        </w:rPr>
        <w:tab/>
      </w:r>
      <w:r>
        <w:rPr>
          <w:rFonts w:eastAsia="方正仿宋简体"/>
          <w:bCs/>
          <w:sz w:val="30"/>
          <w:szCs w:val="30"/>
        </w:rPr>
        <w:t>甲方同意，在清算交收过程中，由乙方或其委托结算的结算参与人委托中国结算办理甲方与乙方之间的合约标的及相关证券划转。</w:t>
      </w:r>
    </w:p>
    <w:p>
      <w:pPr>
        <w:adjustRightInd w:val="0"/>
        <w:spacing w:line="560" w:lineRule="exact"/>
        <w:ind w:firstLine="600" w:firstLineChars="200"/>
        <w:rPr>
          <w:rFonts w:eastAsia="方正仿宋简体"/>
          <w:bCs/>
          <w:sz w:val="30"/>
          <w:szCs w:val="30"/>
        </w:rPr>
      </w:pPr>
      <w:r>
        <w:rPr>
          <w:rFonts w:eastAsia="方正仿宋简体"/>
          <w:bCs/>
          <w:sz w:val="30"/>
          <w:szCs w:val="30"/>
        </w:rPr>
        <w:t>乙方应保证其向中国结算发送的合约标的及相关证券划付指令真实、准确和完整，并对甲方承担因其委托错误而产生的法律责任。</w:t>
      </w:r>
    </w:p>
    <w:p>
      <w:pPr>
        <w:numPr>
          <w:ilvl w:val="0"/>
          <w:numId w:val="129"/>
        </w:numPr>
        <w:adjustRightInd w:val="0"/>
        <w:spacing w:line="560" w:lineRule="exact"/>
        <w:ind w:left="0" w:firstLine="600" w:firstLineChars="200"/>
        <w:rPr>
          <w:rFonts w:eastAsia="方正仿宋简体"/>
          <w:bCs/>
          <w:sz w:val="30"/>
          <w:szCs w:val="30"/>
        </w:rPr>
      </w:pPr>
      <w:r>
        <w:rPr>
          <w:rFonts w:eastAsia="方正仿宋简体"/>
          <w:bCs/>
          <w:sz w:val="30"/>
          <w:szCs w:val="30"/>
        </w:rPr>
        <w:tab/>
      </w:r>
      <w:r>
        <w:rPr>
          <w:rFonts w:eastAsia="方正仿宋简体"/>
          <w:bCs/>
          <w:sz w:val="30"/>
          <w:szCs w:val="30"/>
        </w:rPr>
        <w:t>发生下列情形的，甲方有权向乙方主张权利，乙方应承担相应责任并负责赔偿直接损失：</w:t>
      </w:r>
    </w:p>
    <w:p>
      <w:pPr>
        <w:adjustRightInd w:val="0"/>
        <w:spacing w:line="560" w:lineRule="exact"/>
        <w:ind w:firstLine="600" w:firstLineChars="200"/>
        <w:rPr>
          <w:rFonts w:eastAsia="方正仿宋简体"/>
          <w:bCs/>
          <w:sz w:val="30"/>
          <w:szCs w:val="30"/>
        </w:rPr>
      </w:pPr>
      <w:r>
        <w:rPr>
          <w:rFonts w:eastAsia="方正仿宋简体"/>
          <w:bCs/>
          <w:sz w:val="30"/>
          <w:szCs w:val="30"/>
        </w:rPr>
        <w:t>（一）因乙方过错，导致甲方被限制开仓或持仓合约被强行平仓的；</w:t>
      </w:r>
    </w:p>
    <w:p>
      <w:pPr>
        <w:adjustRightInd w:val="0"/>
        <w:spacing w:line="560" w:lineRule="exact"/>
        <w:ind w:firstLine="600" w:firstLineChars="200"/>
        <w:rPr>
          <w:rFonts w:eastAsia="方正仿宋简体"/>
          <w:bCs/>
          <w:sz w:val="30"/>
          <w:szCs w:val="30"/>
        </w:rPr>
      </w:pPr>
      <w:r>
        <w:rPr>
          <w:rFonts w:eastAsia="方正仿宋简体"/>
          <w:bCs/>
          <w:sz w:val="30"/>
          <w:szCs w:val="30"/>
        </w:rPr>
        <w:t>（二）因乙方过错，导致甲方应收合约标的被暂不交付或处置的；</w:t>
      </w:r>
    </w:p>
    <w:p>
      <w:pPr>
        <w:adjustRightInd w:val="0"/>
        <w:spacing w:line="560" w:lineRule="exact"/>
        <w:ind w:firstLine="600" w:firstLineChars="200"/>
        <w:rPr>
          <w:rFonts w:eastAsia="方正仿宋简体"/>
          <w:bCs/>
          <w:sz w:val="30"/>
          <w:szCs w:val="30"/>
        </w:rPr>
      </w:pPr>
      <w:r>
        <w:rPr>
          <w:rFonts w:eastAsia="方正仿宋简体"/>
          <w:bCs/>
          <w:sz w:val="30"/>
          <w:szCs w:val="30"/>
        </w:rPr>
        <w:t>（三）乙方对甲方出现交收违约而导致甲方未能取得行权应获得的合约标的或资金的；</w:t>
      </w:r>
    </w:p>
    <w:p>
      <w:pPr>
        <w:adjustRightInd w:val="0"/>
        <w:spacing w:line="560" w:lineRule="exact"/>
        <w:ind w:firstLine="600" w:firstLineChars="200"/>
        <w:rPr>
          <w:rFonts w:eastAsia="方正仿宋简体"/>
          <w:bCs/>
          <w:sz w:val="30"/>
          <w:szCs w:val="30"/>
        </w:rPr>
      </w:pPr>
      <w:r>
        <w:rPr>
          <w:rFonts w:eastAsia="方正仿宋简体"/>
          <w:bCs/>
          <w:sz w:val="30"/>
          <w:szCs w:val="30"/>
        </w:rPr>
        <w:t>（四）乙方发送的有关甲方的合约标的划付指令有误的；</w:t>
      </w:r>
    </w:p>
    <w:p>
      <w:pPr>
        <w:adjustRightInd w:val="0"/>
        <w:spacing w:line="560" w:lineRule="exact"/>
        <w:ind w:firstLine="600" w:firstLineChars="200"/>
        <w:rPr>
          <w:rFonts w:eastAsia="方正仿宋简体"/>
          <w:bCs/>
          <w:sz w:val="30"/>
          <w:szCs w:val="30"/>
        </w:rPr>
      </w:pPr>
      <w:r>
        <w:rPr>
          <w:rFonts w:eastAsia="方正仿宋简体"/>
          <w:bCs/>
          <w:sz w:val="30"/>
          <w:szCs w:val="30"/>
        </w:rPr>
        <w:t>（五）其他因乙方未遵守相关业务规则导致甲方利益受到损害的。</w:t>
      </w:r>
    </w:p>
    <w:p>
      <w:pPr>
        <w:numPr>
          <w:ilvl w:val="0"/>
          <w:numId w:val="129"/>
        </w:numPr>
        <w:adjustRightInd w:val="0"/>
        <w:spacing w:line="560" w:lineRule="exact"/>
        <w:ind w:left="0" w:firstLine="600" w:firstLineChars="200"/>
        <w:rPr>
          <w:rFonts w:eastAsia="方正仿宋简体"/>
          <w:bCs/>
          <w:sz w:val="30"/>
          <w:szCs w:val="30"/>
        </w:rPr>
      </w:pPr>
      <w:r>
        <w:rPr>
          <w:rFonts w:eastAsia="方正仿宋简体"/>
          <w:bCs/>
          <w:sz w:val="30"/>
          <w:szCs w:val="30"/>
        </w:rPr>
        <w:tab/>
      </w:r>
      <w:r>
        <w:rPr>
          <w:rFonts w:eastAsia="方正仿宋简体"/>
          <w:bCs/>
          <w:sz w:val="30"/>
          <w:szCs w:val="30"/>
        </w:rPr>
        <w:t>甲方知晓并同意，期权结算业务中发生异常交易情形的，按照深交所、中国结算的相关业务规则处理；期权结算业务中发生业务规则规定的现金结算情形导致甲方被实施现金结算的，按照相关业务规则规定处理。</w:t>
      </w:r>
    </w:p>
    <w:p>
      <w:pPr>
        <w:numPr>
          <w:ilvl w:val="0"/>
          <w:numId w:val="129"/>
        </w:numPr>
        <w:adjustRightInd w:val="0"/>
        <w:spacing w:line="560" w:lineRule="exact"/>
        <w:ind w:left="0" w:firstLine="600" w:firstLineChars="200"/>
        <w:rPr>
          <w:rFonts w:eastAsia="方正仿宋简体"/>
          <w:bCs/>
          <w:sz w:val="30"/>
          <w:szCs w:val="30"/>
        </w:rPr>
      </w:pPr>
      <w:r>
        <w:rPr>
          <w:rFonts w:eastAsia="方正仿宋简体"/>
          <w:bCs/>
          <w:sz w:val="30"/>
          <w:szCs w:val="30"/>
        </w:rPr>
        <w:tab/>
      </w:r>
      <w:r>
        <w:rPr>
          <w:rFonts w:eastAsia="方正仿宋简体"/>
          <w:bCs/>
          <w:sz w:val="30"/>
          <w:szCs w:val="30"/>
        </w:rPr>
        <w:t>乙方对甲方的期权交易实行当日无负债结算。甲方在交易日有交易、持仓或者出入金的，乙方应在当日结算后按照本合同约定的方式提供显示其账户权益状况和成交结果的交易结算报告供甲方查询。</w:t>
      </w:r>
    </w:p>
    <w:p>
      <w:pPr>
        <w:adjustRightInd w:val="0"/>
        <w:spacing w:line="560" w:lineRule="exact"/>
        <w:ind w:firstLine="600" w:firstLineChars="200"/>
        <w:rPr>
          <w:rFonts w:eastAsia="方正仿宋简体"/>
          <w:bCs/>
          <w:sz w:val="30"/>
          <w:szCs w:val="30"/>
        </w:rPr>
      </w:pPr>
      <w:r>
        <w:rPr>
          <w:rFonts w:eastAsia="方正仿宋简体"/>
          <w:bCs/>
          <w:sz w:val="30"/>
          <w:szCs w:val="30"/>
        </w:rPr>
        <w:t>甲方同意在没有交易、持仓及出入金时，乙方可以不对甲方发出交易结算报告，除非甲方特别要求。</w:t>
      </w:r>
    </w:p>
    <w:p>
      <w:pPr>
        <w:numPr>
          <w:ilvl w:val="0"/>
          <w:numId w:val="129"/>
        </w:numPr>
        <w:adjustRightInd w:val="0"/>
        <w:spacing w:line="560" w:lineRule="exact"/>
        <w:ind w:left="0" w:firstLine="600" w:firstLineChars="200"/>
        <w:rPr>
          <w:rFonts w:eastAsia="方正仿宋简体"/>
          <w:bCs/>
          <w:sz w:val="30"/>
          <w:szCs w:val="30"/>
        </w:rPr>
      </w:pPr>
      <w:r>
        <w:rPr>
          <w:rFonts w:eastAsia="方正仿宋简体"/>
          <w:bCs/>
          <w:sz w:val="30"/>
          <w:szCs w:val="30"/>
        </w:rPr>
        <w:tab/>
      </w:r>
      <w:r>
        <w:rPr>
          <w:rFonts w:eastAsia="方正仿宋简体"/>
          <w:bCs/>
          <w:sz w:val="30"/>
          <w:szCs w:val="30"/>
        </w:rPr>
        <w:t>乙方应在每日收盘以后，及时将甲方账户的交易结算报告、追加保证金通知等文件发送给甲方；甲方应当及时接收乙方发出的交易结算报告、追加保证金通知等文件。</w:t>
      </w:r>
    </w:p>
    <w:p>
      <w:pPr>
        <w:numPr>
          <w:ilvl w:val="0"/>
          <w:numId w:val="129"/>
        </w:numPr>
        <w:adjustRightInd w:val="0"/>
        <w:spacing w:line="560" w:lineRule="exact"/>
        <w:ind w:left="0" w:firstLine="600" w:firstLineChars="200"/>
        <w:rPr>
          <w:rFonts w:eastAsia="方正仿宋简体"/>
          <w:bCs/>
          <w:sz w:val="30"/>
          <w:szCs w:val="30"/>
        </w:rPr>
      </w:pPr>
      <w:r>
        <w:rPr>
          <w:rFonts w:eastAsia="方正仿宋简体"/>
          <w:bCs/>
          <w:sz w:val="30"/>
          <w:szCs w:val="30"/>
        </w:rPr>
        <w:tab/>
      </w:r>
      <w:r>
        <w:rPr>
          <w:rFonts w:eastAsia="方正仿宋简体"/>
          <w:bCs/>
          <w:sz w:val="30"/>
          <w:szCs w:val="30"/>
        </w:rPr>
        <w:t>甲方可通过（www.sipf.com.cn）或者（www.cfmmc.com）（二者选其一）登录前述查询系统。乙方通过本合同约定的方式及时告知甲方登录查询系统的用户名及初始密码。</w:t>
      </w:r>
    </w:p>
    <w:p>
      <w:pPr>
        <w:adjustRightInd w:val="0"/>
        <w:spacing w:line="560" w:lineRule="exact"/>
        <w:ind w:firstLine="600" w:firstLineChars="200"/>
        <w:rPr>
          <w:rFonts w:eastAsia="方正仿宋简体"/>
          <w:bCs/>
          <w:sz w:val="30"/>
          <w:szCs w:val="30"/>
        </w:rPr>
      </w:pPr>
      <w:r>
        <w:rPr>
          <w:rFonts w:eastAsia="方正仿宋简体"/>
          <w:bCs/>
          <w:sz w:val="30"/>
          <w:szCs w:val="30"/>
        </w:rPr>
        <w:t>甲方应遵照有关规定，及时修改查询系统登录密码。</w:t>
      </w:r>
    </w:p>
    <w:p>
      <w:pPr>
        <w:numPr>
          <w:ilvl w:val="0"/>
          <w:numId w:val="129"/>
        </w:numPr>
        <w:adjustRightInd w:val="0"/>
        <w:spacing w:line="560" w:lineRule="exact"/>
        <w:ind w:left="0" w:firstLine="600" w:firstLineChars="200"/>
        <w:rPr>
          <w:rFonts w:ascii="方正仿宋简体" w:eastAsia="方正仿宋简体"/>
          <w:bCs/>
          <w:sz w:val="30"/>
          <w:szCs w:val="30"/>
        </w:rPr>
      </w:pPr>
      <w:r>
        <w:rPr>
          <w:rFonts w:eastAsia="方正仿宋简体"/>
          <w:bCs/>
          <w:sz w:val="30"/>
          <w:szCs w:val="30"/>
        </w:rPr>
        <w:tab/>
      </w:r>
      <w:r>
        <w:rPr>
          <w:rFonts w:eastAsia="方正仿宋简体"/>
          <w:bCs/>
          <w:sz w:val="30"/>
          <w:szCs w:val="30"/>
        </w:rPr>
        <w:t>乙方向甲方发送每日交易结算报告、追加保证金通知、单独调整保证金通知等文件，或者深交所、中国结算根据其业务规则的规定调整期权交易的保证金标准、持仓限额以及其他相关标准，或者乙方根据本合同约定调整期权交易的保证金标准、持</w:t>
      </w:r>
      <w:r>
        <w:rPr>
          <w:rFonts w:hint="eastAsia" w:ascii="方正仿宋简体" w:eastAsia="方正仿宋简体"/>
          <w:bCs/>
          <w:sz w:val="30"/>
          <w:szCs w:val="30"/>
        </w:rPr>
        <w:t>仓限额以及其他相关标准的，甲方知晓并同意乙方同时采用期权交易客户端以及下列一种或者多种方式通知甲方（注：请在选项前□内打√并填写有关内容，在非选项前□内打×，下同）：</w:t>
      </w:r>
    </w:p>
    <w:p>
      <w:pPr>
        <w:adjustRightInd w:val="0"/>
        <w:spacing w:line="560" w:lineRule="exact"/>
        <w:ind w:firstLine="600" w:firstLineChars="200"/>
        <w:rPr>
          <w:rFonts w:ascii="方正仿宋简体" w:eastAsia="方正仿宋简体"/>
          <w:bCs/>
          <w:sz w:val="30"/>
          <w:szCs w:val="30"/>
        </w:rPr>
      </w:pPr>
      <w:r>
        <w:rPr>
          <w:rFonts w:hint="eastAsia" w:ascii="方正仿宋简体" w:eastAsia="方正仿宋简体"/>
          <w:bCs/>
          <w:sz w:val="30"/>
          <w:szCs w:val="30"/>
        </w:rPr>
        <w:t>（一）发送每日交易结算报告：</w:t>
      </w:r>
    </w:p>
    <w:p>
      <w:pPr>
        <w:adjustRightInd w:val="0"/>
        <w:spacing w:line="560" w:lineRule="exact"/>
        <w:ind w:firstLine="600" w:firstLineChars="200"/>
        <w:rPr>
          <w:rFonts w:ascii="方正仿宋简体" w:eastAsia="方正仿宋简体"/>
          <w:bCs/>
          <w:sz w:val="30"/>
          <w:szCs w:val="30"/>
        </w:rPr>
      </w:pPr>
      <w:r>
        <w:rPr>
          <w:rFonts w:hint="eastAsia" w:ascii="方正仿宋简体" w:eastAsia="方正仿宋简体"/>
          <w:bCs/>
          <w:sz w:val="30"/>
          <w:szCs w:val="30"/>
        </w:rPr>
        <w:t>□ 电话通知；</w:t>
      </w:r>
    </w:p>
    <w:p>
      <w:pPr>
        <w:adjustRightInd w:val="0"/>
        <w:spacing w:line="560" w:lineRule="exact"/>
        <w:ind w:firstLine="600" w:firstLineChars="200"/>
        <w:rPr>
          <w:rFonts w:ascii="方正仿宋简体" w:eastAsia="方正仿宋简体"/>
          <w:bCs/>
          <w:sz w:val="30"/>
          <w:szCs w:val="30"/>
        </w:rPr>
      </w:pPr>
      <w:r>
        <w:rPr>
          <w:rFonts w:hint="eastAsia" w:ascii="方正仿宋简体" w:eastAsia="方正仿宋简体"/>
          <w:bCs/>
          <w:sz w:val="30"/>
          <w:szCs w:val="30"/>
        </w:rPr>
        <w:t>□ 短信通知；</w:t>
      </w:r>
    </w:p>
    <w:p>
      <w:pPr>
        <w:adjustRightInd w:val="0"/>
        <w:spacing w:line="560" w:lineRule="exact"/>
        <w:ind w:firstLine="600" w:firstLineChars="200"/>
        <w:rPr>
          <w:rFonts w:ascii="方正仿宋简体" w:eastAsia="方正仿宋简体"/>
          <w:bCs/>
          <w:sz w:val="30"/>
          <w:szCs w:val="30"/>
        </w:rPr>
      </w:pPr>
      <w:r>
        <w:rPr>
          <w:rFonts w:hint="eastAsia" w:ascii="方正仿宋简体" w:eastAsia="方正仿宋简体"/>
          <w:bCs/>
          <w:sz w:val="30"/>
          <w:szCs w:val="30"/>
        </w:rPr>
        <w:t>□ 电子邮件通知；</w:t>
      </w:r>
    </w:p>
    <w:p>
      <w:pPr>
        <w:adjustRightInd w:val="0"/>
        <w:spacing w:line="560" w:lineRule="exact"/>
        <w:ind w:firstLine="600" w:firstLineChars="200"/>
        <w:rPr>
          <w:rFonts w:ascii="方正仿宋简体" w:eastAsia="方正仿宋简体"/>
          <w:bCs/>
          <w:sz w:val="30"/>
          <w:szCs w:val="30"/>
        </w:rPr>
      </w:pPr>
      <w:r>
        <w:rPr>
          <w:rFonts w:hint="eastAsia" w:ascii="方正仿宋简体" w:eastAsia="方正仿宋简体"/>
          <w:bCs/>
          <w:sz w:val="30"/>
          <w:szCs w:val="30"/>
        </w:rPr>
        <w:t>□其他方式：</w:t>
      </w:r>
    </w:p>
    <w:p>
      <w:pPr>
        <w:adjustRightInd w:val="0"/>
        <w:spacing w:line="560" w:lineRule="exact"/>
        <w:ind w:firstLine="600" w:firstLineChars="200"/>
        <w:rPr>
          <w:rFonts w:ascii="方正仿宋简体" w:eastAsia="方正仿宋简体"/>
          <w:bCs/>
          <w:sz w:val="30"/>
          <w:szCs w:val="30"/>
        </w:rPr>
      </w:pPr>
      <w:r>
        <w:rPr>
          <w:rFonts w:hint="eastAsia" w:ascii="方正仿宋简体" w:eastAsia="方正仿宋简体"/>
          <w:bCs/>
          <w:sz w:val="30"/>
          <w:szCs w:val="30"/>
        </w:rPr>
        <w:t>（二）追加保证金通知：</w:t>
      </w:r>
    </w:p>
    <w:p>
      <w:pPr>
        <w:adjustRightInd w:val="0"/>
        <w:spacing w:line="560" w:lineRule="exact"/>
        <w:ind w:firstLine="600" w:firstLineChars="200"/>
        <w:rPr>
          <w:rFonts w:ascii="方正仿宋简体" w:eastAsia="方正仿宋简体"/>
          <w:bCs/>
          <w:sz w:val="30"/>
          <w:szCs w:val="30"/>
        </w:rPr>
      </w:pPr>
      <w:r>
        <w:rPr>
          <w:rFonts w:hint="eastAsia" w:ascii="方正仿宋简体" w:eastAsia="方正仿宋简体"/>
          <w:bCs/>
          <w:sz w:val="30"/>
          <w:szCs w:val="30"/>
        </w:rPr>
        <w:t>□ 电话通知；</w:t>
      </w:r>
    </w:p>
    <w:p>
      <w:pPr>
        <w:adjustRightInd w:val="0"/>
        <w:spacing w:line="560" w:lineRule="exact"/>
        <w:ind w:firstLine="600" w:firstLineChars="200"/>
        <w:rPr>
          <w:rFonts w:ascii="方正仿宋简体" w:eastAsia="方正仿宋简体"/>
          <w:bCs/>
          <w:sz w:val="30"/>
          <w:szCs w:val="30"/>
        </w:rPr>
      </w:pPr>
      <w:r>
        <w:rPr>
          <w:rFonts w:hint="eastAsia" w:ascii="方正仿宋简体" w:eastAsia="方正仿宋简体"/>
          <w:bCs/>
          <w:sz w:val="30"/>
          <w:szCs w:val="30"/>
        </w:rPr>
        <w:t>□ 短信通知；</w:t>
      </w:r>
    </w:p>
    <w:p>
      <w:pPr>
        <w:adjustRightInd w:val="0"/>
        <w:spacing w:line="560" w:lineRule="exact"/>
        <w:ind w:firstLine="600" w:firstLineChars="200"/>
        <w:rPr>
          <w:rFonts w:ascii="方正仿宋简体" w:eastAsia="方正仿宋简体"/>
          <w:bCs/>
          <w:sz w:val="30"/>
          <w:szCs w:val="30"/>
        </w:rPr>
      </w:pPr>
      <w:r>
        <w:rPr>
          <w:rFonts w:hint="eastAsia" w:ascii="方正仿宋简体" w:eastAsia="方正仿宋简体"/>
          <w:bCs/>
          <w:sz w:val="30"/>
          <w:szCs w:val="30"/>
        </w:rPr>
        <w:t>□ 电子邮件通知；</w:t>
      </w:r>
    </w:p>
    <w:p>
      <w:pPr>
        <w:adjustRightInd w:val="0"/>
        <w:spacing w:line="560" w:lineRule="exact"/>
        <w:ind w:firstLine="600" w:firstLineChars="200"/>
        <w:rPr>
          <w:rFonts w:ascii="方正仿宋简体" w:eastAsia="方正仿宋简体"/>
          <w:bCs/>
          <w:sz w:val="30"/>
          <w:szCs w:val="30"/>
        </w:rPr>
      </w:pPr>
      <w:r>
        <w:rPr>
          <w:rFonts w:hint="eastAsia" w:ascii="方正仿宋简体" w:eastAsia="方正仿宋简体"/>
          <w:bCs/>
          <w:sz w:val="30"/>
          <w:szCs w:val="30"/>
        </w:rPr>
        <w:t>□其他方式：</w:t>
      </w:r>
    </w:p>
    <w:p>
      <w:pPr>
        <w:adjustRightInd w:val="0"/>
        <w:spacing w:line="560" w:lineRule="exact"/>
        <w:ind w:firstLine="600" w:firstLineChars="200"/>
        <w:rPr>
          <w:rFonts w:ascii="方正仿宋简体" w:eastAsia="方正仿宋简体"/>
          <w:bCs/>
          <w:sz w:val="30"/>
          <w:szCs w:val="30"/>
        </w:rPr>
      </w:pPr>
      <w:r>
        <w:rPr>
          <w:rFonts w:hint="eastAsia" w:ascii="方正仿宋简体" w:eastAsia="方正仿宋简体"/>
          <w:bCs/>
          <w:sz w:val="30"/>
          <w:szCs w:val="30"/>
        </w:rPr>
        <w:t>（三）单独调整保证金通知：</w:t>
      </w:r>
    </w:p>
    <w:p>
      <w:pPr>
        <w:adjustRightInd w:val="0"/>
        <w:spacing w:line="560" w:lineRule="exact"/>
        <w:ind w:firstLine="600" w:firstLineChars="200"/>
        <w:rPr>
          <w:rFonts w:ascii="方正仿宋简体" w:eastAsia="方正仿宋简体"/>
          <w:bCs/>
          <w:sz w:val="30"/>
          <w:szCs w:val="30"/>
        </w:rPr>
      </w:pPr>
      <w:r>
        <w:rPr>
          <w:rFonts w:hint="eastAsia" w:ascii="方正仿宋简体" w:eastAsia="方正仿宋简体"/>
          <w:bCs/>
          <w:sz w:val="30"/>
          <w:szCs w:val="30"/>
        </w:rPr>
        <w:t>□ 电话通知；</w:t>
      </w:r>
    </w:p>
    <w:p>
      <w:pPr>
        <w:adjustRightInd w:val="0"/>
        <w:spacing w:line="560" w:lineRule="exact"/>
        <w:ind w:firstLine="600" w:firstLineChars="200"/>
        <w:rPr>
          <w:rFonts w:ascii="方正仿宋简体" w:eastAsia="方正仿宋简体"/>
          <w:bCs/>
          <w:sz w:val="30"/>
          <w:szCs w:val="30"/>
        </w:rPr>
      </w:pPr>
      <w:r>
        <w:rPr>
          <w:rFonts w:hint="eastAsia" w:ascii="方正仿宋简体" w:eastAsia="方正仿宋简体"/>
          <w:bCs/>
          <w:sz w:val="30"/>
          <w:szCs w:val="30"/>
        </w:rPr>
        <w:t>□ 短信通知；</w:t>
      </w:r>
    </w:p>
    <w:p>
      <w:pPr>
        <w:adjustRightInd w:val="0"/>
        <w:spacing w:line="560" w:lineRule="exact"/>
        <w:ind w:firstLine="600" w:firstLineChars="200"/>
        <w:rPr>
          <w:rFonts w:ascii="方正仿宋简体" w:eastAsia="方正仿宋简体"/>
          <w:bCs/>
          <w:sz w:val="30"/>
          <w:szCs w:val="30"/>
        </w:rPr>
      </w:pPr>
      <w:r>
        <w:rPr>
          <w:rFonts w:hint="eastAsia" w:ascii="方正仿宋简体" w:eastAsia="方正仿宋简体"/>
          <w:bCs/>
          <w:sz w:val="30"/>
          <w:szCs w:val="30"/>
        </w:rPr>
        <w:t>□ 电子邮件通知；</w:t>
      </w:r>
    </w:p>
    <w:p>
      <w:pPr>
        <w:adjustRightInd w:val="0"/>
        <w:spacing w:line="560" w:lineRule="exact"/>
        <w:ind w:firstLine="600" w:firstLineChars="200"/>
        <w:rPr>
          <w:rFonts w:ascii="方正仿宋简体" w:eastAsia="方正仿宋简体"/>
          <w:bCs/>
          <w:sz w:val="30"/>
          <w:szCs w:val="30"/>
        </w:rPr>
      </w:pPr>
      <w:r>
        <w:rPr>
          <w:rFonts w:hint="eastAsia" w:ascii="方正仿宋简体" w:eastAsia="方正仿宋简体"/>
          <w:bCs/>
          <w:sz w:val="30"/>
          <w:szCs w:val="30"/>
        </w:rPr>
        <w:t>□其他方式：                。</w:t>
      </w:r>
    </w:p>
    <w:p>
      <w:pPr>
        <w:adjustRightInd w:val="0"/>
        <w:spacing w:line="560" w:lineRule="exact"/>
        <w:ind w:firstLine="600" w:firstLineChars="200"/>
        <w:rPr>
          <w:rFonts w:ascii="方正仿宋简体" w:eastAsia="方正仿宋简体"/>
          <w:bCs/>
          <w:sz w:val="30"/>
          <w:szCs w:val="30"/>
        </w:rPr>
      </w:pPr>
      <w:r>
        <w:rPr>
          <w:rFonts w:hint="eastAsia" w:ascii="方正仿宋简体" w:eastAsia="方正仿宋简体"/>
          <w:bCs/>
          <w:sz w:val="30"/>
          <w:szCs w:val="30"/>
        </w:rPr>
        <w:t>（四）深交所、中国结算根据其业务规则的规定调整期权交易的保证金标准、持仓限额以及其他相关标准：</w:t>
      </w:r>
    </w:p>
    <w:p>
      <w:pPr>
        <w:adjustRightInd w:val="0"/>
        <w:spacing w:line="560" w:lineRule="exact"/>
        <w:ind w:firstLine="600" w:firstLineChars="200"/>
        <w:rPr>
          <w:rFonts w:ascii="方正仿宋简体" w:eastAsia="方正仿宋简体"/>
          <w:bCs/>
          <w:sz w:val="30"/>
          <w:szCs w:val="30"/>
        </w:rPr>
      </w:pPr>
      <w:r>
        <w:rPr>
          <w:rFonts w:hint="eastAsia" w:ascii="方正仿宋简体" w:eastAsia="方正仿宋简体"/>
          <w:bCs/>
          <w:sz w:val="30"/>
          <w:szCs w:val="30"/>
        </w:rPr>
        <w:t>□ 营业场所公告</w:t>
      </w:r>
    </w:p>
    <w:p>
      <w:pPr>
        <w:adjustRightInd w:val="0"/>
        <w:spacing w:line="560" w:lineRule="exact"/>
        <w:ind w:firstLine="600" w:firstLineChars="200"/>
        <w:rPr>
          <w:rFonts w:ascii="方正仿宋简体" w:eastAsia="方正仿宋简体"/>
          <w:bCs/>
          <w:sz w:val="30"/>
          <w:szCs w:val="30"/>
        </w:rPr>
      </w:pPr>
      <w:r>
        <w:rPr>
          <w:rFonts w:hint="eastAsia" w:ascii="方正仿宋简体" w:eastAsia="方正仿宋简体"/>
          <w:bCs/>
          <w:sz w:val="30"/>
          <w:szCs w:val="30"/>
        </w:rPr>
        <w:t>□ 电话通知；</w:t>
      </w:r>
    </w:p>
    <w:p>
      <w:pPr>
        <w:adjustRightInd w:val="0"/>
        <w:spacing w:line="560" w:lineRule="exact"/>
        <w:ind w:firstLine="600" w:firstLineChars="200"/>
        <w:rPr>
          <w:rFonts w:ascii="方正仿宋简体" w:eastAsia="方正仿宋简体"/>
          <w:bCs/>
          <w:sz w:val="30"/>
          <w:szCs w:val="30"/>
        </w:rPr>
      </w:pPr>
      <w:r>
        <w:rPr>
          <w:rFonts w:hint="eastAsia" w:ascii="方正仿宋简体" w:eastAsia="方正仿宋简体"/>
          <w:bCs/>
          <w:sz w:val="30"/>
          <w:szCs w:val="30"/>
        </w:rPr>
        <w:t>□ 短信通知；</w:t>
      </w:r>
    </w:p>
    <w:p>
      <w:pPr>
        <w:adjustRightInd w:val="0"/>
        <w:spacing w:line="560" w:lineRule="exact"/>
        <w:ind w:firstLine="600" w:firstLineChars="200"/>
        <w:rPr>
          <w:rFonts w:ascii="方正仿宋简体" w:eastAsia="方正仿宋简体"/>
          <w:bCs/>
          <w:sz w:val="30"/>
          <w:szCs w:val="30"/>
        </w:rPr>
      </w:pPr>
      <w:r>
        <w:rPr>
          <w:rFonts w:hint="eastAsia" w:ascii="方正仿宋简体" w:eastAsia="方正仿宋简体"/>
          <w:bCs/>
          <w:sz w:val="30"/>
          <w:szCs w:val="30"/>
        </w:rPr>
        <w:t>□ 电子邮件通知；</w:t>
      </w:r>
    </w:p>
    <w:p>
      <w:pPr>
        <w:adjustRightInd w:val="0"/>
        <w:spacing w:line="560" w:lineRule="exact"/>
        <w:ind w:firstLine="600" w:firstLineChars="200"/>
        <w:rPr>
          <w:rFonts w:ascii="方正仿宋简体" w:eastAsia="方正仿宋简体"/>
          <w:bCs/>
          <w:sz w:val="30"/>
          <w:szCs w:val="30"/>
        </w:rPr>
      </w:pPr>
      <w:r>
        <w:rPr>
          <w:rFonts w:hint="eastAsia" w:ascii="方正仿宋简体" w:eastAsia="方正仿宋简体"/>
          <w:bCs/>
          <w:sz w:val="30"/>
          <w:szCs w:val="30"/>
        </w:rPr>
        <w:t>□ 其他方式：</w:t>
      </w:r>
    </w:p>
    <w:p>
      <w:pPr>
        <w:adjustRightInd w:val="0"/>
        <w:spacing w:line="560" w:lineRule="exact"/>
        <w:ind w:firstLine="600" w:firstLineChars="200"/>
        <w:rPr>
          <w:rFonts w:ascii="方正仿宋简体" w:eastAsia="方正仿宋简体"/>
          <w:bCs/>
          <w:sz w:val="30"/>
          <w:szCs w:val="30"/>
        </w:rPr>
      </w:pPr>
      <w:r>
        <w:rPr>
          <w:rFonts w:hint="eastAsia" w:ascii="方正仿宋简体" w:eastAsia="方正仿宋简体"/>
          <w:bCs/>
          <w:sz w:val="30"/>
          <w:szCs w:val="30"/>
        </w:rPr>
        <w:t>（五）乙方根据本合同约定调整期权交易的保证金标准、持仓限额以及其他相关标准：</w:t>
      </w:r>
    </w:p>
    <w:p>
      <w:pPr>
        <w:adjustRightInd w:val="0"/>
        <w:spacing w:line="560" w:lineRule="exact"/>
        <w:ind w:firstLine="600" w:firstLineChars="200"/>
        <w:rPr>
          <w:rFonts w:ascii="方正仿宋简体" w:eastAsia="方正仿宋简体"/>
          <w:bCs/>
          <w:sz w:val="30"/>
          <w:szCs w:val="30"/>
        </w:rPr>
      </w:pPr>
      <w:r>
        <w:rPr>
          <w:rFonts w:hint="eastAsia" w:ascii="方正仿宋简体" w:eastAsia="方正仿宋简体"/>
          <w:bCs/>
          <w:sz w:val="30"/>
          <w:szCs w:val="30"/>
        </w:rPr>
        <w:t>□ 营业场所公告；</w:t>
      </w:r>
    </w:p>
    <w:p>
      <w:pPr>
        <w:adjustRightInd w:val="0"/>
        <w:spacing w:line="560" w:lineRule="exact"/>
        <w:ind w:firstLine="600" w:firstLineChars="200"/>
        <w:rPr>
          <w:rFonts w:ascii="方正仿宋简体" w:eastAsia="方正仿宋简体"/>
          <w:bCs/>
          <w:sz w:val="30"/>
          <w:szCs w:val="30"/>
        </w:rPr>
      </w:pPr>
      <w:r>
        <w:rPr>
          <w:rFonts w:hint="eastAsia" w:ascii="方正仿宋简体" w:eastAsia="方正仿宋简体"/>
          <w:bCs/>
          <w:sz w:val="30"/>
          <w:szCs w:val="30"/>
        </w:rPr>
        <w:t>□ 电话通知；</w:t>
      </w:r>
    </w:p>
    <w:p>
      <w:pPr>
        <w:adjustRightInd w:val="0"/>
        <w:spacing w:line="560" w:lineRule="exact"/>
        <w:ind w:firstLine="600" w:firstLineChars="200"/>
        <w:rPr>
          <w:rFonts w:ascii="方正仿宋简体" w:eastAsia="方正仿宋简体"/>
          <w:bCs/>
          <w:sz w:val="30"/>
          <w:szCs w:val="30"/>
        </w:rPr>
      </w:pPr>
      <w:r>
        <w:rPr>
          <w:rFonts w:hint="eastAsia" w:ascii="方正仿宋简体" w:eastAsia="方正仿宋简体"/>
          <w:bCs/>
          <w:sz w:val="30"/>
          <w:szCs w:val="30"/>
        </w:rPr>
        <w:t>□ 短信通知；</w:t>
      </w:r>
    </w:p>
    <w:p>
      <w:pPr>
        <w:adjustRightInd w:val="0"/>
        <w:spacing w:line="560" w:lineRule="exact"/>
        <w:ind w:firstLine="600" w:firstLineChars="200"/>
        <w:rPr>
          <w:rFonts w:ascii="方正仿宋简体" w:eastAsia="方正仿宋简体"/>
          <w:bCs/>
          <w:sz w:val="30"/>
          <w:szCs w:val="30"/>
        </w:rPr>
      </w:pPr>
      <w:r>
        <w:rPr>
          <w:rFonts w:hint="eastAsia" w:ascii="方正仿宋简体" w:eastAsia="方正仿宋简体"/>
          <w:bCs/>
          <w:sz w:val="30"/>
          <w:szCs w:val="30"/>
        </w:rPr>
        <w:t>□ 电子邮件通知；</w:t>
      </w:r>
    </w:p>
    <w:p>
      <w:pPr>
        <w:adjustRightInd w:val="0"/>
        <w:spacing w:line="560" w:lineRule="exact"/>
        <w:ind w:firstLine="600" w:firstLineChars="200"/>
        <w:rPr>
          <w:rFonts w:ascii="方正仿宋简体" w:eastAsia="方正仿宋简体"/>
          <w:bCs/>
          <w:sz w:val="30"/>
          <w:szCs w:val="30"/>
        </w:rPr>
      </w:pPr>
      <w:r>
        <w:rPr>
          <w:rFonts w:hint="eastAsia" w:ascii="方正仿宋简体" w:eastAsia="方正仿宋简体"/>
          <w:bCs/>
          <w:sz w:val="30"/>
          <w:szCs w:val="30"/>
        </w:rPr>
        <w:t>□ 其他方式：</w:t>
      </w:r>
    </w:p>
    <w:p>
      <w:pPr>
        <w:numPr>
          <w:ilvl w:val="0"/>
          <w:numId w:val="129"/>
        </w:numPr>
        <w:adjustRightInd w:val="0"/>
        <w:spacing w:line="560" w:lineRule="exact"/>
        <w:ind w:left="0" w:firstLine="600" w:firstLineChars="200"/>
        <w:rPr>
          <w:rFonts w:eastAsia="方正仿宋简体"/>
          <w:bCs/>
          <w:sz w:val="30"/>
          <w:szCs w:val="30"/>
        </w:rPr>
      </w:pPr>
      <w:r>
        <w:rPr>
          <w:rFonts w:hint="eastAsia" w:ascii="方正仿宋简体" w:eastAsia="方正仿宋简体"/>
          <w:bCs/>
          <w:sz w:val="30"/>
          <w:szCs w:val="30"/>
        </w:rPr>
        <w:t>甲方有义务及时关注自己的交易结果、持仓情况、保证金和权益变化，并妥善处理持仓，如果甲方因某种原因无法收到或者没有收到当日交易结算</w:t>
      </w:r>
      <w:r>
        <w:rPr>
          <w:rFonts w:eastAsia="方正仿宋简体"/>
          <w:bCs/>
          <w:sz w:val="30"/>
          <w:szCs w:val="30"/>
        </w:rPr>
        <w:t>报告的，应于下一个交易日开市前（  ）分钟前向乙方提出，否则，视同甲方收到当日交易结算报告。甲方提出未收到交易结算报告的，乙方应及时补发。</w:t>
      </w:r>
    </w:p>
    <w:p>
      <w:pPr>
        <w:numPr>
          <w:ilvl w:val="0"/>
          <w:numId w:val="129"/>
        </w:numPr>
        <w:adjustRightInd w:val="0"/>
        <w:spacing w:line="560" w:lineRule="exact"/>
        <w:ind w:left="0" w:firstLine="600" w:firstLineChars="200"/>
        <w:rPr>
          <w:rFonts w:eastAsia="方正仿宋简体"/>
          <w:bCs/>
          <w:sz w:val="30"/>
          <w:szCs w:val="30"/>
        </w:rPr>
      </w:pPr>
      <w:r>
        <w:rPr>
          <w:rFonts w:eastAsia="方正仿宋简体"/>
          <w:bCs/>
          <w:sz w:val="30"/>
          <w:szCs w:val="30"/>
        </w:rPr>
        <w:t xml:space="preserve">  甲方在交易日开市前未对前日交易结算报告提出异议的，视为甲方对交易结算报告记载事项的确认。异议应由甲方本人或其授权的结算单确认人以书面方式（传真或当面提交）向乙方提出，乙方应当及时处理所收到的书面异议。</w:t>
      </w:r>
    </w:p>
    <w:p>
      <w:pPr>
        <w:numPr>
          <w:ilvl w:val="0"/>
          <w:numId w:val="129"/>
        </w:numPr>
        <w:adjustRightInd w:val="0"/>
        <w:spacing w:line="560" w:lineRule="exact"/>
        <w:ind w:left="0" w:firstLine="600" w:firstLineChars="200"/>
        <w:rPr>
          <w:rFonts w:eastAsia="方正仿宋简体"/>
          <w:bCs/>
          <w:sz w:val="30"/>
          <w:szCs w:val="30"/>
        </w:rPr>
      </w:pPr>
      <w:r>
        <w:rPr>
          <w:rFonts w:eastAsia="方正仿宋简体"/>
          <w:bCs/>
          <w:sz w:val="30"/>
          <w:szCs w:val="30"/>
        </w:rPr>
        <w:tab/>
      </w:r>
      <w:r>
        <w:rPr>
          <w:rFonts w:eastAsia="方正仿宋简体"/>
          <w:bCs/>
          <w:sz w:val="30"/>
          <w:szCs w:val="30"/>
        </w:rPr>
        <w:t>乙方或者甲方要求变更本合同约定的通知方式的，应当及时书面通知对方，并经对方确认后方可生效。否则，由变更造成的通知延误或者损失均由提出变更方负责。</w:t>
      </w:r>
    </w:p>
    <w:p>
      <w:pPr>
        <w:numPr>
          <w:ilvl w:val="0"/>
          <w:numId w:val="129"/>
        </w:numPr>
        <w:adjustRightInd w:val="0"/>
        <w:spacing w:line="560" w:lineRule="exact"/>
        <w:ind w:left="0" w:firstLine="600" w:firstLineChars="200"/>
        <w:rPr>
          <w:rFonts w:eastAsia="方正仿宋简体"/>
          <w:bCs/>
          <w:sz w:val="30"/>
          <w:szCs w:val="30"/>
        </w:rPr>
      </w:pPr>
      <w:r>
        <w:rPr>
          <w:rFonts w:eastAsia="方正仿宋简体"/>
          <w:bCs/>
          <w:sz w:val="30"/>
          <w:szCs w:val="30"/>
        </w:rPr>
        <w:tab/>
      </w:r>
      <w:r>
        <w:rPr>
          <w:rFonts w:eastAsia="方正仿宋简体"/>
          <w:bCs/>
          <w:sz w:val="30"/>
          <w:szCs w:val="30"/>
        </w:rPr>
        <w:t>甲方对当日交易结算报告的确认，视为甲方对该日及该日之前所有持仓和交易结算结果、资金出入的确认。</w:t>
      </w:r>
    </w:p>
    <w:p>
      <w:pPr>
        <w:numPr>
          <w:ilvl w:val="0"/>
          <w:numId w:val="129"/>
        </w:numPr>
        <w:adjustRightInd w:val="0"/>
        <w:spacing w:line="560" w:lineRule="exact"/>
        <w:ind w:left="0" w:firstLine="600" w:firstLineChars="200"/>
        <w:rPr>
          <w:rFonts w:eastAsia="方正仿宋简体"/>
          <w:bCs/>
          <w:sz w:val="30"/>
          <w:szCs w:val="30"/>
        </w:rPr>
      </w:pPr>
      <w:r>
        <w:rPr>
          <w:rFonts w:eastAsia="方正仿宋简体"/>
          <w:bCs/>
          <w:sz w:val="30"/>
          <w:szCs w:val="30"/>
        </w:rPr>
        <w:tab/>
      </w:r>
      <w:r>
        <w:rPr>
          <w:rFonts w:eastAsia="方正仿宋简体"/>
          <w:bCs/>
          <w:sz w:val="30"/>
          <w:szCs w:val="30"/>
        </w:rPr>
        <w:t>由于乙方原因导致交易结算报告的记载事项出现与实际交易结果和权益不符的，甲方的确认不改变甲方的实际交易结果和权益。对于不符事项，甲、乙双方可以根据原始财务凭证及交易凭证另行确认。</w:t>
      </w:r>
    </w:p>
    <w:p>
      <w:pPr>
        <w:numPr>
          <w:ilvl w:val="0"/>
          <w:numId w:val="129"/>
        </w:numPr>
        <w:adjustRightInd w:val="0"/>
        <w:spacing w:line="560" w:lineRule="exact"/>
        <w:ind w:left="0" w:firstLine="600" w:firstLineChars="200"/>
        <w:rPr>
          <w:rFonts w:eastAsia="方正仿宋简体"/>
          <w:bCs/>
          <w:sz w:val="30"/>
          <w:szCs w:val="30"/>
        </w:rPr>
      </w:pPr>
      <w:r>
        <w:rPr>
          <w:rFonts w:eastAsia="方正仿宋简体"/>
          <w:bCs/>
          <w:sz w:val="30"/>
          <w:szCs w:val="30"/>
        </w:rPr>
        <w:tab/>
      </w:r>
      <w:r>
        <w:rPr>
          <w:rFonts w:eastAsia="方正仿宋简体"/>
          <w:bCs/>
          <w:sz w:val="30"/>
          <w:szCs w:val="30"/>
        </w:rPr>
        <w:t>甲方在本合同约定的时间内以约定方式向乙方提出书面异议的，乙方应当根据原始指令记录和交易记录及时核实。当对与交易结果有直接关联的事项发生异议时，为避免损失的可能发生或者扩大，乙方在收到甲方的异议时，可以将发生异议的持仓合约进行平仓或者重新执行甲方的交易指令。由此发生的损失由有过错一方承担。</w:t>
      </w:r>
    </w:p>
    <w:p>
      <w:pPr>
        <w:adjustRightInd w:val="0"/>
        <w:spacing w:line="560" w:lineRule="exact"/>
        <w:rPr>
          <w:rFonts w:eastAsia="方正仿宋简体"/>
          <w:bCs/>
          <w:sz w:val="28"/>
          <w:szCs w:val="28"/>
        </w:rPr>
      </w:pPr>
    </w:p>
    <w:p>
      <w:pPr>
        <w:keepNext/>
        <w:keepLines/>
        <w:numPr>
          <w:ilvl w:val="0"/>
          <w:numId w:val="128"/>
        </w:numPr>
        <w:spacing w:line="560" w:lineRule="exact"/>
        <w:ind w:left="420"/>
        <w:jc w:val="center"/>
        <w:rPr>
          <w:rFonts w:ascii="黑体" w:hAnsi="黑体" w:eastAsia="黑体"/>
          <w:bCs/>
          <w:kern w:val="44"/>
          <w:sz w:val="30"/>
          <w:szCs w:val="30"/>
        </w:rPr>
      </w:pPr>
      <w:r>
        <w:rPr>
          <w:rFonts w:ascii="黑体" w:hAnsi="黑体" w:eastAsia="黑体"/>
          <w:bCs/>
          <w:kern w:val="44"/>
          <w:sz w:val="30"/>
          <w:szCs w:val="30"/>
        </w:rPr>
        <w:t>行权</w:t>
      </w:r>
    </w:p>
    <w:p>
      <w:pPr>
        <w:numPr>
          <w:ilvl w:val="0"/>
          <w:numId w:val="129"/>
        </w:numPr>
        <w:adjustRightInd w:val="0"/>
        <w:spacing w:line="560" w:lineRule="exact"/>
        <w:ind w:left="0" w:firstLine="600" w:firstLineChars="200"/>
        <w:rPr>
          <w:rFonts w:ascii="方正仿宋简体" w:eastAsia="方正仿宋简体"/>
          <w:bCs/>
          <w:sz w:val="30"/>
          <w:szCs w:val="30"/>
        </w:rPr>
      </w:pPr>
      <w:r>
        <w:rPr>
          <w:rFonts w:eastAsia="方正仿宋简体"/>
          <w:bCs/>
          <w:sz w:val="30"/>
          <w:szCs w:val="30"/>
        </w:rPr>
        <w:tab/>
      </w:r>
      <w:r>
        <w:rPr>
          <w:rFonts w:hint="eastAsia" w:ascii="方正仿宋简体" w:eastAsia="方正仿宋简体"/>
          <w:bCs/>
          <w:sz w:val="30"/>
          <w:szCs w:val="30"/>
        </w:rPr>
        <w:t>期权合约到期前3个交易日内，乙方应当采取期权交易客户端以及下列一种或者多种方式逐日提醒甲方妥善处理期权交易持仓：</w:t>
      </w:r>
    </w:p>
    <w:p>
      <w:pPr>
        <w:adjustRightInd w:val="0"/>
        <w:spacing w:line="560" w:lineRule="exact"/>
        <w:ind w:firstLine="600" w:firstLineChars="200"/>
        <w:rPr>
          <w:rFonts w:ascii="方正仿宋简体" w:eastAsia="方正仿宋简体"/>
          <w:bCs/>
          <w:sz w:val="30"/>
          <w:szCs w:val="30"/>
        </w:rPr>
      </w:pPr>
      <w:r>
        <w:rPr>
          <w:rFonts w:hint="eastAsia" w:ascii="方正仿宋简体" w:eastAsia="方正仿宋简体"/>
          <w:bCs/>
          <w:sz w:val="30"/>
          <w:szCs w:val="30"/>
        </w:rPr>
        <w:t>□ 网站公告；</w:t>
      </w:r>
    </w:p>
    <w:p>
      <w:pPr>
        <w:adjustRightInd w:val="0"/>
        <w:spacing w:line="560" w:lineRule="exact"/>
        <w:ind w:firstLine="600" w:firstLineChars="200"/>
        <w:rPr>
          <w:rFonts w:ascii="方正仿宋简体" w:eastAsia="方正仿宋简体"/>
          <w:bCs/>
          <w:sz w:val="30"/>
          <w:szCs w:val="30"/>
        </w:rPr>
      </w:pPr>
      <w:r>
        <w:rPr>
          <w:rFonts w:hint="eastAsia" w:ascii="方正仿宋简体" w:eastAsia="方正仿宋简体"/>
          <w:bCs/>
          <w:sz w:val="30"/>
          <w:szCs w:val="30"/>
        </w:rPr>
        <w:t>□ 营业场所公告；</w:t>
      </w:r>
    </w:p>
    <w:p>
      <w:pPr>
        <w:adjustRightInd w:val="0"/>
        <w:spacing w:line="560" w:lineRule="exact"/>
        <w:ind w:firstLine="600" w:firstLineChars="200"/>
        <w:rPr>
          <w:rFonts w:ascii="方正仿宋简体" w:eastAsia="方正仿宋简体"/>
          <w:bCs/>
          <w:sz w:val="30"/>
          <w:szCs w:val="30"/>
        </w:rPr>
      </w:pPr>
      <w:r>
        <w:rPr>
          <w:rFonts w:hint="eastAsia" w:ascii="方正仿宋简体" w:eastAsia="方正仿宋简体"/>
          <w:bCs/>
          <w:sz w:val="30"/>
          <w:szCs w:val="30"/>
        </w:rPr>
        <w:t>□ 电话通知；</w:t>
      </w:r>
    </w:p>
    <w:p>
      <w:pPr>
        <w:adjustRightInd w:val="0"/>
        <w:spacing w:line="560" w:lineRule="exact"/>
        <w:ind w:firstLine="600" w:firstLineChars="200"/>
        <w:rPr>
          <w:rFonts w:ascii="方正仿宋简体" w:eastAsia="方正仿宋简体"/>
          <w:bCs/>
          <w:sz w:val="30"/>
          <w:szCs w:val="30"/>
        </w:rPr>
      </w:pPr>
      <w:r>
        <w:rPr>
          <w:rFonts w:hint="eastAsia" w:ascii="方正仿宋简体" w:eastAsia="方正仿宋简体"/>
          <w:bCs/>
          <w:sz w:val="30"/>
          <w:szCs w:val="30"/>
        </w:rPr>
        <w:t>□ 短信通知；</w:t>
      </w:r>
    </w:p>
    <w:p>
      <w:pPr>
        <w:adjustRightInd w:val="0"/>
        <w:spacing w:line="560" w:lineRule="exact"/>
        <w:ind w:firstLine="600" w:firstLineChars="200"/>
        <w:rPr>
          <w:rFonts w:ascii="方正仿宋简体" w:eastAsia="方正仿宋简体"/>
          <w:bCs/>
          <w:sz w:val="30"/>
          <w:szCs w:val="30"/>
        </w:rPr>
      </w:pPr>
      <w:r>
        <w:rPr>
          <w:rFonts w:hint="eastAsia" w:ascii="方正仿宋简体" w:eastAsia="方正仿宋简体"/>
          <w:bCs/>
          <w:sz w:val="30"/>
          <w:szCs w:val="30"/>
        </w:rPr>
        <w:t>□ 电子邮件通知；</w:t>
      </w:r>
    </w:p>
    <w:p>
      <w:pPr>
        <w:adjustRightInd w:val="0"/>
        <w:spacing w:line="560" w:lineRule="exact"/>
        <w:ind w:firstLine="600" w:firstLineChars="200"/>
        <w:rPr>
          <w:rFonts w:eastAsia="方正仿宋简体"/>
          <w:bCs/>
          <w:sz w:val="30"/>
          <w:szCs w:val="30"/>
        </w:rPr>
      </w:pPr>
      <w:r>
        <w:rPr>
          <w:rFonts w:hint="eastAsia" w:ascii="方正仿宋简体" w:eastAsia="方正仿宋简体"/>
          <w:bCs/>
          <w:sz w:val="30"/>
          <w:szCs w:val="30"/>
        </w:rPr>
        <w:t>□ 其他方式：（         ）。</w:t>
      </w:r>
    </w:p>
    <w:p>
      <w:pPr>
        <w:numPr>
          <w:ilvl w:val="0"/>
          <w:numId w:val="129"/>
        </w:numPr>
        <w:adjustRightInd w:val="0"/>
        <w:spacing w:line="560" w:lineRule="exact"/>
        <w:ind w:left="0" w:firstLine="600" w:firstLineChars="200"/>
        <w:rPr>
          <w:rFonts w:eastAsia="方正仿宋简体"/>
          <w:bCs/>
          <w:sz w:val="30"/>
          <w:szCs w:val="30"/>
        </w:rPr>
      </w:pPr>
      <w:r>
        <w:rPr>
          <w:rFonts w:eastAsia="方正仿宋简体"/>
          <w:bCs/>
          <w:sz w:val="30"/>
          <w:szCs w:val="30"/>
        </w:rPr>
        <w:tab/>
      </w:r>
      <w:r>
        <w:rPr>
          <w:rFonts w:eastAsia="方正仿宋简体"/>
          <w:bCs/>
          <w:sz w:val="30"/>
          <w:szCs w:val="30"/>
        </w:rPr>
        <w:t>甲方行权的，应当在规定的行权日内的行权申报时段向乙方提交委托指令，并应符合深交所和中国结算的相关规定。否则，乙方有权拒绝接受甲方的行权指令。</w:t>
      </w:r>
    </w:p>
    <w:p>
      <w:pPr>
        <w:numPr>
          <w:ilvl w:val="0"/>
          <w:numId w:val="129"/>
        </w:numPr>
        <w:adjustRightInd w:val="0"/>
        <w:spacing w:line="560" w:lineRule="exact"/>
        <w:ind w:left="0" w:firstLine="600" w:firstLineChars="200"/>
        <w:rPr>
          <w:rFonts w:eastAsia="方正仿宋简体"/>
          <w:bCs/>
          <w:sz w:val="30"/>
          <w:szCs w:val="30"/>
        </w:rPr>
      </w:pPr>
      <w:r>
        <w:rPr>
          <w:rFonts w:eastAsia="方正仿宋简体"/>
          <w:bCs/>
          <w:sz w:val="30"/>
          <w:szCs w:val="30"/>
        </w:rPr>
        <w:tab/>
      </w:r>
      <w:r>
        <w:rPr>
          <w:rFonts w:eastAsia="方正仿宋简体"/>
          <w:bCs/>
          <w:sz w:val="30"/>
          <w:szCs w:val="30"/>
        </w:rPr>
        <w:t>期权交割采取给付合约标的的方式进行，深交所或中国结算另有规定的除外。</w:t>
      </w:r>
    </w:p>
    <w:p>
      <w:pPr>
        <w:numPr>
          <w:ilvl w:val="0"/>
          <w:numId w:val="129"/>
        </w:numPr>
        <w:adjustRightInd w:val="0"/>
        <w:spacing w:line="560" w:lineRule="exact"/>
        <w:ind w:left="0" w:firstLine="600" w:firstLineChars="200"/>
        <w:rPr>
          <w:rFonts w:eastAsia="方正仿宋简体"/>
          <w:bCs/>
          <w:sz w:val="30"/>
          <w:szCs w:val="30"/>
        </w:rPr>
      </w:pPr>
      <w:r>
        <w:rPr>
          <w:rFonts w:eastAsia="方正仿宋简体"/>
          <w:bCs/>
          <w:sz w:val="30"/>
          <w:szCs w:val="30"/>
        </w:rPr>
        <w:tab/>
      </w:r>
      <w:r>
        <w:rPr>
          <w:rFonts w:eastAsia="方正仿宋简体"/>
          <w:bCs/>
          <w:sz w:val="30"/>
          <w:szCs w:val="30"/>
        </w:rPr>
        <w:t>甲方对认购期权行权的，应当在提交行权指令时向乙方提交足额的行权资金。甲方对认沽期权行权的，应当在提交行权指令时在证券账户中存放足额的合约标的。甲方未按时提交或存放足额的资金或合约标的的，乙方有权拒绝接受其行权指令。</w:t>
      </w:r>
    </w:p>
    <w:p>
      <w:pPr>
        <w:numPr>
          <w:ilvl w:val="0"/>
          <w:numId w:val="129"/>
        </w:numPr>
        <w:adjustRightInd w:val="0"/>
        <w:spacing w:line="560" w:lineRule="exact"/>
        <w:ind w:left="0" w:firstLine="600" w:firstLineChars="200"/>
        <w:rPr>
          <w:rFonts w:eastAsia="方正仿宋简体"/>
          <w:bCs/>
          <w:sz w:val="30"/>
          <w:szCs w:val="30"/>
        </w:rPr>
      </w:pPr>
      <w:r>
        <w:rPr>
          <w:rFonts w:eastAsia="方正仿宋简体"/>
          <w:bCs/>
          <w:sz w:val="30"/>
          <w:szCs w:val="30"/>
        </w:rPr>
        <w:t>甲方被指派为认购期权被行权方的，应当在行权交收前在证券账户内存放足额的合约标的；甲方被指派为认沽期权被行权方的，应当在行权交收前向乙方提交足额的被行权资金。</w:t>
      </w:r>
    </w:p>
    <w:p>
      <w:pPr>
        <w:numPr>
          <w:ilvl w:val="0"/>
          <w:numId w:val="129"/>
        </w:numPr>
        <w:adjustRightInd w:val="0"/>
        <w:spacing w:line="560" w:lineRule="exact"/>
        <w:ind w:left="0" w:firstLine="600" w:firstLineChars="200"/>
        <w:rPr>
          <w:rFonts w:eastAsia="方正仿宋简体"/>
          <w:bCs/>
          <w:sz w:val="30"/>
          <w:szCs w:val="30"/>
        </w:rPr>
      </w:pPr>
      <w:r>
        <w:rPr>
          <w:rFonts w:eastAsia="方正仿宋简体"/>
          <w:bCs/>
          <w:sz w:val="30"/>
          <w:szCs w:val="30"/>
        </w:rPr>
        <w:tab/>
      </w:r>
      <w:r>
        <w:rPr>
          <w:rFonts w:eastAsia="方正仿宋简体"/>
          <w:bCs/>
          <w:sz w:val="30"/>
          <w:szCs w:val="30"/>
        </w:rPr>
        <w:t>根据深交所或中国结算的规定，行权交割采取现金结算方式的，甲方若为资金应付方，应当在行权交收前向乙方提交足额的资金。</w:t>
      </w:r>
    </w:p>
    <w:p>
      <w:pPr>
        <w:numPr>
          <w:ilvl w:val="0"/>
          <w:numId w:val="129"/>
        </w:numPr>
        <w:adjustRightInd w:val="0"/>
        <w:spacing w:line="560" w:lineRule="exact"/>
        <w:ind w:left="0" w:firstLine="600" w:firstLineChars="200"/>
        <w:rPr>
          <w:rFonts w:eastAsia="方正仿宋简体"/>
          <w:bCs/>
          <w:sz w:val="30"/>
          <w:szCs w:val="30"/>
        </w:rPr>
      </w:pPr>
      <w:r>
        <w:rPr>
          <w:rFonts w:eastAsia="方正仿宋简体"/>
          <w:bCs/>
          <w:sz w:val="30"/>
          <w:szCs w:val="30"/>
        </w:rPr>
        <w:tab/>
      </w:r>
      <w:r>
        <w:rPr>
          <w:rFonts w:eastAsia="方正仿宋简体"/>
          <w:bCs/>
          <w:sz w:val="30"/>
          <w:szCs w:val="30"/>
        </w:rPr>
        <w:t>甲方出现行权应付合约标的交割不足的，乙方按照深交所、中国结算业务规则的规定，以深交所或者中国结算公布的行权现金结算价格，对甲方相应期权合约进行现金结算行权交割。但乙方根据深交所、中国结算相关业务规则以及本合同的规定，利用自有证券履行行权交割义务的除外。</w:t>
      </w:r>
    </w:p>
    <w:p>
      <w:pPr>
        <w:numPr>
          <w:ilvl w:val="0"/>
          <w:numId w:val="129"/>
        </w:numPr>
        <w:adjustRightInd w:val="0"/>
        <w:spacing w:line="560" w:lineRule="exact"/>
        <w:ind w:left="0" w:firstLine="600" w:firstLineChars="200"/>
        <w:rPr>
          <w:rFonts w:eastAsia="方正仿宋简体"/>
          <w:bCs/>
          <w:sz w:val="30"/>
          <w:szCs w:val="30"/>
        </w:rPr>
      </w:pPr>
      <w:r>
        <w:rPr>
          <w:rFonts w:eastAsia="方正仿宋简体"/>
          <w:bCs/>
          <w:sz w:val="30"/>
          <w:szCs w:val="30"/>
        </w:rPr>
        <w:tab/>
      </w:r>
      <w:r>
        <w:rPr>
          <w:rFonts w:eastAsia="方正仿宋简体"/>
          <w:bCs/>
          <w:sz w:val="30"/>
          <w:szCs w:val="30"/>
        </w:rPr>
        <w:t>除以下几种情形外，甲方出现行权应付合约标的交割不足的，构成行权合约标的交割违约：</w:t>
      </w:r>
    </w:p>
    <w:p>
      <w:pPr>
        <w:adjustRightInd w:val="0"/>
        <w:spacing w:line="560" w:lineRule="exact"/>
        <w:ind w:firstLine="600" w:firstLineChars="200"/>
        <w:rPr>
          <w:rFonts w:eastAsia="方正仿宋简体"/>
          <w:bCs/>
          <w:sz w:val="30"/>
          <w:szCs w:val="30"/>
        </w:rPr>
      </w:pPr>
      <w:r>
        <w:rPr>
          <w:rFonts w:eastAsia="方正仿宋简体"/>
          <w:bCs/>
          <w:sz w:val="30"/>
          <w:szCs w:val="30"/>
        </w:rPr>
        <w:t>（一）期权合约行权日遇合约标的全天停牌、临时停牌直至收盘，甲方对其持有的实值认沽期权提交行权申报，中国结算对其因合约标的不足未通过有效性检查的行权申报，按照深交所公布的行权现金结算价格，以现金结算方式进行行权交割。</w:t>
      </w:r>
    </w:p>
    <w:p>
      <w:pPr>
        <w:adjustRightInd w:val="0"/>
        <w:spacing w:line="560" w:lineRule="exact"/>
        <w:ind w:firstLine="600" w:firstLineChars="200"/>
        <w:rPr>
          <w:rFonts w:eastAsia="方正仿宋简体"/>
          <w:bCs/>
          <w:sz w:val="30"/>
          <w:szCs w:val="30"/>
        </w:rPr>
      </w:pPr>
      <w:r>
        <w:rPr>
          <w:rFonts w:eastAsia="方正仿宋简体"/>
          <w:bCs/>
          <w:sz w:val="30"/>
          <w:szCs w:val="30"/>
        </w:rPr>
        <w:t>（二）期权合约行权日次一交易日遇合约标的全天停牌、临时停牌直至收盘，对于甲方行权交割中应交付的合约标的不足部分，按照深交所公布的行权现金结算价格，以现金结算方式进行行权交割。</w:t>
      </w:r>
    </w:p>
    <w:p>
      <w:pPr>
        <w:adjustRightInd w:val="0"/>
        <w:spacing w:line="560" w:lineRule="exact"/>
        <w:ind w:firstLine="600" w:firstLineChars="200"/>
        <w:rPr>
          <w:rFonts w:eastAsia="方正仿宋简体"/>
          <w:bCs/>
          <w:sz w:val="30"/>
          <w:szCs w:val="30"/>
        </w:rPr>
      </w:pPr>
      <w:r>
        <w:rPr>
          <w:rFonts w:eastAsia="方正仿宋简体"/>
          <w:bCs/>
          <w:sz w:val="30"/>
          <w:szCs w:val="30"/>
        </w:rPr>
        <w:t>（三）期权交易出现异常情形，根据深交所向市场发布的公告，对相应期权合约按照深交所公布的行权现金结算价格，以现金结算方式进行行权交割。</w:t>
      </w:r>
    </w:p>
    <w:p>
      <w:pPr>
        <w:adjustRightInd w:val="0"/>
        <w:spacing w:line="560" w:lineRule="exact"/>
        <w:ind w:firstLine="600" w:firstLineChars="200"/>
        <w:rPr>
          <w:rFonts w:eastAsia="方正仿宋简体"/>
          <w:bCs/>
          <w:sz w:val="30"/>
          <w:szCs w:val="30"/>
        </w:rPr>
      </w:pPr>
      <w:r>
        <w:rPr>
          <w:rFonts w:eastAsia="方正仿宋简体"/>
          <w:bCs/>
          <w:sz w:val="30"/>
          <w:szCs w:val="30"/>
        </w:rPr>
        <w:t xml:space="preserve">（四）乙方认可的其他情形：（            ）。 </w:t>
      </w:r>
    </w:p>
    <w:p>
      <w:pPr>
        <w:numPr>
          <w:ilvl w:val="0"/>
          <w:numId w:val="129"/>
        </w:numPr>
        <w:adjustRightInd w:val="0"/>
        <w:spacing w:line="560" w:lineRule="exact"/>
        <w:ind w:left="0" w:firstLine="600" w:firstLineChars="200"/>
        <w:rPr>
          <w:rFonts w:eastAsia="方正仿宋简体"/>
          <w:bCs/>
          <w:sz w:val="30"/>
          <w:szCs w:val="30"/>
        </w:rPr>
      </w:pPr>
      <w:r>
        <w:rPr>
          <w:rFonts w:eastAsia="方正仿宋简体"/>
          <w:bCs/>
          <w:sz w:val="30"/>
          <w:szCs w:val="30"/>
        </w:rPr>
        <w:tab/>
      </w:r>
      <w:r>
        <w:rPr>
          <w:rFonts w:eastAsia="方正仿宋简体"/>
          <w:bCs/>
          <w:sz w:val="30"/>
          <w:szCs w:val="30"/>
        </w:rPr>
        <w:t>甲方构成行权合约标的交割违约的，乙方可按照以下方式处理：</w:t>
      </w:r>
    </w:p>
    <w:p>
      <w:pPr>
        <w:adjustRightInd w:val="0"/>
        <w:spacing w:line="560" w:lineRule="exact"/>
        <w:ind w:firstLine="600" w:firstLineChars="200"/>
        <w:rPr>
          <w:rFonts w:eastAsia="方正仿宋简体"/>
          <w:bCs/>
          <w:sz w:val="30"/>
          <w:szCs w:val="30"/>
        </w:rPr>
      </w:pPr>
      <w:r>
        <w:rPr>
          <w:rFonts w:eastAsia="方正仿宋简体"/>
          <w:bCs/>
          <w:sz w:val="30"/>
          <w:szCs w:val="30"/>
        </w:rPr>
        <w:t>（一）按照中国结算公布的价格，对甲方相应期权合约进行现金结算行权交割，并有权按照合约标的不足部分当日收盘价（ ）%的比例向甲方收取违约金。</w:t>
      </w:r>
    </w:p>
    <w:p>
      <w:pPr>
        <w:adjustRightInd w:val="0"/>
        <w:spacing w:line="560" w:lineRule="exact"/>
        <w:ind w:firstLine="600" w:firstLineChars="200"/>
        <w:rPr>
          <w:rFonts w:eastAsia="方正仿宋简体"/>
          <w:bCs/>
          <w:sz w:val="30"/>
          <w:szCs w:val="30"/>
        </w:rPr>
      </w:pPr>
      <w:r>
        <w:rPr>
          <w:rFonts w:eastAsia="方正仿宋简体"/>
          <w:bCs/>
          <w:sz w:val="30"/>
          <w:szCs w:val="30"/>
        </w:rPr>
        <w:t>（二）自行决定利用自有证券，通过甲方证券账户履行乙方向中国结算的交割义务（乙方无需就此另行通知甲方），相应行权资金由乙方收取，不交付甲方。同时，乙方按照合约标的不足部分当日收盘价（ ）%的比例向甲方收取违约金。</w:t>
      </w:r>
    </w:p>
    <w:p>
      <w:pPr>
        <w:numPr>
          <w:ilvl w:val="0"/>
          <w:numId w:val="129"/>
        </w:numPr>
        <w:adjustRightInd w:val="0"/>
        <w:spacing w:line="560" w:lineRule="exact"/>
        <w:ind w:left="0" w:firstLine="600" w:firstLineChars="200"/>
        <w:rPr>
          <w:rFonts w:eastAsia="方正仿宋简体"/>
          <w:bCs/>
          <w:sz w:val="30"/>
          <w:szCs w:val="30"/>
        </w:rPr>
      </w:pPr>
      <w:r>
        <w:rPr>
          <w:rFonts w:eastAsia="方正仿宋简体"/>
          <w:bCs/>
          <w:sz w:val="30"/>
          <w:szCs w:val="30"/>
        </w:rPr>
        <w:tab/>
      </w:r>
      <w:r>
        <w:rPr>
          <w:rFonts w:eastAsia="方正仿宋简体"/>
          <w:bCs/>
          <w:sz w:val="30"/>
          <w:szCs w:val="30"/>
        </w:rPr>
        <w:t>甲方在行权交割中出现应交付的合约标的不足，其合约账户持有未到期备兑开仓合约的，相应备兑证券将被用于当日的行权交割。由此造成的备兑证券不足部分，将转普通仓，甲方应按照本合同第九十一条的规定及时补足保证金。</w:t>
      </w:r>
    </w:p>
    <w:p>
      <w:pPr>
        <w:numPr>
          <w:ilvl w:val="0"/>
          <w:numId w:val="129"/>
        </w:numPr>
        <w:adjustRightInd w:val="0"/>
        <w:spacing w:line="560" w:lineRule="exact"/>
        <w:ind w:left="0" w:firstLine="600" w:firstLineChars="200"/>
        <w:rPr>
          <w:rFonts w:eastAsia="方正仿宋简体"/>
          <w:bCs/>
          <w:sz w:val="30"/>
          <w:szCs w:val="30"/>
        </w:rPr>
      </w:pPr>
      <w:r>
        <w:rPr>
          <w:rFonts w:eastAsia="方正仿宋简体"/>
          <w:bCs/>
          <w:sz w:val="30"/>
          <w:szCs w:val="30"/>
        </w:rPr>
        <w:tab/>
      </w:r>
      <w:r>
        <w:rPr>
          <w:rFonts w:eastAsia="方正仿宋简体"/>
          <w:bCs/>
          <w:sz w:val="30"/>
          <w:szCs w:val="30"/>
        </w:rPr>
        <w:t>甲方出现行权应付资金交收不足的，按以下第（ ）种方式处理：</w:t>
      </w:r>
    </w:p>
    <w:p>
      <w:pPr>
        <w:adjustRightInd w:val="0"/>
        <w:spacing w:line="560" w:lineRule="exact"/>
        <w:ind w:firstLine="600" w:firstLineChars="200"/>
        <w:rPr>
          <w:rFonts w:eastAsia="方正仿宋简体"/>
          <w:bCs/>
          <w:sz w:val="30"/>
          <w:szCs w:val="30"/>
        </w:rPr>
      </w:pPr>
      <w:r>
        <w:rPr>
          <w:rFonts w:eastAsia="方正仿宋简体"/>
          <w:bCs/>
          <w:sz w:val="30"/>
          <w:szCs w:val="30"/>
        </w:rPr>
        <w:t>（一）甲方构成行权资金交收违约。乙方按照应付资金不足部分（ ）%的比例向甲方收取违约金。</w:t>
      </w:r>
    </w:p>
    <w:p>
      <w:pPr>
        <w:adjustRightInd w:val="0"/>
        <w:spacing w:line="560" w:lineRule="exact"/>
        <w:ind w:firstLine="600" w:firstLineChars="200"/>
        <w:rPr>
          <w:rFonts w:eastAsia="方正仿宋简体"/>
          <w:bCs/>
          <w:sz w:val="30"/>
          <w:szCs w:val="30"/>
        </w:rPr>
      </w:pPr>
      <w:r>
        <w:rPr>
          <w:rFonts w:eastAsia="方正仿宋简体"/>
          <w:bCs/>
          <w:sz w:val="30"/>
          <w:szCs w:val="30"/>
        </w:rPr>
        <w:t>（二）乙方以自有资金履行向中国结算的交收义务的，除向甲方收取前款规定的违约金外，乙方还按日向甲方收取乙方所垫付资金的利息。</w:t>
      </w:r>
    </w:p>
    <w:p>
      <w:pPr>
        <w:adjustRightInd w:val="0"/>
        <w:spacing w:line="560" w:lineRule="exact"/>
        <w:ind w:firstLine="600" w:firstLineChars="200"/>
        <w:jc w:val="left"/>
        <w:rPr>
          <w:rFonts w:eastAsia="方正仿宋简体"/>
          <w:bCs/>
          <w:sz w:val="30"/>
          <w:szCs w:val="30"/>
        </w:rPr>
      </w:pPr>
      <w:r>
        <w:rPr>
          <w:rFonts w:eastAsia="方正仿宋简体"/>
          <w:bCs/>
          <w:sz w:val="30"/>
          <w:szCs w:val="30"/>
        </w:rPr>
        <w:t>（三）其他约定：__________________________________。</w:t>
      </w:r>
    </w:p>
    <w:p>
      <w:pPr>
        <w:numPr>
          <w:ilvl w:val="0"/>
          <w:numId w:val="129"/>
        </w:numPr>
        <w:adjustRightInd w:val="0"/>
        <w:spacing w:line="560" w:lineRule="exact"/>
        <w:ind w:left="0" w:firstLine="600" w:firstLineChars="200"/>
        <w:rPr>
          <w:rFonts w:eastAsia="方正仿宋简体"/>
          <w:bCs/>
          <w:sz w:val="30"/>
          <w:szCs w:val="30"/>
        </w:rPr>
      </w:pPr>
      <w:r>
        <w:rPr>
          <w:rFonts w:eastAsia="方正仿宋简体"/>
          <w:bCs/>
          <w:sz w:val="30"/>
          <w:szCs w:val="30"/>
        </w:rPr>
        <w:tab/>
      </w:r>
      <w:r>
        <w:rPr>
          <w:rFonts w:eastAsia="方正仿宋简体"/>
          <w:bCs/>
          <w:sz w:val="30"/>
          <w:szCs w:val="30"/>
        </w:rPr>
        <w:t>甲方出现行权资金交收违约但乙方未对中国结算行权资金交收违约的，乙方有权向甲方暂不交付不低于交收违约金额的应收合约标的。</w:t>
      </w:r>
    </w:p>
    <w:p>
      <w:pPr>
        <w:adjustRightInd w:val="0"/>
        <w:spacing w:line="560" w:lineRule="exact"/>
        <w:ind w:firstLine="600" w:firstLineChars="200"/>
        <w:rPr>
          <w:rFonts w:eastAsia="方正仿宋简体"/>
          <w:bCs/>
          <w:sz w:val="30"/>
          <w:szCs w:val="30"/>
        </w:rPr>
      </w:pPr>
      <w:r>
        <w:rPr>
          <w:rFonts w:eastAsia="方正仿宋简体"/>
          <w:bCs/>
          <w:sz w:val="30"/>
          <w:szCs w:val="30"/>
        </w:rPr>
        <w:t>暂不交付甲方的应收合约标的由乙方委托中国结算划付至乙方证券处置账户，甲方在（____）个交易日内未向乙方补足资金本息的，乙方有权将证券处置账户内相应证券卖出，用于补足甲方欠付的资金本息和支付相关费用（含违约金），有剩余的在（____）个交易日内归还甲方。</w:t>
      </w:r>
    </w:p>
    <w:p>
      <w:pPr>
        <w:adjustRightInd w:val="0"/>
        <w:spacing w:line="560" w:lineRule="exact"/>
        <w:ind w:firstLine="600" w:firstLineChars="200"/>
        <w:rPr>
          <w:rFonts w:eastAsia="方正仿宋简体"/>
          <w:bCs/>
          <w:sz w:val="30"/>
          <w:szCs w:val="30"/>
        </w:rPr>
      </w:pPr>
      <w:r>
        <w:rPr>
          <w:rFonts w:eastAsia="方正仿宋简体"/>
          <w:bCs/>
          <w:sz w:val="30"/>
          <w:szCs w:val="30"/>
        </w:rPr>
        <w:t>上述情形下产生的法律责任，由甲方承担。</w:t>
      </w:r>
    </w:p>
    <w:p>
      <w:pPr>
        <w:numPr>
          <w:ilvl w:val="0"/>
          <w:numId w:val="129"/>
        </w:numPr>
        <w:adjustRightInd w:val="0"/>
        <w:spacing w:line="560" w:lineRule="exact"/>
        <w:ind w:left="0" w:firstLine="600" w:firstLineChars="200"/>
        <w:rPr>
          <w:rFonts w:eastAsia="方正仿宋简体"/>
          <w:bCs/>
          <w:sz w:val="30"/>
          <w:szCs w:val="30"/>
        </w:rPr>
      </w:pPr>
      <w:r>
        <w:rPr>
          <w:rFonts w:eastAsia="方正仿宋简体"/>
          <w:bCs/>
          <w:sz w:val="30"/>
          <w:szCs w:val="30"/>
        </w:rPr>
        <w:tab/>
      </w:r>
      <w:r>
        <w:rPr>
          <w:rFonts w:eastAsia="方正仿宋简体"/>
          <w:bCs/>
          <w:sz w:val="30"/>
          <w:szCs w:val="30"/>
        </w:rPr>
        <w:t>乙方进行相关证券处置时，有权自行选择处置证券的品种、数量，如处置证券的价格在当时的市场条件下属于合理的范围，甲方同意不以处置的时机未能选择最佳价格或者数量为由向乙方主张任何权益。</w:t>
      </w:r>
    </w:p>
    <w:p>
      <w:pPr>
        <w:numPr>
          <w:ilvl w:val="0"/>
          <w:numId w:val="129"/>
        </w:numPr>
        <w:adjustRightInd w:val="0"/>
        <w:spacing w:line="560" w:lineRule="exact"/>
        <w:ind w:left="0" w:firstLine="600" w:firstLineChars="200"/>
        <w:rPr>
          <w:rFonts w:eastAsia="方正仿宋简体"/>
          <w:bCs/>
          <w:sz w:val="30"/>
          <w:szCs w:val="30"/>
        </w:rPr>
      </w:pPr>
      <w:r>
        <w:rPr>
          <w:rFonts w:eastAsia="方正仿宋简体"/>
          <w:bCs/>
          <w:sz w:val="30"/>
          <w:szCs w:val="30"/>
        </w:rPr>
        <w:tab/>
      </w:r>
      <w:r>
        <w:rPr>
          <w:rFonts w:eastAsia="方正仿宋简体"/>
          <w:bCs/>
          <w:sz w:val="30"/>
          <w:szCs w:val="30"/>
        </w:rPr>
        <w:t xml:space="preserve"> 甲方行权资金交收违约并造成乙方对中国结算违约的，乙方有权将甲方相当于交收违约金额的应收合约标的指定为暂不交付合约标的并由中国结算按其业务规则进行处置。相关法律责任由甲方承担。</w:t>
      </w:r>
    </w:p>
    <w:p>
      <w:pPr>
        <w:numPr>
          <w:ilvl w:val="0"/>
          <w:numId w:val="129"/>
        </w:numPr>
        <w:adjustRightInd w:val="0"/>
        <w:spacing w:line="560" w:lineRule="exact"/>
        <w:ind w:left="0" w:firstLine="600" w:firstLineChars="200"/>
        <w:rPr>
          <w:rFonts w:eastAsia="方正仿宋简体"/>
          <w:bCs/>
          <w:sz w:val="30"/>
          <w:szCs w:val="30"/>
        </w:rPr>
      </w:pPr>
      <w:r>
        <w:rPr>
          <w:rFonts w:eastAsia="方正仿宋简体"/>
          <w:bCs/>
          <w:sz w:val="30"/>
          <w:szCs w:val="30"/>
        </w:rPr>
        <w:t>行权交收通知、行权资金的交收、合约标的交割及行权交收违约的处理办法，依照深交所、中国结算的交收规则以及本合同的约定执行。</w:t>
      </w:r>
    </w:p>
    <w:p>
      <w:pPr>
        <w:numPr>
          <w:ilvl w:val="0"/>
          <w:numId w:val="129"/>
        </w:numPr>
        <w:adjustRightInd w:val="0"/>
        <w:spacing w:line="560" w:lineRule="exact"/>
        <w:ind w:left="0" w:firstLine="600" w:firstLineChars="200"/>
        <w:rPr>
          <w:rFonts w:eastAsia="方正仿宋简体"/>
          <w:bCs/>
          <w:sz w:val="30"/>
          <w:szCs w:val="30"/>
        </w:rPr>
      </w:pPr>
      <w:r>
        <w:rPr>
          <w:rFonts w:eastAsia="方正仿宋简体"/>
          <w:bCs/>
          <w:sz w:val="30"/>
          <w:szCs w:val="30"/>
        </w:rPr>
        <w:tab/>
      </w:r>
      <w:r>
        <w:rPr>
          <w:rFonts w:eastAsia="方正仿宋简体"/>
          <w:bCs/>
          <w:sz w:val="30"/>
          <w:szCs w:val="30"/>
        </w:rPr>
        <w:t>甲方在此声明：（ ）同意（ ）不同意委托乙方进行协议行权。</w:t>
      </w:r>
    </w:p>
    <w:p>
      <w:pPr>
        <w:adjustRightInd w:val="0"/>
        <w:spacing w:line="560" w:lineRule="exact"/>
        <w:ind w:firstLine="600" w:firstLineChars="200"/>
        <w:rPr>
          <w:rFonts w:eastAsia="方正仿宋简体"/>
          <w:bCs/>
          <w:sz w:val="30"/>
          <w:szCs w:val="30"/>
        </w:rPr>
      </w:pPr>
      <w:r>
        <w:rPr>
          <w:rFonts w:eastAsia="方正仿宋简体"/>
          <w:bCs/>
          <w:sz w:val="30"/>
          <w:szCs w:val="30"/>
        </w:rPr>
        <w:t>甲方委托乙方进行协议行权的，按照以下约定办理：</w:t>
      </w:r>
    </w:p>
    <w:p>
      <w:pPr>
        <w:adjustRightInd w:val="0"/>
        <w:spacing w:line="560" w:lineRule="exact"/>
        <w:ind w:firstLine="600" w:firstLineChars="200"/>
        <w:jc w:val="left"/>
        <w:rPr>
          <w:rFonts w:eastAsia="方正仿宋简体"/>
          <w:bCs/>
          <w:sz w:val="30"/>
          <w:szCs w:val="30"/>
        </w:rPr>
      </w:pPr>
      <w:r>
        <w:rPr>
          <w:rFonts w:eastAsia="方正仿宋简体"/>
          <w:bCs/>
          <w:sz w:val="30"/>
          <w:szCs w:val="30"/>
        </w:rPr>
        <w:t>1．由乙方代为发出行权申报的期权合约范围：______________________________</w:t>
      </w:r>
    </w:p>
    <w:p>
      <w:pPr>
        <w:adjustRightInd w:val="0"/>
        <w:spacing w:line="560" w:lineRule="exact"/>
        <w:ind w:firstLine="600" w:firstLineChars="200"/>
        <w:jc w:val="left"/>
        <w:rPr>
          <w:rFonts w:eastAsia="方正仿宋简体"/>
          <w:bCs/>
          <w:sz w:val="30"/>
          <w:szCs w:val="30"/>
        </w:rPr>
      </w:pPr>
      <w:r>
        <w:rPr>
          <w:rFonts w:eastAsia="方正仿宋简体"/>
          <w:bCs/>
          <w:sz w:val="30"/>
          <w:szCs w:val="30"/>
        </w:rPr>
        <w:t>2．由乙方代为发出行权申报的具体触发条件：______________________________</w:t>
      </w:r>
    </w:p>
    <w:p>
      <w:pPr>
        <w:adjustRightInd w:val="0"/>
        <w:spacing w:line="560" w:lineRule="exact"/>
        <w:ind w:firstLine="600" w:firstLineChars="200"/>
        <w:rPr>
          <w:rFonts w:eastAsia="方正仿宋简体"/>
          <w:bCs/>
          <w:sz w:val="30"/>
          <w:szCs w:val="30"/>
        </w:rPr>
      </w:pPr>
      <w:r>
        <w:rPr>
          <w:rFonts w:eastAsia="方正仿宋简体"/>
          <w:bCs/>
          <w:sz w:val="30"/>
          <w:szCs w:val="30"/>
        </w:rPr>
        <w:t>3．由乙方代为发出行权申报的期权合约数量或其确定方式：______________________________</w:t>
      </w:r>
    </w:p>
    <w:p>
      <w:pPr>
        <w:adjustRightInd w:val="0"/>
        <w:spacing w:line="560" w:lineRule="exact"/>
        <w:ind w:firstLine="600" w:firstLineChars="200"/>
        <w:rPr>
          <w:rFonts w:eastAsia="方正仿宋简体"/>
          <w:bCs/>
          <w:sz w:val="30"/>
          <w:szCs w:val="30"/>
        </w:rPr>
      </w:pPr>
      <w:r>
        <w:rPr>
          <w:rFonts w:eastAsia="方正仿宋简体"/>
          <w:bCs/>
          <w:sz w:val="30"/>
          <w:szCs w:val="30"/>
        </w:rPr>
        <w:t>4．乙方代为发出行权申报后告知甲方的具体方式及时间要求：__________________________</w:t>
      </w:r>
    </w:p>
    <w:p>
      <w:pPr>
        <w:adjustRightInd w:val="0"/>
        <w:spacing w:line="560" w:lineRule="exact"/>
        <w:ind w:firstLine="600" w:firstLineChars="200"/>
        <w:rPr>
          <w:rFonts w:eastAsia="方正仿宋简体"/>
          <w:bCs/>
          <w:sz w:val="30"/>
          <w:szCs w:val="30"/>
        </w:rPr>
      </w:pPr>
      <w:r>
        <w:rPr>
          <w:rFonts w:eastAsia="方正仿宋简体"/>
          <w:bCs/>
          <w:sz w:val="30"/>
          <w:szCs w:val="30"/>
        </w:rPr>
        <w:t>乙方根据本合同约定为甲方发出行权申报的，甲方应当承担相应的行权结果，并履行合约标的交割、行权资金交收义务。</w:t>
      </w:r>
    </w:p>
    <w:p>
      <w:pPr>
        <w:adjustRightInd w:val="0"/>
        <w:spacing w:line="560" w:lineRule="exact"/>
        <w:ind w:firstLine="600" w:firstLineChars="200"/>
        <w:rPr>
          <w:rFonts w:eastAsia="方正仿宋简体"/>
          <w:bCs/>
          <w:sz w:val="30"/>
          <w:szCs w:val="30"/>
        </w:rPr>
      </w:pPr>
      <w:r>
        <w:rPr>
          <w:rFonts w:eastAsia="方正仿宋简体"/>
          <w:bCs/>
          <w:sz w:val="30"/>
          <w:szCs w:val="30"/>
        </w:rPr>
        <w:t>甲方可在乙方提供的期权交易客户端中设置或者更改委托乙方进行协议行权申报的具体事项。甲方设置内容与本合同约定不一致的，以甲方设置内容为准。甲方撤回协议行权申报委托权限的，应当提前（  ）个交易日以书面方式告知乙方，或者在乙方提供的期权交易客户端中进行相应撤销操作。</w:t>
      </w:r>
    </w:p>
    <w:p>
      <w:pPr>
        <w:adjustRightInd w:val="0"/>
        <w:spacing w:line="560" w:lineRule="exact"/>
        <w:ind w:firstLine="560" w:firstLineChars="200"/>
        <w:rPr>
          <w:rFonts w:eastAsia="方正仿宋简体"/>
          <w:bCs/>
          <w:sz w:val="28"/>
          <w:szCs w:val="28"/>
        </w:rPr>
      </w:pPr>
    </w:p>
    <w:p>
      <w:pPr>
        <w:keepNext/>
        <w:keepLines/>
        <w:numPr>
          <w:ilvl w:val="0"/>
          <w:numId w:val="128"/>
        </w:numPr>
        <w:spacing w:line="560" w:lineRule="exact"/>
        <w:ind w:left="0" w:firstLine="600" w:firstLineChars="200"/>
        <w:jc w:val="center"/>
        <w:rPr>
          <w:rFonts w:ascii="黑体" w:hAnsi="黑体" w:eastAsia="黑体"/>
          <w:bCs/>
          <w:kern w:val="44"/>
          <w:sz w:val="30"/>
          <w:szCs w:val="30"/>
        </w:rPr>
      </w:pPr>
      <w:r>
        <w:rPr>
          <w:rFonts w:ascii="黑体" w:hAnsi="黑体" w:eastAsia="黑体"/>
          <w:bCs/>
          <w:kern w:val="44"/>
          <w:sz w:val="30"/>
          <w:szCs w:val="30"/>
        </w:rPr>
        <w:t>风险控制</w:t>
      </w:r>
    </w:p>
    <w:p>
      <w:pPr>
        <w:numPr>
          <w:ilvl w:val="0"/>
          <w:numId w:val="129"/>
        </w:numPr>
        <w:adjustRightInd w:val="0"/>
        <w:spacing w:line="560" w:lineRule="exact"/>
        <w:ind w:left="0" w:firstLine="600" w:firstLineChars="200"/>
        <w:rPr>
          <w:rFonts w:eastAsia="方正仿宋简体"/>
          <w:bCs/>
          <w:sz w:val="30"/>
          <w:szCs w:val="30"/>
        </w:rPr>
      </w:pPr>
      <w:r>
        <w:rPr>
          <w:rFonts w:eastAsia="方正仿宋简体"/>
          <w:bCs/>
          <w:sz w:val="30"/>
          <w:szCs w:val="30"/>
        </w:rPr>
        <w:tab/>
      </w:r>
      <w:r>
        <w:rPr>
          <w:rFonts w:eastAsia="方正仿宋简体"/>
          <w:bCs/>
          <w:sz w:val="30"/>
          <w:szCs w:val="30"/>
        </w:rPr>
        <w:t>甲方可以以现金或者本合同规定的证券形式向乙方交纳保证金，用于期权交易的结算和期权合约的履行。</w:t>
      </w:r>
    </w:p>
    <w:p>
      <w:pPr>
        <w:adjustRightInd w:val="0"/>
        <w:spacing w:line="560" w:lineRule="exact"/>
        <w:ind w:firstLine="600" w:firstLineChars="200"/>
        <w:rPr>
          <w:rFonts w:eastAsia="方正仿宋简体"/>
          <w:bCs/>
          <w:sz w:val="30"/>
          <w:szCs w:val="30"/>
        </w:rPr>
      </w:pPr>
      <w:r>
        <w:rPr>
          <w:rFonts w:eastAsia="方正仿宋简体"/>
          <w:bCs/>
          <w:sz w:val="30"/>
          <w:szCs w:val="30"/>
        </w:rPr>
        <w:t>乙方根据中国结算及深交所的规定，确定甲方可以提交为保证金的证券品种、范围、折算率以及最高限额等事项，并以公告、通知或者甲方认可的其他方式告知甲方，甲方应当遵守。</w:t>
      </w:r>
    </w:p>
    <w:p>
      <w:pPr>
        <w:numPr>
          <w:ilvl w:val="0"/>
          <w:numId w:val="129"/>
        </w:numPr>
        <w:adjustRightInd w:val="0"/>
        <w:spacing w:line="560" w:lineRule="exact"/>
        <w:ind w:left="0" w:firstLine="600" w:firstLineChars="200"/>
        <w:rPr>
          <w:rFonts w:eastAsia="方正仿宋简体"/>
          <w:bCs/>
          <w:sz w:val="30"/>
          <w:szCs w:val="30"/>
        </w:rPr>
      </w:pPr>
      <w:r>
        <w:rPr>
          <w:rFonts w:eastAsia="方正仿宋简体"/>
          <w:bCs/>
          <w:sz w:val="30"/>
          <w:szCs w:val="30"/>
        </w:rPr>
        <w:tab/>
      </w:r>
      <w:r>
        <w:rPr>
          <w:rFonts w:eastAsia="方正仿宋简体"/>
          <w:bCs/>
          <w:sz w:val="30"/>
          <w:szCs w:val="30"/>
        </w:rPr>
        <w:t>甲方以现金形式交纳的保证金（以下简称资金保证金）额度，与甲方以证券形式交纳的保证金（以下简称证券保证金）按照乙方规定的折算率折算后的额度合并计算。</w:t>
      </w:r>
    </w:p>
    <w:p>
      <w:pPr>
        <w:numPr>
          <w:ilvl w:val="0"/>
          <w:numId w:val="129"/>
        </w:numPr>
        <w:adjustRightInd w:val="0"/>
        <w:spacing w:line="560" w:lineRule="exact"/>
        <w:ind w:left="0" w:firstLine="600" w:firstLineChars="200"/>
        <w:rPr>
          <w:rFonts w:eastAsia="方正仿宋简体"/>
          <w:bCs/>
          <w:sz w:val="30"/>
          <w:szCs w:val="30"/>
        </w:rPr>
      </w:pPr>
      <w:r>
        <w:rPr>
          <w:rFonts w:eastAsia="方正仿宋简体"/>
          <w:bCs/>
          <w:sz w:val="30"/>
          <w:szCs w:val="30"/>
        </w:rPr>
        <w:tab/>
      </w:r>
      <w:r>
        <w:rPr>
          <w:rFonts w:eastAsia="方正仿宋简体"/>
          <w:bCs/>
          <w:sz w:val="30"/>
          <w:szCs w:val="30"/>
        </w:rPr>
        <w:t>甲方应当根据以下标准，及时、足额向乙方交纳保证金：</w:t>
      </w:r>
    </w:p>
    <w:p>
      <w:pPr>
        <w:adjustRightInd w:val="0"/>
        <w:spacing w:line="560" w:lineRule="exact"/>
        <w:ind w:firstLine="600" w:firstLineChars="200"/>
        <w:rPr>
          <w:rFonts w:eastAsia="方正仿宋简体"/>
          <w:bCs/>
          <w:sz w:val="30"/>
          <w:szCs w:val="30"/>
        </w:rPr>
      </w:pPr>
      <w:r>
        <w:rPr>
          <w:rFonts w:eastAsia="方正仿宋简体"/>
          <w:bCs/>
          <w:sz w:val="30"/>
          <w:szCs w:val="30"/>
        </w:rPr>
        <w:t xml:space="preserve">（一）合约标的为股票的，每张合约的维持保证金收取比例为： </w:t>
      </w:r>
    </w:p>
    <w:p>
      <w:pPr>
        <w:adjustRightInd w:val="0"/>
        <w:spacing w:line="560" w:lineRule="exact"/>
        <w:ind w:firstLine="600" w:firstLineChars="200"/>
        <w:rPr>
          <w:rFonts w:eastAsia="方正仿宋简体"/>
          <w:bCs/>
          <w:sz w:val="30"/>
          <w:szCs w:val="30"/>
        </w:rPr>
      </w:pPr>
      <w:r>
        <w:rPr>
          <w:rFonts w:eastAsia="方正仿宋简体"/>
          <w:bCs/>
          <w:sz w:val="30"/>
          <w:szCs w:val="30"/>
        </w:rPr>
        <w:t>1．认购期权义务仓维持保证金：（                     ）。</w:t>
      </w:r>
    </w:p>
    <w:p>
      <w:pPr>
        <w:adjustRightInd w:val="0"/>
        <w:spacing w:line="560" w:lineRule="exact"/>
        <w:ind w:firstLine="600" w:firstLineChars="200"/>
        <w:rPr>
          <w:rFonts w:eastAsia="方正仿宋简体"/>
          <w:bCs/>
          <w:sz w:val="30"/>
          <w:szCs w:val="30"/>
        </w:rPr>
      </w:pPr>
      <w:r>
        <w:rPr>
          <w:rFonts w:eastAsia="方正仿宋简体"/>
          <w:bCs/>
          <w:sz w:val="30"/>
          <w:szCs w:val="30"/>
        </w:rPr>
        <w:t>2．认沽期权义务仓维持保证金：（                     ）。</w:t>
      </w:r>
    </w:p>
    <w:p>
      <w:pPr>
        <w:adjustRightInd w:val="0"/>
        <w:spacing w:line="560" w:lineRule="exact"/>
        <w:ind w:firstLine="600" w:firstLineChars="200"/>
        <w:rPr>
          <w:rFonts w:eastAsia="方正仿宋简体"/>
          <w:bCs/>
          <w:sz w:val="30"/>
          <w:szCs w:val="30"/>
        </w:rPr>
      </w:pPr>
      <w:r>
        <w:rPr>
          <w:rFonts w:eastAsia="方正仿宋简体"/>
          <w:bCs/>
          <w:sz w:val="30"/>
          <w:szCs w:val="30"/>
        </w:rPr>
        <w:t>（二）合约标的为交易型开放式指数基金（以下简称交易型开放式基金）的，每张合约的维持保证金收取比例为：</w:t>
      </w:r>
    </w:p>
    <w:p>
      <w:pPr>
        <w:adjustRightInd w:val="0"/>
        <w:spacing w:line="560" w:lineRule="exact"/>
        <w:ind w:firstLine="600" w:firstLineChars="200"/>
        <w:rPr>
          <w:rFonts w:eastAsia="方正仿宋简体"/>
          <w:bCs/>
          <w:sz w:val="30"/>
          <w:szCs w:val="30"/>
        </w:rPr>
      </w:pPr>
      <w:r>
        <w:rPr>
          <w:rFonts w:eastAsia="方正仿宋简体"/>
          <w:bCs/>
          <w:sz w:val="30"/>
          <w:szCs w:val="30"/>
        </w:rPr>
        <w:t>1．认购期权义务仓维持保证金：（                     ）。</w:t>
      </w:r>
    </w:p>
    <w:p>
      <w:pPr>
        <w:adjustRightInd w:val="0"/>
        <w:spacing w:line="560" w:lineRule="exact"/>
        <w:ind w:firstLine="600" w:firstLineChars="200"/>
        <w:jc w:val="left"/>
        <w:rPr>
          <w:rFonts w:eastAsia="方正仿宋简体"/>
          <w:bCs/>
          <w:sz w:val="30"/>
          <w:szCs w:val="30"/>
        </w:rPr>
      </w:pPr>
      <w:r>
        <w:rPr>
          <w:rFonts w:eastAsia="方正仿宋简体"/>
          <w:bCs/>
          <w:sz w:val="30"/>
          <w:szCs w:val="30"/>
        </w:rPr>
        <w:t>2．认沽期权义务仓维持保证金：（                     ）。</w:t>
      </w:r>
    </w:p>
    <w:p>
      <w:pPr>
        <w:numPr>
          <w:ilvl w:val="0"/>
          <w:numId w:val="129"/>
        </w:numPr>
        <w:adjustRightInd w:val="0"/>
        <w:spacing w:line="560" w:lineRule="exact"/>
        <w:ind w:left="0" w:firstLine="600" w:firstLineChars="200"/>
        <w:rPr>
          <w:rFonts w:eastAsia="方正仿宋简体"/>
          <w:bCs/>
          <w:sz w:val="30"/>
          <w:szCs w:val="30"/>
        </w:rPr>
      </w:pPr>
      <w:r>
        <w:rPr>
          <w:rFonts w:eastAsia="方正仿宋简体"/>
          <w:bCs/>
          <w:sz w:val="30"/>
          <w:szCs w:val="30"/>
        </w:rPr>
        <w:tab/>
      </w:r>
      <w:r>
        <w:rPr>
          <w:rFonts w:eastAsia="方正仿宋简体"/>
          <w:bCs/>
          <w:sz w:val="30"/>
          <w:szCs w:val="30"/>
        </w:rPr>
        <w:t>乙方按照以下标准，对甲方卖出开仓申报计算对应的开仓保证金额度，并根据甲方保证金余额情况，对其卖出开仓及买入开仓申报进行前端控制。</w:t>
      </w:r>
    </w:p>
    <w:p>
      <w:pPr>
        <w:adjustRightInd w:val="0"/>
        <w:spacing w:line="560" w:lineRule="exact"/>
        <w:ind w:firstLine="600" w:firstLineChars="200"/>
        <w:rPr>
          <w:rFonts w:eastAsia="方正仿宋简体"/>
          <w:bCs/>
          <w:sz w:val="30"/>
          <w:szCs w:val="30"/>
        </w:rPr>
      </w:pPr>
      <w:r>
        <w:rPr>
          <w:rFonts w:eastAsia="方正仿宋简体"/>
          <w:bCs/>
          <w:sz w:val="30"/>
          <w:szCs w:val="30"/>
        </w:rPr>
        <w:t>（一）合约标的为股票的，每张合约开仓保证金计算比例为：</w:t>
      </w:r>
    </w:p>
    <w:p>
      <w:pPr>
        <w:adjustRightInd w:val="0"/>
        <w:spacing w:line="560" w:lineRule="exact"/>
        <w:ind w:firstLine="600" w:firstLineChars="200"/>
        <w:rPr>
          <w:rFonts w:eastAsia="方正仿宋简体"/>
          <w:bCs/>
          <w:sz w:val="30"/>
          <w:szCs w:val="30"/>
        </w:rPr>
      </w:pPr>
      <w:r>
        <w:rPr>
          <w:rFonts w:eastAsia="方正仿宋简体"/>
          <w:bCs/>
          <w:sz w:val="30"/>
          <w:szCs w:val="30"/>
        </w:rPr>
        <w:t xml:space="preserve">1．认购期权义务仓开仓保证金：（                     ）。                    </w:t>
      </w:r>
    </w:p>
    <w:p>
      <w:pPr>
        <w:adjustRightInd w:val="0"/>
        <w:spacing w:line="560" w:lineRule="exact"/>
        <w:ind w:firstLine="600" w:firstLineChars="200"/>
        <w:rPr>
          <w:rFonts w:eastAsia="方正仿宋简体"/>
          <w:bCs/>
          <w:sz w:val="30"/>
          <w:szCs w:val="30"/>
        </w:rPr>
      </w:pPr>
      <w:r>
        <w:rPr>
          <w:rFonts w:eastAsia="方正仿宋简体"/>
          <w:bCs/>
          <w:sz w:val="30"/>
          <w:szCs w:val="30"/>
        </w:rPr>
        <w:t>2．认沽期权义务仓开仓保证金：（                     ）。</w:t>
      </w:r>
    </w:p>
    <w:p>
      <w:pPr>
        <w:adjustRightInd w:val="0"/>
        <w:spacing w:line="560" w:lineRule="exact"/>
        <w:ind w:firstLine="600" w:firstLineChars="200"/>
        <w:rPr>
          <w:rFonts w:eastAsia="方正仿宋简体"/>
          <w:bCs/>
          <w:sz w:val="30"/>
          <w:szCs w:val="30"/>
        </w:rPr>
      </w:pPr>
      <w:r>
        <w:rPr>
          <w:rFonts w:eastAsia="方正仿宋简体"/>
          <w:bCs/>
          <w:sz w:val="30"/>
          <w:szCs w:val="30"/>
        </w:rPr>
        <w:t>（二）合约标的为交易型开放式基金的，每张合约开仓保证金计算比例为：</w:t>
      </w:r>
    </w:p>
    <w:p>
      <w:pPr>
        <w:adjustRightInd w:val="0"/>
        <w:spacing w:line="560" w:lineRule="exact"/>
        <w:ind w:firstLine="600" w:firstLineChars="200"/>
        <w:rPr>
          <w:rFonts w:eastAsia="方正仿宋简体"/>
          <w:bCs/>
          <w:sz w:val="30"/>
          <w:szCs w:val="30"/>
        </w:rPr>
      </w:pPr>
      <w:r>
        <w:rPr>
          <w:rFonts w:eastAsia="方正仿宋简体"/>
          <w:bCs/>
          <w:sz w:val="30"/>
          <w:szCs w:val="30"/>
        </w:rPr>
        <w:t>1．认购期权义务仓开仓保证金：（                     ）。</w:t>
      </w:r>
    </w:p>
    <w:p>
      <w:pPr>
        <w:adjustRightInd w:val="0"/>
        <w:spacing w:line="560" w:lineRule="exact"/>
        <w:ind w:firstLine="600" w:firstLineChars="200"/>
        <w:rPr>
          <w:rFonts w:eastAsia="方正仿宋简体"/>
          <w:bCs/>
          <w:sz w:val="30"/>
          <w:szCs w:val="30"/>
        </w:rPr>
      </w:pPr>
      <w:r>
        <w:rPr>
          <w:rFonts w:eastAsia="方正仿宋简体"/>
          <w:bCs/>
          <w:sz w:val="30"/>
          <w:szCs w:val="30"/>
        </w:rPr>
        <w:t>2．认沽期权义务仓开仓保证金：（                     ）。</w:t>
      </w:r>
    </w:p>
    <w:p>
      <w:pPr>
        <w:numPr>
          <w:ilvl w:val="0"/>
          <w:numId w:val="129"/>
        </w:numPr>
        <w:adjustRightInd w:val="0"/>
        <w:spacing w:line="560" w:lineRule="exact"/>
        <w:ind w:left="0" w:firstLine="600" w:firstLineChars="200"/>
        <w:rPr>
          <w:rFonts w:eastAsia="方正仿宋简体"/>
          <w:bCs/>
          <w:sz w:val="30"/>
          <w:szCs w:val="30"/>
        </w:rPr>
      </w:pPr>
      <w:r>
        <w:rPr>
          <w:rFonts w:eastAsia="方正仿宋简体"/>
          <w:bCs/>
          <w:sz w:val="30"/>
          <w:szCs w:val="30"/>
        </w:rPr>
        <w:t xml:space="preserve">  甲方保证金余额少于卖出开仓申报对应的开仓保证金额度的，该卖出开仓申报无效。甲方保证金余额等于或者高于卖出开仓申报对应的开仓保证金额度的，该卖出开仓申报有效，乙方在其保证金数据中记减相应的开仓保证金额度。</w:t>
      </w:r>
    </w:p>
    <w:p>
      <w:pPr>
        <w:adjustRightInd w:val="0"/>
        <w:spacing w:line="560" w:lineRule="exact"/>
        <w:ind w:firstLine="600" w:firstLineChars="200"/>
        <w:rPr>
          <w:rFonts w:eastAsia="方正仿宋简体"/>
          <w:bCs/>
          <w:sz w:val="30"/>
          <w:szCs w:val="30"/>
        </w:rPr>
      </w:pPr>
      <w:r>
        <w:rPr>
          <w:rFonts w:eastAsia="方正仿宋简体"/>
          <w:bCs/>
          <w:sz w:val="30"/>
          <w:szCs w:val="30"/>
        </w:rPr>
        <w:t>甲方进行买入开仓时，其资金保证金余额少于买入开仓对应的权利金额度的，该买入开仓申报无效。资金保证金余额等于或者高于买入开仓对应的权利金额度的，该买入开仓申报有效，乙方在其保证金余额中记减相应的权利金额度。</w:t>
      </w:r>
    </w:p>
    <w:p>
      <w:pPr>
        <w:numPr>
          <w:ilvl w:val="0"/>
          <w:numId w:val="129"/>
        </w:numPr>
        <w:adjustRightInd w:val="0"/>
        <w:spacing w:line="560" w:lineRule="exact"/>
        <w:ind w:left="0" w:firstLine="600" w:firstLineChars="200"/>
        <w:rPr>
          <w:rFonts w:eastAsia="方正仿宋简体"/>
          <w:bCs/>
          <w:sz w:val="30"/>
          <w:szCs w:val="30"/>
        </w:rPr>
      </w:pPr>
      <w:r>
        <w:rPr>
          <w:rFonts w:eastAsia="方正仿宋简体"/>
          <w:bCs/>
          <w:sz w:val="30"/>
          <w:szCs w:val="30"/>
        </w:rPr>
        <w:tab/>
      </w:r>
      <w:r>
        <w:rPr>
          <w:rFonts w:eastAsia="方正仿宋简体"/>
          <w:bCs/>
          <w:sz w:val="30"/>
          <w:szCs w:val="30"/>
        </w:rPr>
        <w:t>甲方就其持仓合约构建组合策略的，乙方按照深交所及中国结算规定的标准收取相应保证金。</w:t>
      </w:r>
    </w:p>
    <w:p>
      <w:pPr>
        <w:numPr>
          <w:ilvl w:val="0"/>
          <w:numId w:val="129"/>
        </w:numPr>
        <w:adjustRightInd w:val="0"/>
        <w:spacing w:line="560" w:lineRule="exact"/>
        <w:ind w:left="0" w:firstLine="600" w:firstLineChars="200"/>
        <w:rPr>
          <w:rFonts w:eastAsia="方正仿宋简体"/>
          <w:bCs/>
          <w:sz w:val="30"/>
          <w:szCs w:val="30"/>
        </w:rPr>
      </w:pPr>
      <w:r>
        <w:rPr>
          <w:rFonts w:eastAsia="方正仿宋简体"/>
          <w:bCs/>
          <w:sz w:val="30"/>
          <w:szCs w:val="30"/>
        </w:rPr>
        <w:tab/>
      </w:r>
      <w:r>
        <w:rPr>
          <w:rFonts w:eastAsia="方正仿宋简体"/>
          <w:bCs/>
          <w:sz w:val="30"/>
          <w:szCs w:val="30"/>
        </w:rPr>
        <w:t xml:space="preserve">乙方在期权保证金结算银行开设客户期权保证金账户，统一存放并管理甲方及乙方其他客户交纳的用于期权交易的资金。 </w:t>
      </w:r>
    </w:p>
    <w:p>
      <w:pPr>
        <w:numPr>
          <w:ilvl w:val="0"/>
          <w:numId w:val="129"/>
        </w:numPr>
        <w:adjustRightInd w:val="0"/>
        <w:spacing w:line="560" w:lineRule="exact"/>
        <w:ind w:left="0" w:firstLine="600" w:firstLineChars="200"/>
        <w:rPr>
          <w:rFonts w:eastAsia="方正仿宋简体"/>
          <w:bCs/>
          <w:sz w:val="30"/>
          <w:szCs w:val="30"/>
        </w:rPr>
      </w:pPr>
      <w:r>
        <w:rPr>
          <w:rFonts w:eastAsia="方正仿宋简体"/>
          <w:bCs/>
          <w:sz w:val="30"/>
          <w:szCs w:val="30"/>
        </w:rPr>
        <w:tab/>
      </w:r>
      <w:r>
        <w:rPr>
          <w:rFonts w:eastAsia="方正仿宋简体"/>
          <w:bCs/>
          <w:sz w:val="30"/>
          <w:szCs w:val="30"/>
        </w:rPr>
        <w:t>甲方通过在开户申请表中登记的投资者期权银行结算账户向乙方在同一保证金结算银行开设的客户保证金专用账户转账，实现资金保证金的入金；通过将保证金从乙方客户保证金专用账户转出至甲方投资者期权银行结算账户，实现资金保证金的出金。</w:t>
      </w:r>
    </w:p>
    <w:p>
      <w:pPr>
        <w:adjustRightInd w:val="0"/>
        <w:spacing w:line="560" w:lineRule="exact"/>
        <w:ind w:firstLine="600" w:firstLineChars="200"/>
        <w:rPr>
          <w:rFonts w:eastAsia="方正仿宋简体"/>
          <w:bCs/>
          <w:sz w:val="30"/>
          <w:szCs w:val="30"/>
        </w:rPr>
      </w:pPr>
      <w:r>
        <w:rPr>
          <w:rFonts w:eastAsia="方正仿宋简体"/>
          <w:bCs/>
          <w:sz w:val="30"/>
          <w:szCs w:val="30"/>
        </w:rPr>
        <w:t>甲方资金保证金的出入金方式应符合中国证监会、保证金安全存管监控机构以及保证金结算银行资金结算的有关规定。</w:t>
      </w:r>
    </w:p>
    <w:p>
      <w:pPr>
        <w:numPr>
          <w:ilvl w:val="0"/>
          <w:numId w:val="129"/>
        </w:numPr>
        <w:adjustRightInd w:val="0"/>
        <w:spacing w:line="560" w:lineRule="exact"/>
        <w:ind w:left="0" w:firstLine="600" w:firstLineChars="200"/>
        <w:rPr>
          <w:rFonts w:eastAsia="方正仿宋简体"/>
          <w:bCs/>
          <w:sz w:val="30"/>
          <w:szCs w:val="30"/>
        </w:rPr>
      </w:pPr>
      <w:r>
        <w:rPr>
          <w:rFonts w:eastAsia="方正仿宋简体"/>
          <w:bCs/>
          <w:sz w:val="30"/>
          <w:szCs w:val="30"/>
        </w:rPr>
        <w:t xml:space="preserve"> 乙方在中国结算开设股票期权客户证券保证金账户，统一存放并管理甲方及乙方其他客户交纳的用于期权交易的证券保证金。</w:t>
      </w:r>
    </w:p>
    <w:p>
      <w:pPr>
        <w:numPr>
          <w:ilvl w:val="0"/>
          <w:numId w:val="129"/>
        </w:numPr>
        <w:adjustRightInd w:val="0"/>
        <w:spacing w:line="560" w:lineRule="exact"/>
        <w:ind w:left="0" w:firstLine="600" w:firstLineChars="200"/>
        <w:rPr>
          <w:rFonts w:eastAsia="方正仿宋简体"/>
          <w:bCs/>
          <w:sz w:val="30"/>
          <w:szCs w:val="30"/>
        </w:rPr>
      </w:pPr>
      <w:r>
        <w:rPr>
          <w:rFonts w:eastAsia="方正仿宋简体"/>
          <w:bCs/>
          <w:sz w:val="30"/>
          <w:szCs w:val="30"/>
        </w:rPr>
        <w:tab/>
      </w:r>
      <w:r>
        <w:rPr>
          <w:rFonts w:eastAsia="方正仿宋简体"/>
          <w:bCs/>
          <w:sz w:val="30"/>
          <w:szCs w:val="30"/>
        </w:rPr>
        <w:t xml:space="preserve">甲方知晓并同意，存放在乙方客户证券保证金账户内的证券，作为乙方向中国结算提交的证券保证金，用于乙方期权结算和保证期权合约的履行。 </w:t>
      </w:r>
    </w:p>
    <w:p>
      <w:pPr>
        <w:numPr>
          <w:ilvl w:val="0"/>
          <w:numId w:val="129"/>
        </w:numPr>
        <w:adjustRightInd w:val="0"/>
        <w:spacing w:line="560" w:lineRule="exact"/>
        <w:ind w:left="0" w:firstLine="600" w:firstLineChars="200"/>
        <w:rPr>
          <w:rFonts w:eastAsia="方正仿宋简体"/>
          <w:bCs/>
          <w:sz w:val="30"/>
          <w:szCs w:val="30"/>
        </w:rPr>
      </w:pPr>
      <w:r>
        <w:rPr>
          <w:rFonts w:eastAsia="方正仿宋简体"/>
          <w:bCs/>
          <w:sz w:val="30"/>
          <w:szCs w:val="30"/>
        </w:rPr>
        <w:tab/>
      </w:r>
      <w:r>
        <w:rPr>
          <w:rFonts w:eastAsia="方正仿宋简体"/>
          <w:bCs/>
          <w:sz w:val="30"/>
          <w:szCs w:val="30"/>
        </w:rPr>
        <w:t>甲方可以根据本合同的约定以及乙方做出的其他规定，将其普通证券账户内持有的证券提交为保证金。</w:t>
      </w:r>
    </w:p>
    <w:p>
      <w:pPr>
        <w:adjustRightInd w:val="0"/>
        <w:spacing w:line="560" w:lineRule="exact"/>
        <w:ind w:firstLine="600" w:firstLineChars="200"/>
        <w:rPr>
          <w:rFonts w:eastAsia="方正仿宋简体"/>
          <w:bCs/>
          <w:sz w:val="30"/>
          <w:szCs w:val="30"/>
        </w:rPr>
      </w:pPr>
      <w:r>
        <w:rPr>
          <w:rFonts w:eastAsia="方正仿宋简体"/>
          <w:bCs/>
          <w:sz w:val="30"/>
          <w:szCs w:val="30"/>
        </w:rPr>
        <w:t>甲方可以根据本合同的约定以及乙方做出其他的规定，向乙方提出证券保证金转出指令，申请将其提交的证券保证金转出至甲方普通证券账户。</w:t>
      </w:r>
    </w:p>
    <w:p>
      <w:pPr>
        <w:adjustRightInd w:val="0"/>
        <w:spacing w:line="560" w:lineRule="exact"/>
        <w:ind w:firstLine="600" w:firstLineChars="200"/>
        <w:rPr>
          <w:rFonts w:eastAsia="方正仿宋简体"/>
          <w:bCs/>
          <w:sz w:val="30"/>
          <w:szCs w:val="30"/>
        </w:rPr>
      </w:pPr>
      <w:r>
        <w:rPr>
          <w:rFonts w:eastAsia="方正仿宋简体"/>
          <w:bCs/>
          <w:sz w:val="30"/>
          <w:szCs w:val="30"/>
        </w:rPr>
        <w:t>乙方可以根据深交所及中国结算的业务规则，对甲方转出证券保证金的条件做出规定，并以公告或者通知的方式告知甲方。</w:t>
      </w:r>
    </w:p>
    <w:p>
      <w:pPr>
        <w:numPr>
          <w:ilvl w:val="0"/>
          <w:numId w:val="129"/>
        </w:numPr>
        <w:adjustRightInd w:val="0"/>
        <w:spacing w:line="560" w:lineRule="exact"/>
        <w:ind w:left="0" w:firstLine="600" w:firstLineChars="200"/>
        <w:rPr>
          <w:rFonts w:eastAsia="方正仿宋简体"/>
          <w:bCs/>
          <w:sz w:val="30"/>
          <w:szCs w:val="30"/>
        </w:rPr>
      </w:pPr>
      <w:r>
        <w:rPr>
          <w:rFonts w:eastAsia="方正仿宋简体"/>
          <w:bCs/>
          <w:sz w:val="30"/>
          <w:szCs w:val="30"/>
        </w:rPr>
        <w:tab/>
      </w:r>
      <w:r>
        <w:rPr>
          <w:rFonts w:eastAsia="方正仿宋简体"/>
          <w:bCs/>
          <w:sz w:val="30"/>
          <w:szCs w:val="30"/>
        </w:rPr>
        <w:t>甲方应当保证其保证金来源的合法性。乙方有权要求甲方对保证金来源的合法性进行说明，必要时可以要求甲方提供相关证明。</w:t>
      </w:r>
    </w:p>
    <w:p>
      <w:pPr>
        <w:adjustRightInd w:val="0"/>
        <w:spacing w:line="560" w:lineRule="exact"/>
        <w:ind w:firstLine="600" w:firstLineChars="200"/>
        <w:rPr>
          <w:rFonts w:eastAsia="方正仿宋简体"/>
          <w:bCs/>
          <w:sz w:val="30"/>
          <w:szCs w:val="30"/>
        </w:rPr>
      </w:pPr>
      <w:r>
        <w:rPr>
          <w:rFonts w:eastAsia="方正仿宋简体"/>
          <w:bCs/>
          <w:sz w:val="30"/>
          <w:szCs w:val="30"/>
        </w:rPr>
        <w:t>甲方对其所做的说明及提供的证明文件负保证义务，并承担相应的法律责任。</w:t>
      </w:r>
    </w:p>
    <w:p>
      <w:pPr>
        <w:numPr>
          <w:ilvl w:val="0"/>
          <w:numId w:val="129"/>
        </w:numPr>
        <w:adjustRightInd w:val="0"/>
        <w:spacing w:line="560" w:lineRule="exact"/>
        <w:ind w:left="0" w:firstLine="600" w:firstLineChars="200"/>
        <w:rPr>
          <w:rFonts w:eastAsia="方正仿宋简体"/>
          <w:bCs/>
          <w:sz w:val="30"/>
          <w:szCs w:val="30"/>
        </w:rPr>
      </w:pPr>
      <w:r>
        <w:rPr>
          <w:rFonts w:eastAsia="方正仿宋简体"/>
          <w:bCs/>
          <w:sz w:val="30"/>
          <w:szCs w:val="30"/>
        </w:rPr>
        <w:tab/>
      </w:r>
      <w:r>
        <w:rPr>
          <w:rFonts w:eastAsia="方正仿宋简体"/>
          <w:bCs/>
          <w:sz w:val="30"/>
          <w:szCs w:val="30"/>
        </w:rPr>
        <w:t xml:space="preserve">甲方可以通过中国证券投资者保护基金有限责任公司网站（www.sipf.com.cn）或者中国期货市场监控中心网站（www.cfmmc.com）查询期权保证金相关信息。 </w:t>
      </w:r>
    </w:p>
    <w:p>
      <w:pPr>
        <w:numPr>
          <w:ilvl w:val="0"/>
          <w:numId w:val="129"/>
        </w:numPr>
        <w:adjustRightInd w:val="0"/>
        <w:spacing w:line="560" w:lineRule="exact"/>
        <w:ind w:left="0" w:firstLine="600" w:firstLineChars="200"/>
        <w:rPr>
          <w:rFonts w:eastAsia="方正仿宋简体"/>
          <w:bCs/>
          <w:sz w:val="30"/>
          <w:szCs w:val="30"/>
        </w:rPr>
      </w:pPr>
      <w:r>
        <w:rPr>
          <w:rFonts w:eastAsia="方正仿宋简体"/>
          <w:bCs/>
          <w:sz w:val="30"/>
          <w:szCs w:val="30"/>
        </w:rPr>
        <w:tab/>
      </w:r>
      <w:r>
        <w:rPr>
          <w:rFonts w:eastAsia="方正仿宋简体"/>
          <w:bCs/>
          <w:sz w:val="30"/>
          <w:szCs w:val="30"/>
        </w:rPr>
        <w:t>甲方交存的保证金属于甲方所有，除下列可划转的情形外，乙方不得挪用甲方保证金：</w:t>
      </w:r>
    </w:p>
    <w:p>
      <w:pPr>
        <w:adjustRightInd w:val="0"/>
        <w:spacing w:line="560" w:lineRule="exact"/>
        <w:ind w:firstLine="600" w:firstLineChars="200"/>
        <w:rPr>
          <w:rFonts w:eastAsia="方正仿宋简体"/>
          <w:bCs/>
          <w:sz w:val="30"/>
          <w:szCs w:val="30"/>
        </w:rPr>
      </w:pPr>
      <w:r>
        <w:rPr>
          <w:rFonts w:eastAsia="方正仿宋简体"/>
          <w:bCs/>
          <w:sz w:val="30"/>
          <w:szCs w:val="30"/>
        </w:rPr>
        <w:t>（一）依照甲方的指示支付可用资金；</w:t>
      </w:r>
    </w:p>
    <w:p>
      <w:pPr>
        <w:adjustRightInd w:val="0"/>
        <w:spacing w:line="560" w:lineRule="exact"/>
        <w:ind w:firstLine="600" w:firstLineChars="200"/>
        <w:rPr>
          <w:rFonts w:eastAsia="方正仿宋简体"/>
          <w:bCs/>
          <w:sz w:val="30"/>
          <w:szCs w:val="30"/>
        </w:rPr>
      </w:pPr>
      <w:r>
        <w:rPr>
          <w:rFonts w:eastAsia="方正仿宋简体"/>
          <w:bCs/>
          <w:sz w:val="30"/>
          <w:szCs w:val="30"/>
        </w:rPr>
        <w:t>（二）为甲方交存保证金；</w:t>
      </w:r>
    </w:p>
    <w:p>
      <w:pPr>
        <w:adjustRightInd w:val="0"/>
        <w:spacing w:line="560" w:lineRule="exact"/>
        <w:ind w:firstLine="600" w:firstLineChars="200"/>
        <w:rPr>
          <w:rFonts w:eastAsia="方正仿宋简体"/>
          <w:bCs/>
          <w:sz w:val="30"/>
          <w:szCs w:val="30"/>
        </w:rPr>
      </w:pPr>
      <w:r>
        <w:rPr>
          <w:rFonts w:eastAsia="方正仿宋简体"/>
          <w:bCs/>
          <w:sz w:val="30"/>
          <w:szCs w:val="30"/>
        </w:rPr>
        <w:t>（三）为甲方支付期权合约权利金；</w:t>
      </w:r>
    </w:p>
    <w:p>
      <w:pPr>
        <w:adjustRightInd w:val="0"/>
        <w:spacing w:line="560" w:lineRule="exact"/>
        <w:ind w:firstLine="600" w:firstLineChars="200"/>
        <w:rPr>
          <w:rFonts w:eastAsia="方正仿宋简体"/>
          <w:bCs/>
          <w:sz w:val="30"/>
          <w:szCs w:val="30"/>
        </w:rPr>
      </w:pPr>
      <w:r>
        <w:rPr>
          <w:rFonts w:eastAsia="方正仿宋简体"/>
          <w:bCs/>
          <w:sz w:val="30"/>
          <w:szCs w:val="30"/>
        </w:rPr>
        <w:t>（四）为甲方支付期权行权交收价款或者甲方未履约情况下的违约金；</w:t>
      </w:r>
    </w:p>
    <w:p>
      <w:pPr>
        <w:adjustRightInd w:val="0"/>
        <w:spacing w:line="560" w:lineRule="exact"/>
        <w:ind w:firstLine="600" w:firstLineChars="200"/>
        <w:rPr>
          <w:rFonts w:eastAsia="方正仿宋简体"/>
          <w:bCs/>
          <w:sz w:val="30"/>
          <w:szCs w:val="30"/>
        </w:rPr>
      </w:pPr>
      <w:r>
        <w:rPr>
          <w:rFonts w:eastAsia="方正仿宋简体"/>
          <w:bCs/>
          <w:sz w:val="30"/>
          <w:szCs w:val="30"/>
        </w:rPr>
        <w:t>（五）甲方应当支付的佣金、费用或者代扣税款；</w:t>
      </w:r>
    </w:p>
    <w:p>
      <w:pPr>
        <w:adjustRightInd w:val="0"/>
        <w:spacing w:line="560" w:lineRule="exact"/>
        <w:ind w:firstLine="600" w:firstLineChars="200"/>
        <w:rPr>
          <w:rFonts w:eastAsia="方正仿宋简体"/>
          <w:bCs/>
          <w:sz w:val="30"/>
          <w:szCs w:val="30"/>
        </w:rPr>
      </w:pPr>
      <w:r>
        <w:rPr>
          <w:rFonts w:eastAsia="方正仿宋简体"/>
          <w:bCs/>
          <w:sz w:val="30"/>
          <w:szCs w:val="30"/>
        </w:rPr>
        <w:t>（六）根据中国结算业务规则以自有资金垫付甲方款项后，收回垫付的款项本息及违约金；</w:t>
      </w:r>
    </w:p>
    <w:p>
      <w:pPr>
        <w:adjustRightInd w:val="0"/>
        <w:spacing w:line="560" w:lineRule="exact"/>
        <w:ind w:firstLine="600" w:firstLineChars="200"/>
        <w:rPr>
          <w:rFonts w:eastAsia="方正仿宋简体"/>
          <w:bCs/>
          <w:sz w:val="30"/>
          <w:szCs w:val="30"/>
        </w:rPr>
      </w:pPr>
      <w:r>
        <w:rPr>
          <w:rFonts w:eastAsia="方正仿宋简体"/>
          <w:bCs/>
          <w:sz w:val="30"/>
          <w:szCs w:val="30"/>
        </w:rPr>
        <w:t>（七）根据中国结算业务规则以自有证券通过甲方衍生品合约账户履行乙方行权结算义务后，收回相应的行权资金；</w:t>
      </w:r>
    </w:p>
    <w:p>
      <w:pPr>
        <w:adjustRightInd w:val="0"/>
        <w:spacing w:line="560" w:lineRule="exact"/>
        <w:ind w:firstLine="600" w:firstLineChars="200"/>
        <w:rPr>
          <w:rFonts w:eastAsia="方正仿宋简体"/>
          <w:bCs/>
          <w:sz w:val="30"/>
          <w:szCs w:val="30"/>
        </w:rPr>
      </w:pPr>
      <w:r>
        <w:rPr>
          <w:rFonts w:eastAsia="方正仿宋简体"/>
          <w:bCs/>
          <w:sz w:val="30"/>
          <w:szCs w:val="30"/>
        </w:rPr>
        <w:t>（八）转回利息收入；</w:t>
      </w:r>
    </w:p>
    <w:p>
      <w:pPr>
        <w:adjustRightInd w:val="0"/>
        <w:spacing w:line="560" w:lineRule="exact"/>
        <w:ind w:firstLine="600" w:firstLineChars="200"/>
        <w:rPr>
          <w:rFonts w:eastAsia="方正仿宋简体"/>
          <w:bCs/>
          <w:sz w:val="30"/>
          <w:szCs w:val="30"/>
        </w:rPr>
      </w:pPr>
      <w:r>
        <w:rPr>
          <w:rFonts w:eastAsia="方正仿宋简体"/>
          <w:bCs/>
          <w:sz w:val="30"/>
          <w:szCs w:val="30"/>
        </w:rPr>
        <w:t>（九）有关法律、法规或中国证监会、深交所、中国结算规定的其他情形。</w:t>
      </w:r>
    </w:p>
    <w:p>
      <w:pPr>
        <w:numPr>
          <w:ilvl w:val="0"/>
          <w:numId w:val="129"/>
        </w:numPr>
        <w:adjustRightInd w:val="0"/>
        <w:spacing w:line="560" w:lineRule="exact"/>
        <w:ind w:left="0" w:firstLine="600" w:firstLineChars="200"/>
        <w:rPr>
          <w:rFonts w:eastAsia="方正仿宋简体"/>
          <w:bCs/>
          <w:sz w:val="30"/>
          <w:szCs w:val="30"/>
        </w:rPr>
      </w:pPr>
      <w:r>
        <w:rPr>
          <w:rFonts w:eastAsia="方正仿宋简体"/>
          <w:bCs/>
          <w:sz w:val="30"/>
          <w:szCs w:val="30"/>
        </w:rPr>
        <w:tab/>
      </w:r>
      <w:r>
        <w:rPr>
          <w:rFonts w:eastAsia="方正仿宋简体"/>
          <w:bCs/>
          <w:sz w:val="30"/>
          <w:szCs w:val="30"/>
        </w:rPr>
        <w:t>甲方应当根据乙方确定的比例交纳保证金。乙方有权根据深交所、中国结算的规定、市场情况，或者乙方认为有必要时自行调整保证金比例。乙方调整保证金比例时，以乙方发出的调整保证金公告或者通知为准。</w:t>
      </w:r>
    </w:p>
    <w:p>
      <w:pPr>
        <w:numPr>
          <w:ilvl w:val="0"/>
          <w:numId w:val="129"/>
        </w:numPr>
        <w:adjustRightInd w:val="0"/>
        <w:spacing w:line="560" w:lineRule="exact"/>
        <w:ind w:left="0" w:firstLine="600" w:firstLineChars="200"/>
        <w:rPr>
          <w:rFonts w:eastAsia="方正仿宋简体"/>
          <w:bCs/>
          <w:sz w:val="30"/>
          <w:szCs w:val="30"/>
        </w:rPr>
      </w:pPr>
      <w:r>
        <w:rPr>
          <w:rFonts w:eastAsia="方正仿宋简体"/>
          <w:bCs/>
          <w:sz w:val="30"/>
          <w:szCs w:val="30"/>
        </w:rPr>
        <w:tab/>
      </w:r>
      <w:r>
        <w:rPr>
          <w:rFonts w:eastAsia="方正仿宋简体"/>
          <w:bCs/>
          <w:sz w:val="30"/>
          <w:szCs w:val="30"/>
        </w:rPr>
        <w:t xml:space="preserve">乙方认为甲方持有的未平仓合约风险较大时，有权对甲方单独提高保证金比例或者拒绝甲方开仓。在此种情形下，提高保证金或者拒绝甲方开仓的通知单独对甲方发出。  </w:t>
      </w:r>
    </w:p>
    <w:p>
      <w:pPr>
        <w:numPr>
          <w:ilvl w:val="0"/>
          <w:numId w:val="129"/>
        </w:numPr>
        <w:adjustRightInd w:val="0"/>
        <w:spacing w:line="560" w:lineRule="exact"/>
        <w:ind w:left="0" w:firstLine="600" w:firstLineChars="200"/>
        <w:rPr>
          <w:rFonts w:eastAsia="方正仿宋简体"/>
          <w:bCs/>
          <w:sz w:val="30"/>
          <w:szCs w:val="30"/>
        </w:rPr>
      </w:pPr>
      <w:r>
        <w:rPr>
          <w:rFonts w:eastAsia="方正仿宋简体"/>
          <w:bCs/>
          <w:sz w:val="30"/>
          <w:szCs w:val="30"/>
        </w:rPr>
        <w:tab/>
      </w:r>
      <w:r>
        <w:rPr>
          <w:rFonts w:eastAsia="方正仿宋简体"/>
          <w:bCs/>
          <w:sz w:val="30"/>
          <w:szCs w:val="30"/>
        </w:rPr>
        <w:t>乙方应当对甲方期权保证金账户的有关信息保密，但国家法律法规和中国证监会有特别规定的除外。</w:t>
      </w:r>
    </w:p>
    <w:p>
      <w:pPr>
        <w:adjustRightInd w:val="0"/>
        <w:spacing w:line="560" w:lineRule="exact"/>
        <w:ind w:firstLine="600" w:firstLineChars="200"/>
        <w:rPr>
          <w:rFonts w:eastAsia="方正仿宋简体"/>
          <w:bCs/>
          <w:sz w:val="30"/>
          <w:szCs w:val="30"/>
        </w:rPr>
      </w:pPr>
      <w:r>
        <w:rPr>
          <w:rFonts w:eastAsia="方正仿宋简体"/>
          <w:bCs/>
          <w:sz w:val="30"/>
          <w:szCs w:val="30"/>
        </w:rPr>
        <w:t>为保障甲方保证金的安全，甲方同意乙方按照中国证监会的规定或要求，向期权保证金安全存管机构报送甲方与保证金安全存管相关的信息。</w:t>
      </w:r>
    </w:p>
    <w:p>
      <w:pPr>
        <w:numPr>
          <w:ilvl w:val="0"/>
          <w:numId w:val="129"/>
        </w:numPr>
        <w:adjustRightInd w:val="0"/>
        <w:spacing w:line="560" w:lineRule="exact"/>
        <w:ind w:left="0" w:firstLine="600" w:firstLineChars="200"/>
        <w:rPr>
          <w:rFonts w:eastAsia="方正仿宋简体"/>
          <w:bCs/>
          <w:sz w:val="30"/>
          <w:szCs w:val="30"/>
        </w:rPr>
      </w:pPr>
      <w:r>
        <w:rPr>
          <w:rFonts w:eastAsia="方正仿宋简体"/>
          <w:bCs/>
          <w:sz w:val="30"/>
          <w:szCs w:val="30"/>
        </w:rPr>
        <w:tab/>
      </w:r>
      <w:r>
        <w:rPr>
          <w:rFonts w:eastAsia="方正仿宋简体"/>
          <w:bCs/>
          <w:sz w:val="30"/>
          <w:szCs w:val="30"/>
        </w:rPr>
        <w:t>甲方保证金不足乙方规定标准的，乙方将于当日交易结算报告中向甲方发出平仓通知。甲方应当在下一交易日开市前及时追加保证金或者在开市后（  ）时（  ）分前立即自行平仓。甲方未在乙方要求的时间内追加保证金或者自行平仓的，乙方有权就不足部分对甲方的部分或全部未平仓合约强行平仓。</w:t>
      </w:r>
    </w:p>
    <w:p>
      <w:pPr>
        <w:numPr>
          <w:ilvl w:val="0"/>
          <w:numId w:val="129"/>
        </w:numPr>
        <w:adjustRightInd w:val="0"/>
        <w:spacing w:line="560" w:lineRule="exact"/>
        <w:ind w:left="0" w:firstLine="600" w:firstLineChars="200"/>
        <w:rPr>
          <w:rFonts w:eastAsia="方正仿宋简体"/>
          <w:bCs/>
          <w:sz w:val="30"/>
          <w:szCs w:val="30"/>
        </w:rPr>
      </w:pPr>
      <w:r>
        <w:rPr>
          <w:rFonts w:eastAsia="方正仿宋简体"/>
          <w:bCs/>
          <w:sz w:val="30"/>
          <w:szCs w:val="30"/>
        </w:rPr>
        <w:t>乙方因甲方保证金不足实施强行平仓时，按照下列原则执行平仓：</w:t>
      </w:r>
    </w:p>
    <w:p>
      <w:pPr>
        <w:adjustRightInd w:val="0"/>
        <w:spacing w:line="560" w:lineRule="exact"/>
        <w:ind w:firstLine="600" w:firstLineChars="200"/>
        <w:rPr>
          <w:rFonts w:eastAsia="方正仿宋简体"/>
          <w:bCs/>
          <w:sz w:val="30"/>
          <w:szCs w:val="30"/>
        </w:rPr>
      </w:pPr>
      <w:r>
        <w:rPr>
          <w:rFonts w:eastAsia="方正仿宋简体"/>
          <w:bCs/>
          <w:sz w:val="30"/>
          <w:szCs w:val="30"/>
        </w:rPr>
        <w:t xml:space="preserve">1．选择平仓合约的原则：（                         ）；           </w:t>
      </w:r>
    </w:p>
    <w:p>
      <w:pPr>
        <w:adjustRightInd w:val="0"/>
        <w:spacing w:line="560" w:lineRule="exact"/>
        <w:ind w:firstLine="600" w:firstLineChars="200"/>
        <w:rPr>
          <w:rFonts w:eastAsia="方正仿宋简体"/>
          <w:bCs/>
          <w:sz w:val="30"/>
          <w:szCs w:val="30"/>
        </w:rPr>
      </w:pPr>
      <w:r>
        <w:rPr>
          <w:rFonts w:eastAsia="方正仿宋简体"/>
          <w:bCs/>
          <w:sz w:val="30"/>
          <w:szCs w:val="30"/>
        </w:rPr>
        <w:t xml:space="preserve">2．执行时间、申报价格和方式：（                   ）。                             </w:t>
      </w:r>
    </w:p>
    <w:p>
      <w:pPr>
        <w:numPr>
          <w:ilvl w:val="0"/>
          <w:numId w:val="129"/>
        </w:numPr>
        <w:adjustRightInd w:val="0"/>
        <w:spacing w:line="560" w:lineRule="exact"/>
        <w:ind w:left="0" w:firstLine="600" w:firstLineChars="200"/>
        <w:rPr>
          <w:rFonts w:eastAsia="方正仿宋简体"/>
          <w:bCs/>
          <w:sz w:val="30"/>
          <w:szCs w:val="30"/>
        </w:rPr>
      </w:pPr>
      <w:r>
        <w:rPr>
          <w:rFonts w:eastAsia="方正仿宋简体"/>
          <w:bCs/>
          <w:sz w:val="30"/>
          <w:szCs w:val="30"/>
        </w:rPr>
        <w:t>甲方用于备兑开仓的证券不足，且未在乙方要求的时间内追加备兑证券或者自行平仓的，乙方有权根据中国结算的日终交收结果将备兑仓不足部分转为普通仓，并向甲方收取相应维持保证金。</w:t>
      </w:r>
    </w:p>
    <w:p>
      <w:pPr>
        <w:adjustRightInd w:val="0"/>
        <w:spacing w:line="560" w:lineRule="exact"/>
        <w:ind w:firstLine="600" w:firstLineChars="200"/>
        <w:rPr>
          <w:rFonts w:eastAsia="方正仿宋简体"/>
          <w:bCs/>
          <w:sz w:val="30"/>
          <w:szCs w:val="30"/>
        </w:rPr>
      </w:pPr>
      <w:r>
        <w:rPr>
          <w:rFonts w:eastAsia="方正仿宋简体"/>
          <w:bCs/>
          <w:sz w:val="30"/>
          <w:szCs w:val="30"/>
        </w:rPr>
        <w:t>甲方备兑开仓持仓在存续期内出现备兑证券不足的，乙方可以按备兑不足期权合约数量锁定甲方保证金账户内相应保证金。</w:t>
      </w:r>
    </w:p>
    <w:p>
      <w:pPr>
        <w:numPr>
          <w:ilvl w:val="0"/>
          <w:numId w:val="129"/>
        </w:numPr>
        <w:adjustRightInd w:val="0"/>
        <w:spacing w:line="560" w:lineRule="exact"/>
        <w:ind w:left="0" w:firstLine="600" w:firstLineChars="200"/>
        <w:rPr>
          <w:rFonts w:eastAsia="方正仿宋简体"/>
          <w:bCs/>
          <w:sz w:val="30"/>
          <w:szCs w:val="30"/>
        </w:rPr>
      </w:pPr>
      <w:r>
        <w:rPr>
          <w:rFonts w:eastAsia="方正仿宋简体"/>
          <w:bCs/>
          <w:sz w:val="30"/>
          <w:szCs w:val="30"/>
        </w:rPr>
        <w:tab/>
      </w:r>
      <w:r>
        <w:rPr>
          <w:rFonts w:eastAsia="方正仿宋简体"/>
          <w:bCs/>
          <w:sz w:val="30"/>
          <w:szCs w:val="30"/>
        </w:rPr>
        <w:t>乙方根据深交所的持仓限额规定，对甲方未平仓合约数量进行管理。乙方核定甲方的持仓限额标准为：</w:t>
      </w:r>
    </w:p>
    <w:p>
      <w:pPr>
        <w:adjustRightInd w:val="0"/>
        <w:spacing w:line="560" w:lineRule="exact"/>
        <w:ind w:firstLine="600" w:firstLineChars="200"/>
        <w:rPr>
          <w:rFonts w:eastAsia="方正仿宋简体"/>
          <w:bCs/>
          <w:sz w:val="30"/>
          <w:szCs w:val="30"/>
        </w:rPr>
      </w:pPr>
      <w:r>
        <w:rPr>
          <w:rFonts w:eastAsia="方正仿宋简体"/>
          <w:bCs/>
          <w:sz w:val="30"/>
          <w:szCs w:val="30"/>
        </w:rPr>
        <w:t>1．对单个合约品种的权利仓持仓限额为深交所公布的相应持仓限额的（）%；</w:t>
      </w:r>
    </w:p>
    <w:p>
      <w:pPr>
        <w:adjustRightInd w:val="0"/>
        <w:spacing w:line="560" w:lineRule="exact"/>
        <w:ind w:firstLine="600" w:firstLineChars="200"/>
        <w:rPr>
          <w:rFonts w:eastAsia="方正仿宋简体"/>
          <w:bCs/>
          <w:sz w:val="30"/>
          <w:szCs w:val="30"/>
        </w:rPr>
      </w:pPr>
      <w:r>
        <w:rPr>
          <w:rFonts w:eastAsia="方正仿宋简体"/>
          <w:bCs/>
          <w:sz w:val="30"/>
          <w:szCs w:val="30"/>
        </w:rPr>
        <w:t>2．对单个合约品种的总持仓限额为深交所公布的相应持仓限额的（）%；</w:t>
      </w:r>
    </w:p>
    <w:p>
      <w:pPr>
        <w:adjustRightInd w:val="0"/>
        <w:spacing w:line="560" w:lineRule="exact"/>
        <w:ind w:firstLine="600" w:firstLineChars="200"/>
        <w:rPr>
          <w:rFonts w:eastAsia="方正仿宋简体"/>
          <w:bCs/>
          <w:sz w:val="30"/>
          <w:szCs w:val="30"/>
        </w:rPr>
      </w:pPr>
      <w:r>
        <w:rPr>
          <w:rFonts w:eastAsia="方正仿宋简体"/>
          <w:bCs/>
          <w:sz w:val="30"/>
          <w:szCs w:val="30"/>
        </w:rPr>
        <w:t>3．对单个合约品种单日买入开仓限额为深交所公布的相应开仓限额的（）%。</w:t>
      </w:r>
    </w:p>
    <w:p>
      <w:pPr>
        <w:adjustRightInd w:val="0"/>
        <w:spacing w:line="560" w:lineRule="exact"/>
        <w:ind w:firstLine="600" w:firstLineChars="200"/>
        <w:rPr>
          <w:rFonts w:eastAsia="方正仿宋简体"/>
          <w:bCs/>
          <w:sz w:val="30"/>
          <w:szCs w:val="30"/>
        </w:rPr>
      </w:pPr>
      <w:r>
        <w:rPr>
          <w:rFonts w:eastAsia="方正仿宋简体"/>
          <w:bCs/>
          <w:sz w:val="30"/>
          <w:szCs w:val="30"/>
        </w:rPr>
        <w:t>乙方据此对甲方的开仓及持仓情况进行前端控制。乙方可以根据深交所公布的持仓限额标准以及甲方实际情况，不时调整甲方的持仓限额标准，并以书面方式或者甲方认可的其他方式告知甲方。</w:t>
      </w:r>
    </w:p>
    <w:p>
      <w:pPr>
        <w:numPr>
          <w:ilvl w:val="0"/>
          <w:numId w:val="129"/>
        </w:numPr>
        <w:adjustRightInd w:val="0"/>
        <w:spacing w:line="560" w:lineRule="exact"/>
        <w:ind w:left="0" w:firstLine="600" w:firstLineChars="200"/>
        <w:rPr>
          <w:rFonts w:eastAsia="方正仿宋简体"/>
          <w:bCs/>
          <w:sz w:val="30"/>
          <w:szCs w:val="30"/>
        </w:rPr>
      </w:pPr>
      <w:r>
        <w:rPr>
          <w:rFonts w:eastAsia="方正仿宋简体"/>
          <w:bCs/>
          <w:sz w:val="30"/>
          <w:szCs w:val="30"/>
        </w:rPr>
        <w:tab/>
      </w:r>
      <w:r>
        <w:rPr>
          <w:rFonts w:eastAsia="方正仿宋简体"/>
          <w:bCs/>
          <w:sz w:val="30"/>
          <w:szCs w:val="30"/>
        </w:rPr>
        <w:t>甲方为个人投资者的，乙方核定其持有的权利仓对应的总成交金额限额（以下简称买入金额限额）为下述金额中较高者：</w:t>
      </w:r>
    </w:p>
    <w:p>
      <w:pPr>
        <w:adjustRightInd w:val="0"/>
        <w:spacing w:line="560" w:lineRule="exact"/>
        <w:ind w:firstLine="600" w:firstLineChars="200"/>
        <w:rPr>
          <w:rFonts w:eastAsia="方正仿宋简体"/>
          <w:bCs/>
          <w:sz w:val="30"/>
          <w:szCs w:val="30"/>
        </w:rPr>
      </w:pPr>
      <w:r>
        <w:rPr>
          <w:rFonts w:eastAsia="方正仿宋简体"/>
          <w:bCs/>
          <w:sz w:val="30"/>
          <w:szCs w:val="30"/>
        </w:rPr>
        <w:t xml:space="preserve">1．甲方托管在乙方的证券账户持有的证券市值与资金账户可用余额（不含融入的证券和资金）的10%，即（      ）元； </w:t>
      </w:r>
    </w:p>
    <w:p>
      <w:pPr>
        <w:adjustRightInd w:val="0"/>
        <w:spacing w:line="560" w:lineRule="exact"/>
        <w:ind w:firstLine="600" w:firstLineChars="200"/>
        <w:rPr>
          <w:rFonts w:eastAsia="方正仿宋简体"/>
          <w:bCs/>
          <w:sz w:val="30"/>
          <w:szCs w:val="30"/>
        </w:rPr>
      </w:pPr>
      <w:r>
        <w:rPr>
          <w:rFonts w:eastAsia="方正仿宋简体"/>
          <w:bCs/>
          <w:sz w:val="30"/>
          <w:szCs w:val="30"/>
        </w:rPr>
        <w:t>2．甲方托管在乙方的证券账户过去6个月日均持有深沪证券市值的20%，即（     ）元。</w:t>
      </w:r>
    </w:p>
    <w:p>
      <w:pPr>
        <w:adjustRightInd w:val="0"/>
        <w:spacing w:line="560" w:lineRule="exact"/>
        <w:ind w:firstLine="600" w:firstLineChars="200"/>
        <w:rPr>
          <w:rFonts w:eastAsia="方正仿宋简体"/>
          <w:bCs/>
          <w:sz w:val="30"/>
          <w:szCs w:val="30"/>
        </w:rPr>
      </w:pPr>
      <w:r>
        <w:rPr>
          <w:rFonts w:eastAsia="方正仿宋简体"/>
          <w:bCs/>
          <w:sz w:val="30"/>
          <w:szCs w:val="30"/>
        </w:rPr>
        <w:t>乙方据此对甲方买入开仓并持仓情况进行前端控制。乙方可以根据深交所公布的标准以及甲方实际情况，调整甲方的买入金额限额标准，并以书面方式或者甲方认可的其他方式告知甲方。</w:t>
      </w:r>
    </w:p>
    <w:p>
      <w:pPr>
        <w:numPr>
          <w:ilvl w:val="0"/>
          <w:numId w:val="129"/>
        </w:numPr>
        <w:adjustRightInd w:val="0"/>
        <w:spacing w:line="560" w:lineRule="exact"/>
        <w:ind w:left="0" w:firstLine="600" w:firstLineChars="200"/>
        <w:rPr>
          <w:rFonts w:eastAsia="方正仿宋简体"/>
          <w:bCs/>
          <w:sz w:val="30"/>
          <w:szCs w:val="30"/>
        </w:rPr>
      </w:pPr>
      <w:r>
        <w:rPr>
          <w:rFonts w:eastAsia="方正仿宋简体"/>
          <w:bCs/>
          <w:sz w:val="30"/>
          <w:szCs w:val="30"/>
        </w:rPr>
        <w:tab/>
      </w:r>
      <w:r>
        <w:rPr>
          <w:rFonts w:eastAsia="方正仿宋简体"/>
          <w:bCs/>
          <w:sz w:val="30"/>
          <w:szCs w:val="30"/>
        </w:rPr>
        <w:t>当甲方持有的未平仓合约数量超过持仓限额规定时，乙方于当日交易结算报告中向甲方发出平仓通知，甲方应当在下一交易日开市后（ ）时（ ）分前立即自行平仓。甲方未在乙方要求的时间内自行平仓的，乙方有权对甲方的部分或全部未平仓合约强行平仓，直至甲方满足持仓限额要求。</w:t>
      </w:r>
    </w:p>
    <w:p>
      <w:pPr>
        <w:adjustRightInd w:val="0"/>
        <w:spacing w:line="560" w:lineRule="exact"/>
        <w:ind w:firstLine="600" w:firstLineChars="200"/>
        <w:rPr>
          <w:rFonts w:eastAsia="方正仿宋简体"/>
          <w:bCs/>
          <w:sz w:val="30"/>
          <w:szCs w:val="30"/>
        </w:rPr>
      </w:pPr>
      <w:r>
        <w:rPr>
          <w:rFonts w:eastAsia="方正仿宋简体"/>
          <w:bCs/>
          <w:sz w:val="30"/>
          <w:szCs w:val="30"/>
        </w:rPr>
        <w:t>因深交所采取风险控制措施等原因统一降低持仓限额、乙方根据经纪合同约定对甲方的持仓限额做出调整或者甲方申请的持仓额度到期，导致甲方未平仓合约数量超过持仓限额规定的，乙方不对甲方超出持仓限额的持仓实施强行平仓，但甲方在自行平仓直至满足降低后的持仓限额前不得再进行相应买入或者卖出开仓。</w:t>
      </w:r>
    </w:p>
    <w:p>
      <w:pPr>
        <w:numPr>
          <w:ilvl w:val="0"/>
          <w:numId w:val="129"/>
        </w:numPr>
        <w:adjustRightInd w:val="0"/>
        <w:spacing w:line="560" w:lineRule="exact"/>
        <w:ind w:left="0" w:firstLine="600" w:firstLineChars="200"/>
        <w:rPr>
          <w:rFonts w:eastAsia="方正仿宋简体"/>
          <w:bCs/>
          <w:sz w:val="30"/>
          <w:szCs w:val="30"/>
        </w:rPr>
      </w:pPr>
      <w:r>
        <w:rPr>
          <w:rFonts w:eastAsia="方正仿宋简体"/>
          <w:bCs/>
          <w:sz w:val="30"/>
          <w:szCs w:val="30"/>
        </w:rPr>
        <w:tab/>
      </w:r>
      <w:r>
        <w:rPr>
          <w:rFonts w:eastAsia="方正仿宋简体"/>
          <w:bCs/>
          <w:sz w:val="30"/>
          <w:szCs w:val="30"/>
        </w:rPr>
        <w:t>乙方因甲方超出持仓限额实施强行平仓时，按照下列原则执行平仓：</w:t>
      </w:r>
    </w:p>
    <w:p>
      <w:pPr>
        <w:adjustRightInd w:val="0"/>
        <w:spacing w:line="560" w:lineRule="exact"/>
        <w:ind w:firstLine="600" w:firstLineChars="200"/>
        <w:rPr>
          <w:rFonts w:eastAsia="方正仿宋简体"/>
          <w:bCs/>
          <w:sz w:val="30"/>
          <w:szCs w:val="30"/>
        </w:rPr>
      </w:pPr>
      <w:r>
        <w:rPr>
          <w:rFonts w:eastAsia="方正仿宋简体"/>
          <w:bCs/>
          <w:sz w:val="30"/>
          <w:szCs w:val="30"/>
        </w:rPr>
        <w:t>1．选择平仓合约的原则：（                           ）</w:t>
      </w:r>
    </w:p>
    <w:p>
      <w:pPr>
        <w:adjustRightInd w:val="0"/>
        <w:spacing w:line="560" w:lineRule="exact"/>
        <w:ind w:firstLine="600" w:firstLineChars="200"/>
        <w:rPr>
          <w:rFonts w:eastAsia="方正仿宋简体"/>
          <w:bCs/>
          <w:sz w:val="30"/>
          <w:szCs w:val="30"/>
        </w:rPr>
      </w:pPr>
      <w:r>
        <w:rPr>
          <w:rFonts w:eastAsia="方正仿宋简体"/>
          <w:bCs/>
          <w:sz w:val="30"/>
          <w:szCs w:val="30"/>
        </w:rPr>
        <w:t xml:space="preserve">2．执行时间、申报价格和方式：（                     ）                                                                                                                                                        </w:t>
      </w:r>
    </w:p>
    <w:p>
      <w:pPr>
        <w:numPr>
          <w:ilvl w:val="0"/>
          <w:numId w:val="129"/>
        </w:numPr>
        <w:adjustRightInd w:val="0"/>
        <w:spacing w:line="560" w:lineRule="exact"/>
        <w:ind w:left="0" w:firstLine="600" w:firstLineChars="200"/>
        <w:rPr>
          <w:rFonts w:eastAsia="方正仿宋简体"/>
          <w:bCs/>
          <w:sz w:val="30"/>
          <w:szCs w:val="30"/>
        </w:rPr>
      </w:pPr>
      <w:r>
        <w:rPr>
          <w:rFonts w:eastAsia="方正仿宋简体"/>
          <w:bCs/>
          <w:sz w:val="30"/>
          <w:szCs w:val="30"/>
        </w:rPr>
        <w:tab/>
      </w:r>
      <w:r>
        <w:rPr>
          <w:rFonts w:eastAsia="方正仿宋简体"/>
          <w:bCs/>
          <w:sz w:val="30"/>
          <w:szCs w:val="30"/>
        </w:rPr>
        <w:t>甲方知晓并同意，深交所、中国结算有权根据相关业务规则的规定，对甲方持有的未平仓合约实施强行平仓。甲方不对深交所或中国结算根据业务规则规定执行的强行平仓主张权益。</w:t>
      </w:r>
    </w:p>
    <w:p>
      <w:pPr>
        <w:numPr>
          <w:ilvl w:val="0"/>
          <w:numId w:val="129"/>
        </w:numPr>
        <w:adjustRightInd w:val="0"/>
        <w:spacing w:line="560" w:lineRule="exact"/>
        <w:ind w:left="0" w:firstLine="600" w:firstLineChars="200"/>
        <w:rPr>
          <w:rFonts w:eastAsia="方正仿宋简体"/>
          <w:bCs/>
          <w:sz w:val="30"/>
          <w:szCs w:val="30"/>
        </w:rPr>
      </w:pPr>
      <w:r>
        <w:rPr>
          <w:rFonts w:eastAsia="方正仿宋简体"/>
          <w:bCs/>
          <w:sz w:val="30"/>
          <w:szCs w:val="30"/>
        </w:rPr>
        <w:tab/>
      </w:r>
      <w:r>
        <w:rPr>
          <w:rFonts w:eastAsia="方正仿宋简体"/>
          <w:bCs/>
          <w:sz w:val="30"/>
          <w:szCs w:val="30"/>
        </w:rPr>
        <w:t>乙方、中国结算根据法律、法规、规章、业务规则或者本合同约定进行强行平仓时，甲方是直接责任人的，应承担强行平仓的手续费及由此产生的结果，并享有强行平仓产生的盈利，由于市场原因导致乙方无法采取强行平仓措施产生的损失由甲方承担；甲方不是直接责任人的，由乙方先行向甲方承担相关损失，再向直接责任人追索，甲方应当提供必要协助。</w:t>
      </w:r>
    </w:p>
    <w:p>
      <w:pPr>
        <w:numPr>
          <w:ilvl w:val="0"/>
          <w:numId w:val="129"/>
        </w:numPr>
        <w:adjustRightInd w:val="0"/>
        <w:spacing w:line="560" w:lineRule="exact"/>
        <w:ind w:left="0" w:firstLine="600" w:firstLineChars="200"/>
        <w:rPr>
          <w:rFonts w:eastAsia="方正仿宋简体"/>
          <w:bCs/>
          <w:sz w:val="30"/>
          <w:szCs w:val="30"/>
        </w:rPr>
      </w:pPr>
      <w:r>
        <w:rPr>
          <w:rFonts w:eastAsia="方正仿宋简体"/>
          <w:bCs/>
          <w:sz w:val="30"/>
          <w:szCs w:val="30"/>
        </w:rPr>
        <w:tab/>
      </w:r>
      <w:r>
        <w:rPr>
          <w:rFonts w:eastAsia="方正仿宋简体"/>
          <w:bCs/>
          <w:sz w:val="30"/>
          <w:szCs w:val="30"/>
        </w:rPr>
        <w:t>乙方选择的平仓价位和平仓数量在当时的市场条件应当属于合理的范围。甲方同意不以强行平仓的时机未能选择最佳价位和数量为由向乙方主张权益。</w:t>
      </w:r>
    </w:p>
    <w:p>
      <w:pPr>
        <w:adjustRightInd w:val="0"/>
        <w:spacing w:line="560" w:lineRule="exact"/>
        <w:ind w:firstLine="600" w:firstLineChars="200"/>
        <w:rPr>
          <w:rFonts w:eastAsia="方正仿宋简体"/>
          <w:bCs/>
          <w:sz w:val="30"/>
          <w:szCs w:val="30"/>
        </w:rPr>
      </w:pPr>
      <w:r>
        <w:rPr>
          <w:rFonts w:eastAsia="方正仿宋简体"/>
          <w:bCs/>
          <w:sz w:val="30"/>
          <w:szCs w:val="30"/>
        </w:rPr>
        <w:t>乙方强行平仓不符合法定或者约定条件并有过错的，除甲方认可外，应当在下一交易日闭市前恢复被强行平仓的持仓，或者根据甲方的意愿采取其他合理的解决办法，并赔偿由此给甲方造成的直接损失。</w:t>
      </w:r>
    </w:p>
    <w:p>
      <w:pPr>
        <w:adjustRightInd w:val="0"/>
        <w:spacing w:line="560" w:lineRule="exact"/>
        <w:ind w:firstLine="600" w:firstLineChars="200"/>
        <w:rPr>
          <w:rFonts w:eastAsia="方正仿宋简体"/>
          <w:bCs/>
          <w:sz w:val="30"/>
          <w:szCs w:val="30"/>
        </w:rPr>
      </w:pPr>
      <w:r>
        <w:rPr>
          <w:rFonts w:eastAsia="方正仿宋简体"/>
          <w:bCs/>
          <w:sz w:val="30"/>
          <w:szCs w:val="30"/>
        </w:rPr>
        <w:t>乙方在采取本节规定的强行平仓措施后，应在事后及时将有关情况告知甲方。</w:t>
      </w:r>
    </w:p>
    <w:p>
      <w:pPr>
        <w:numPr>
          <w:ilvl w:val="0"/>
          <w:numId w:val="129"/>
        </w:numPr>
        <w:adjustRightInd w:val="0"/>
        <w:spacing w:line="560" w:lineRule="exact"/>
        <w:ind w:left="0" w:firstLine="600" w:firstLineChars="200"/>
        <w:rPr>
          <w:rFonts w:eastAsia="方正仿宋简体"/>
          <w:bCs/>
          <w:sz w:val="30"/>
          <w:szCs w:val="30"/>
        </w:rPr>
      </w:pPr>
      <w:r>
        <w:rPr>
          <w:rFonts w:eastAsia="方正仿宋简体"/>
          <w:bCs/>
          <w:sz w:val="30"/>
          <w:szCs w:val="30"/>
        </w:rPr>
        <w:t>甲方被深交所要求报告持仓情况的，应当按照规定的内容及时间要求，向乙方报告其持仓、资金以及交易用途等情况，并由乙方提交给深交所。</w:t>
      </w:r>
    </w:p>
    <w:p>
      <w:pPr>
        <w:adjustRightInd w:val="0"/>
        <w:spacing w:line="560" w:lineRule="exact"/>
        <w:ind w:firstLine="600" w:firstLineChars="200"/>
        <w:rPr>
          <w:rFonts w:eastAsia="方正仿宋简体"/>
          <w:bCs/>
          <w:sz w:val="30"/>
          <w:szCs w:val="30"/>
        </w:rPr>
      </w:pPr>
      <w:r>
        <w:rPr>
          <w:rFonts w:eastAsia="方正仿宋简体"/>
          <w:bCs/>
          <w:sz w:val="30"/>
          <w:szCs w:val="30"/>
        </w:rPr>
        <w:t>甲方应当配合乙方履行报告义务，向甲方如实提供前款所列资料，保证所提供资料真实、准确、完整。若甲方不提供或乙方有合理理由怀疑其提供的信息虚假或不准确，乙方有权要求其及时补正。若甲方不按要求补正，由此产生的后果由投资者承担。</w:t>
      </w:r>
    </w:p>
    <w:p>
      <w:pPr>
        <w:numPr>
          <w:ilvl w:val="0"/>
          <w:numId w:val="129"/>
        </w:numPr>
        <w:adjustRightInd w:val="0"/>
        <w:spacing w:line="560" w:lineRule="exact"/>
        <w:ind w:left="0" w:firstLine="600" w:firstLineChars="200"/>
        <w:rPr>
          <w:rFonts w:eastAsia="方正仿宋简体"/>
          <w:bCs/>
          <w:sz w:val="30"/>
          <w:szCs w:val="30"/>
        </w:rPr>
      </w:pPr>
      <w:r>
        <w:rPr>
          <w:rFonts w:eastAsia="方正仿宋简体"/>
          <w:bCs/>
          <w:sz w:val="30"/>
          <w:szCs w:val="30"/>
        </w:rPr>
        <w:t xml:space="preserve">有下列情形之一的，乙方有权对甲方采取提高保证金、限制开仓、限制甲方衍生品合约账户全部或部分功能、拒绝甲方委托或者终止经纪关系等措施： </w:t>
      </w:r>
    </w:p>
    <w:p>
      <w:pPr>
        <w:adjustRightInd w:val="0"/>
        <w:spacing w:line="560" w:lineRule="exact"/>
        <w:ind w:firstLine="600" w:firstLineChars="200"/>
        <w:rPr>
          <w:rFonts w:eastAsia="方正仿宋简体"/>
          <w:bCs/>
          <w:sz w:val="30"/>
          <w:szCs w:val="30"/>
        </w:rPr>
      </w:pPr>
      <w:r>
        <w:rPr>
          <w:rFonts w:eastAsia="方正仿宋简体"/>
          <w:bCs/>
          <w:sz w:val="30"/>
          <w:szCs w:val="30"/>
        </w:rPr>
        <w:t xml:space="preserve">（一）甲方提供的资料、证件失效或严重失实的； </w:t>
      </w:r>
    </w:p>
    <w:p>
      <w:pPr>
        <w:adjustRightInd w:val="0"/>
        <w:spacing w:line="560" w:lineRule="exact"/>
        <w:ind w:firstLine="600" w:firstLineChars="200"/>
        <w:rPr>
          <w:rFonts w:eastAsia="方正仿宋简体"/>
          <w:bCs/>
          <w:sz w:val="30"/>
          <w:szCs w:val="30"/>
        </w:rPr>
      </w:pPr>
      <w:r>
        <w:rPr>
          <w:rFonts w:eastAsia="方正仿宋简体"/>
          <w:bCs/>
          <w:sz w:val="30"/>
          <w:szCs w:val="30"/>
        </w:rPr>
        <w:t xml:space="preserve">（二）乙方认定甲方资金来源不合法，或甲方违反反洗钱监管规定的； </w:t>
      </w:r>
    </w:p>
    <w:p>
      <w:pPr>
        <w:adjustRightInd w:val="0"/>
        <w:spacing w:line="560" w:lineRule="exact"/>
        <w:ind w:firstLine="600" w:firstLineChars="200"/>
        <w:rPr>
          <w:rFonts w:eastAsia="方正仿宋简体"/>
          <w:bCs/>
          <w:sz w:val="30"/>
          <w:szCs w:val="30"/>
        </w:rPr>
      </w:pPr>
      <w:r>
        <w:rPr>
          <w:rFonts w:eastAsia="方正仿宋简体"/>
          <w:bCs/>
          <w:sz w:val="30"/>
          <w:szCs w:val="30"/>
        </w:rPr>
        <w:t xml:space="preserve">（三）甲方有严重损害乙方合法权益、影响其正常经营秩序的行为； </w:t>
      </w:r>
    </w:p>
    <w:p>
      <w:pPr>
        <w:adjustRightInd w:val="0"/>
        <w:spacing w:line="560" w:lineRule="exact"/>
        <w:ind w:firstLine="600" w:firstLineChars="200"/>
        <w:rPr>
          <w:rFonts w:eastAsia="方正仿宋简体"/>
          <w:bCs/>
          <w:sz w:val="30"/>
          <w:szCs w:val="30"/>
        </w:rPr>
      </w:pPr>
      <w:r>
        <w:rPr>
          <w:rFonts w:eastAsia="方正仿宋简体"/>
          <w:bCs/>
          <w:sz w:val="30"/>
          <w:szCs w:val="30"/>
        </w:rPr>
        <w:t xml:space="preserve">（四）甲方发生符合深交所异常交易认定标准的异常交易行为或其他违规交易行为的； </w:t>
      </w:r>
    </w:p>
    <w:p>
      <w:pPr>
        <w:adjustRightInd w:val="0"/>
        <w:spacing w:line="560" w:lineRule="exact"/>
        <w:ind w:firstLine="600" w:firstLineChars="200"/>
        <w:rPr>
          <w:rFonts w:eastAsia="方正仿宋简体"/>
          <w:bCs/>
          <w:sz w:val="30"/>
          <w:szCs w:val="30"/>
        </w:rPr>
      </w:pPr>
      <w:r>
        <w:rPr>
          <w:rFonts w:eastAsia="方正仿宋简体"/>
          <w:bCs/>
          <w:sz w:val="30"/>
          <w:szCs w:val="30"/>
        </w:rPr>
        <w:t>（五）乙方应监管部门要求或者甲方违反法律、法规、规章、政策及深交所规则规定的其他情形。</w:t>
      </w:r>
    </w:p>
    <w:p>
      <w:pPr>
        <w:keepNext/>
        <w:keepLines/>
        <w:numPr>
          <w:ilvl w:val="0"/>
          <w:numId w:val="128"/>
        </w:numPr>
        <w:spacing w:line="560" w:lineRule="exact"/>
        <w:ind w:left="420"/>
        <w:jc w:val="center"/>
        <w:rPr>
          <w:rFonts w:ascii="黑体" w:hAnsi="黑体" w:eastAsia="黑体"/>
          <w:bCs/>
          <w:kern w:val="44"/>
          <w:sz w:val="30"/>
          <w:szCs w:val="30"/>
        </w:rPr>
      </w:pPr>
      <w:r>
        <w:rPr>
          <w:rFonts w:ascii="黑体" w:hAnsi="黑体" w:eastAsia="黑体"/>
          <w:bCs/>
          <w:kern w:val="44"/>
          <w:sz w:val="30"/>
          <w:szCs w:val="30"/>
        </w:rPr>
        <w:t>合同生效、变更与终止</w:t>
      </w:r>
    </w:p>
    <w:p>
      <w:pPr>
        <w:numPr>
          <w:ilvl w:val="0"/>
          <w:numId w:val="129"/>
        </w:numPr>
        <w:adjustRightInd w:val="0"/>
        <w:spacing w:line="560" w:lineRule="exact"/>
        <w:ind w:left="0" w:firstLine="600" w:firstLineChars="200"/>
        <w:rPr>
          <w:rFonts w:eastAsia="方正仿宋简体"/>
          <w:bCs/>
          <w:sz w:val="30"/>
          <w:szCs w:val="30"/>
        </w:rPr>
      </w:pPr>
      <w:r>
        <w:rPr>
          <w:rFonts w:eastAsia="方正仿宋简体"/>
          <w:bCs/>
          <w:sz w:val="30"/>
          <w:szCs w:val="30"/>
        </w:rPr>
        <w:t>本合同经双方签字（甲方为机构投资者的须加盖公章）之日起生效。</w:t>
      </w:r>
    </w:p>
    <w:p>
      <w:pPr>
        <w:numPr>
          <w:ilvl w:val="0"/>
          <w:numId w:val="129"/>
        </w:numPr>
        <w:adjustRightInd w:val="0"/>
        <w:spacing w:line="560" w:lineRule="exact"/>
        <w:ind w:left="0" w:firstLine="600" w:firstLineChars="200"/>
        <w:rPr>
          <w:rFonts w:eastAsia="方正仿宋简体"/>
          <w:bCs/>
          <w:sz w:val="30"/>
          <w:szCs w:val="30"/>
        </w:rPr>
      </w:pPr>
      <w:r>
        <w:rPr>
          <w:rFonts w:eastAsia="方正仿宋简体"/>
          <w:bCs/>
          <w:sz w:val="30"/>
          <w:szCs w:val="30"/>
        </w:rPr>
        <w:t>本合同履行过程中，如果相关法律、法规、规章、政策及深交所或者中国结算的业务规则发生变化，乙方有权依照上述变化直接变更本合同与此相关部分的条款，变更或补充条款优先适用。</w:t>
      </w:r>
    </w:p>
    <w:p>
      <w:pPr>
        <w:adjustRightInd w:val="0"/>
        <w:spacing w:line="560" w:lineRule="exact"/>
        <w:ind w:firstLine="600" w:firstLineChars="200"/>
        <w:rPr>
          <w:rFonts w:eastAsia="方正仿宋简体"/>
          <w:bCs/>
          <w:sz w:val="30"/>
          <w:szCs w:val="30"/>
        </w:rPr>
      </w:pPr>
      <w:r>
        <w:rPr>
          <w:rFonts w:eastAsia="方正仿宋简体"/>
          <w:bCs/>
          <w:sz w:val="30"/>
          <w:szCs w:val="30"/>
        </w:rPr>
        <w:t xml:space="preserve">根据上述情况的变化，乙方对本合同有关条款进行的变更或补充，以本合同约定的通知方式及在乙方营业场所、网站、期权交易客户端公告等方式向甲方发出，变更或补充合同于该合同发出（　）日后生效。变更与补充合同生效之前，甲方有权与乙方进行协商。 </w:t>
      </w:r>
    </w:p>
    <w:p>
      <w:pPr>
        <w:numPr>
          <w:ilvl w:val="0"/>
          <w:numId w:val="129"/>
        </w:numPr>
        <w:adjustRightInd w:val="0"/>
        <w:spacing w:line="560" w:lineRule="exact"/>
        <w:ind w:left="0" w:firstLine="600" w:firstLineChars="200"/>
        <w:rPr>
          <w:rFonts w:eastAsia="方正仿宋简体"/>
          <w:bCs/>
          <w:sz w:val="30"/>
          <w:szCs w:val="30"/>
        </w:rPr>
      </w:pPr>
      <w:r>
        <w:rPr>
          <w:rFonts w:eastAsia="方正仿宋简体"/>
          <w:bCs/>
          <w:sz w:val="30"/>
          <w:szCs w:val="30"/>
        </w:rPr>
        <w:t>除前条所述情况外，如需变更或者补充本合同，需双方协商一致并签订书面变更或者补充合同。变更或者补充合同经乙方授权的代表签字、加盖乙方公章，甲方或者其授权代理人签字盖章后生效。变更或补充合同优先适用。</w:t>
      </w:r>
    </w:p>
    <w:p>
      <w:pPr>
        <w:numPr>
          <w:ilvl w:val="0"/>
          <w:numId w:val="129"/>
        </w:numPr>
        <w:adjustRightInd w:val="0"/>
        <w:spacing w:line="560" w:lineRule="exact"/>
        <w:ind w:left="0" w:firstLine="600" w:firstLineChars="200"/>
        <w:rPr>
          <w:rFonts w:eastAsia="方正仿宋简体"/>
          <w:bCs/>
          <w:sz w:val="30"/>
          <w:szCs w:val="30"/>
        </w:rPr>
      </w:pPr>
      <w:r>
        <w:rPr>
          <w:rFonts w:eastAsia="方正仿宋简体"/>
          <w:bCs/>
          <w:sz w:val="30"/>
          <w:szCs w:val="30"/>
        </w:rPr>
        <w:t>本合同履行过程中的未列明事宜，按国家有关法律、法规、规章、政策及深交所、中国结算的规则、乙方相关业务规则以及期权交易惯例处理。</w:t>
      </w:r>
    </w:p>
    <w:p>
      <w:pPr>
        <w:numPr>
          <w:ilvl w:val="0"/>
          <w:numId w:val="129"/>
        </w:numPr>
        <w:adjustRightInd w:val="0"/>
        <w:spacing w:line="560" w:lineRule="exact"/>
        <w:ind w:left="0" w:firstLine="600" w:firstLineChars="200"/>
        <w:rPr>
          <w:rFonts w:eastAsia="方正仿宋简体"/>
          <w:bCs/>
          <w:sz w:val="30"/>
          <w:szCs w:val="30"/>
        </w:rPr>
      </w:pPr>
      <w:r>
        <w:rPr>
          <w:rFonts w:eastAsia="方正仿宋简体"/>
          <w:bCs/>
          <w:sz w:val="30"/>
          <w:szCs w:val="30"/>
        </w:rPr>
        <w:t>甲乙双方均有权经协商一致后解除本合同，合同的解除对已发生的交易无溯及力。</w:t>
      </w:r>
    </w:p>
    <w:p>
      <w:pPr>
        <w:numPr>
          <w:ilvl w:val="0"/>
          <w:numId w:val="129"/>
        </w:numPr>
        <w:adjustRightInd w:val="0"/>
        <w:spacing w:line="560" w:lineRule="exact"/>
        <w:ind w:left="0" w:firstLine="600" w:firstLineChars="200"/>
        <w:rPr>
          <w:rFonts w:eastAsia="方正仿宋简体"/>
          <w:bCs/>
          <w:sz w:val="30"/>
          <w:szCs w:val="30"/>
        </w:rPr>
      </w:pPr>
      <w:r>
        <w:rPr>
          <w:rFonts w:eastAsia="方正仿宋简体"/>
          <w:bCs/>
          <w:sz w:val="30"/>
          <w:szCs w:val="30"/>
        </w:rPr>
        <w:t>乙方向甲方提出解除合同的，应当提前（ ）天以书面形式通知甲方。甲方未在此期间内自行清理账户的，乙方有权拒绝甲方的新单交易指令及资金调拨指令，甲方应对其账户清算的费用、清算后的债务余额以及由此造成的损失负全部责任。</w:t>
      </w:r>
    </w:p>
    <w:p>
      <w:pPr>
        <w:numPr>
          <w:ilvl w:val="0"/>
          <w:numId w:val="129"/>
        </w:numPr>
        <w:adjustRightInd w:val="0"/>
        <w:spacing w:line="560" w:lineRule="exact"/>
        <w:ind w:left="0" w:firstLine="600" w:firstLineChars="200"/>
        <w:rPr>
          <w:rFonts w:eastAsia="方正仿宋简体"/>
          <w:bCs/>
          <w:sz w:val="30"/>
          <w:szCs w:val="30"/>
        </w:rPr>
      </w:pPr>
      <w:r>
        <w:rPr>
          <w:rFonts w:eastAsia="方正仿宋简体"/>
          <w:bCs/>
          <w:sz w:val="30"/>
          <w:szCs w:val="30"/>
        </w:rPr>
        <w:t>甲方可以通过注销账户的方式终止本合同。但在下列情况下，甲方不得注销账户或者终止合同：</w:t>
      </w:r>
    </w:p>
    <w:p>
      <w:pPr>
        <w:adjustRightInd w:val="0"/>
        <w:spacing w:line="560" w:lineRule="exact"/>
        <w:ind w:firstLine="600" w:firstLineChars="200"/>
        <w:rPr>
          <w:rFonts w:eastAsia="方正仿宋简体"/>
          <w:bCs/>
          <w:sz w:val="30"/>
          <w:szCs w:val="30"/>
        </w:rPr>
      </w:pPr>
      <w:r>
        <w:rPr>
          <w:rFonts w:eastAsia="方正仿宋简体"/>
          <w:bCs/>
          <w:sz w:val="30"/>
          <w:szCs w:val="30"/>
        </w:rPr>
        <w:t>（一）甲方账户上持有未平仓合约或存在交收遗留问题尚未解决；</w:t>
      </w:r>
    </w:p>
    <w:p>
      <w:pPr>
        <w:adjustRightInd w:val="0"/>
        <w:spacing w:line="560" w:lineRule="exact"/>
        <w:ind w:firstLine="600" w:firstLineChars="200"/>
        <w:rPr>
          <w:rFonts w:eastAsia="方正仿宋简体"/>
          <w:bCs/>
          <w:sz w:val="30"/>
          <w:szCs w:val="30"/>
        </w:rPr>
      </w:pPr>
      <w:r>
        <w:rPr>
          <w:rFonts w:eastAsia="方正仿宋简体"/>
          <w:bCs/>
          <w:sz w:val="30"/>
          <w:szCs w:val="30"/>
        </w:rPr>
        <w:t>（二）甲方与乙方有未清偿的债权、债务关系；</w:t>
      </w:r>
    </w:p>
    <w:p>
      <w:pPr>
        <w:adjustRightInd w:val="0"/>
        <w:spacing w:line="560" w:lineRule="exact"/>
        <w:ind w:firstLine="600" w:firstLineChars="200"/>
        <w:rPr>
          <w:rFonts w:eastAsia="方正仿宋简体"/>
          <w:bCs/>
          <w:sz w:val="30"/>
          <w:szCs w:val="30"/>
        </w:rPr>
      </w:pPr>
      <w:r>
        <w:rPr>
          <w:rFonts w:eastAsia="方正仿宋简体"/>
          <w:bCs/>
          <w:sz w:val="30"/>
          <w:szCs w:val="30"/>
        </w:rPr>
        <w:t>（三）甲方与乙方有交易纠纷尚未解决的。</w:t>
      </w:r>
    </w:p>
    <w:p>
      <w:pPr>
        <w:numPr>
          <w:ilvl w:val="0"/>
          <w:numId w:val="129"/>
        </w:numPr>
        <w:adjustRightInd w:val="0"/>
        <w:spacing w:line="560" w:lineRule="exact"/>
        <w:ind w:left="0" w:firstLine="600" w:firstLineChars="200"/>
        <w:rPr>
          <w:rFonts w:eastAsia="方正仿宋简体"/>
          <w:bCs/>
          <w:sz w:val="30"/>
          <w:szCs w:val="30"/>
        </w:rPr>
      </w:pPr>
      <w:r>
        <w:rPr>
          <w:rFonts w:eastAsia="方正仿宋简体"/>
          <w:bCs/>
          <w:sz w:val="30"/>
          <w:szCs w:val="30"/>
        </w:rPr>
        <w:t>乙方因故不能从事期权业务时，应当采取必要措施妥善处理甲方的持仓和保证金。经甲方同意，乙方应将甲方持仓和保证金转移至其他期权经营机构，由此产生的合理费用由乙方承担。</w:t>
      </w:r>
    </w:p>
    <w:p>
      <w:pPr>
        <w:numPr>
          <w:ilvl w:val="0"/>
          <w:numId w:val="129"/>
        </w:numPr>
        <w:adjustRightInd w:val="0"/>
        <w:spacing w:line="560" w:lineRule="exact"/>
        <w:ind w:left="0" w:firstLine="600" w:firstLineChars="200"/>
        <w:rPr>
          <w:rFonts w:eastAsia="方正仿宋简体"/>
          <w:bCs/>
          <w:sz w:val="30"/>
          <w:szCs w:val="30"/>
        </w:rPr>
      </w:pPr>
      <w:r>
        <w:rPr>
          <w:rFonts w:eastAsia="方正仿宋简体"/>
          <w:bCs/>
          <w:sz w:val="30"/>
          <w:szCs w:val="30"/>
        </w:rPr>
        <w:t>甲方、乙方终止合同的，甲方应当办理书面销户手续，签署《销户确认书》。</w:t>
      </w:r>
    </w:p>
    <w:p>
      <w:pPr>
        <w:adjustRightInd w:val="0"/>
        <w:spacing w:line="560" w:lineRule="exact"/>
        <w:rPr>
          <w:rFonts w:eastAsia="方正仿宋简体"/>
          <w:bCs/>
          <w:sz w:val="28"/>
          <w:szCs w:val="28"/>
        </w:rPr>
      </w:pPr>
    </w:p>
    <w:p>
      <w:pPr>
        <w:keepNext/>
        <w:keepLines/>
        <w:numPr>
          <w:ilvl w:val="0"/>
          <w:numId w:val="128"/>
        </w:numPr>
        <w:spacing w:line="560" w:lineRule="exact"/>
        <w:ind w:left="420"/>
        <w:jc w:val="center"/>
        <w:rPr>
          <w:rFonts w:ascii="黑体" w:hAnsi="黑体" w:eastAsia="黑体"/>
          <w:bCs/>
          <w:kern w:val="44"/>
          <w:sz w:val="30"/>
          <w:szCs w:val="30"/>
        </w:rPr>
      </w:pPr>
      <w:r>
        <w:rPr>
          <w:rFonts w:ascii="黑体" w:hAnsi="黑体" w:eastAsia="黑体"/>
          <w:bCs/>
          <w:kern w:val="44"/>
          <w:sz w:val="30"/>
          <w:szCs w:val="30"/>
        </w:rPr>
        <w:t>免责条款与争议解决</w:t>
      </w:r>
    </w:p>
    <w:p>
      <w:pPr>
        <w:numPr>
          <w:ilvl w:val="0"/>
          <w:numId w:val="129"/>
        </w:numPr>
        <w:adjustRightInd w:val="0"/>
        <w:spacing w:line="560" w:lineRule="exact"/>
        <w:ind w:left="0" w:firstLine="600" w:firstLineChars="200"/>
        <w:rPr>
          <w:rFonts w:ascii="方正仿宋简体" w:eastAsia="方正仿宋简体"/>
          <w:bCs/>
          <w:sz w:val="30"/>
          <w:szCs w:val="30"/>
        </w:rPr>
      </w:pPr>
      <w:r>
        <w:rPr>
          <w:rFonts w:hint="eastAsia" w:ascii="方正仿宋简体" w:eastAsia="方正仿宋简体"/>
          <w:bCs/>
          <w:sz w:val="30"/>
          <w:szCs w:val="30"/>
        </w:rPr>
        <w:t>由于地震、火灾、战争等不可抗力因素导致的交易中断、延误等，乙方不承担责任，但应当在条件允许的范围内采取一切必要的补救措施以减少因不可抗力造成的损失。</w:t>
      </w:r>
    </w:p>
    <w:p>
      <w:pPr>
        <w:numPr>
          <w:ilvl w:val="0"/>
          <w:numId w:val="129"/>
        </w:numPr>
        <w:adjustRightInd w:val="0"/>
        <w:spacing w:line="560" w:lineRule="exact"/>
        <w:ind w:left="0" w:firstLine="600" w:firstLineChars="200"/>
        <w:rPr>
          <w:rFonts w:ascii="方正仿宋简体" w:eastAsia="方正仿宋简体"/>
          <w:bCs/>
          <w:sz w:val="30"/>
          <w:szCs w:val="30"/>
        </w:rPr>
      </w:pPr>
      <w:r>
        <w:rPr>
          <w:rFonts w:hint="eastAsia" w:ascii="方正仿宋简体" w:eastAsia="方正仿宋简体"/>
          <w:bCs/>
          <w:sz w:val="30"/>
          <w:szCs w:val="30"/>
        </w:rPr>
        <w:t>由于国家有关法律、法规、规章、政策或者深交所、中国结算修改业务规则或者采取包括但不限于调整保证金、调整涨跌停价格、调整持仓限额、限制交易、取消交易、强行平仓等风险控制措施等导致甲方承担的风险或者损失，深交所、中国结算及乙方不承担责任。</w:t>
      </w:r>
    </w:p>
    <w:p>
      <w:pPr>
        <w:numPr>
          <w:ilvl w:val="0"/>
          <w:numId w:val="129"/>
        </w:numPr>
        <w:adjustRightInd w:val="0"/>
        <w:spacing w:line="560" w:lineRule="exact"/>
        <w:ind w:left="0" w:firstLine="600" w:firstLineChars="200"/>
        <w:rPr>
          <w:rFonts w:ascii="方正仿宋简体" w:eastAsia="方正仿宋简体"/>
          <w:bCs/>
          <w:sz w:val="30"/>
          <w:szCs w:val="30"/>
        </w:rPr>
      </w:pPr>
      <w:r>
        <w:rPr>
          <w:rFonts w:hint="eastAsia" w:ascii="方正仿宋简体" w:eastAsia="方正仿宋简体"/>
          <w:bCs/>
          <w:sz w:val="30"/>
          <w:szCs w:val="30"/>
        </w:rPr>
        <w:t>由于通讯系统繁忙、中断，计算机交易系统故障，网络及信息系统故障，电力中断等原因导致指令传达、执行出现延迟、中断或数据错误，乙方没有过错的，乙方不承担责任。</w:t>
      </w:r>
    </w:p>
    <w:p>
      <w:pPr>
        <w:numPr>
          <w:ilvl w:val="0"/>
          <w:numId w:val="129"/>
        </w:numPr>
        <w:adjustRightInd w:val="0"/>
        <w:spacing w:line="560" w:lineRule="exact"/>
        <w:ind w:left="0" w:firstLine="600" w:firstLineChars="200"/>
        <w:rPr>
          <w:rFonts w:ascii="方正仿宋简体" w:eastAsia="方正仿宋简体"/>
          <w:bCs/>
          <w:sz w:val="30"/>
          <w:szCs w:val="30"/>
        </w:rPr>
      </w:pPr>
      <w:r>
        <w:rPr>
          <w:rFonts w:hint="eastAsia" w:ascii="方正仿宋简体" w:eastAsia="方正仿宋简体"/>
          <w:bCs/>
          <w:sz w:val="30"/>
          <w:szCs w:val="30"/>
        </w:rPr>
        <w:t>由于不可抗力、意外事件、深交所或者中国结算发生技术故障、重大差错等突发事件及其深交所、中国结算采取的相关措施，造成甲方损失的，深交所、中国结算及乙方不承担责任。</w:t>
      </w:r>
    </w:p>
    <w:p>
      <w:pPr>
        <w:numPr>
          <w:ilvl w:val="0"/>
          <w:numId w:val="129"/>
        </w:numPr>
        <w:adjustRightInd w:val="0"/>
        <w:spacing w:line="560" w:lineRule="exact"/>
        <w:ind w:left="0" w:firstLine="600" w:firstLineChars="200"/>
        <w:rPr>
          <w:rFonts w:ascii="方正仿宋简体" w:eastAsia="方正仿宋简体"/>
          <w:bCs/>
          <w:sz w:val="30"/>
          <w:szCs w:val="30"/>
        </w:rPr>
      </w:pPr>
      <w:r>
        <w:rPr>
          <w:rFonts w:hint="eastAsia" w:ascii="方正仿宋简体" w:eastAsia="方正仿宋简体"/>
          <w:bCs/>
          <w:sz w:val="30"/>
          <w:szCs w:val="30"/>
        </w:rPr>
        <w:t>由于互联网上黑客攻击、非法登陆等风险的发生给甲方造成的损失，乙方不承担责任。</w:t>
      </w:r>
    </w:p>
    <w:p>
      <w:pPr>
        <w:numPr>
          <w:ilvl w:val="0"/>
          <w:numId w:val="129"/>
        </w:numPr>
        <w:adjustRightInd w:val="0"/>
        <w:spacing w:line="560" w:lineRule="exact"/>
        <w:ind w:left="0" w:firstLine="600" w:firstLineChars="200"/>
        <w:rPr>
          <w:rFonts w:ascii="方正仿宋简体" w:eastAsia="方正仿宋简体"/>
          <w:bCs/>
          <w:sz w:val="30"/>
          <w:szCs w:val="30"/>
        </w:rPr>
      </w:pPr>
      <w:r>
        <w:rPr>
          <w:rFonts w:hint="eastAsia" w:ascii="方正仿宋简体" w:eastAsia="方正仿宋简体"/>
          <w:bCs/>
          <w:sz w:val="30"/>
          <w:szCs w:val="30"/>
        </w:rPr>
        <w:t>乙方交易系统与深交所、中国结算的交易和结算系统的时间可能存在不一致。甲方通过乙方交易系统提交期权交易委托时，乙方交易系统时间仅供参考，实际申报、成交等时间以深交所交易主机的时间为准。乙方对交易系统显示时间的准确性及其与深交所、中国结算的系统时间的一致性不作任何保证，亦不就此承担责任。</w:t>
      </w:r>
    </w:p>
    <w:p>
      <w:pPr>
        <w:numPr>
          <w:ilvl w:val="0"/>
          <w:numId w:val="129"/>
        </w:numPr>
        <w:adjustRightInd w:val="0"/>
        <w:spacing w:line="560" w:lineRule="exact"/>
        <w:ind w:left="0" w:firstLine="600" w:firstLineChars="200"/>
        <w:rPr>
          <w:rFonts w:ascii="方正仿宋简体" w:eastAsia="方正仿宋简体"/>
          <w:bCs/>
          <w:sz w:val="30"/>
          <w:szCs w:val="30"/>
        </w:rPr>
      </w:pPr>
      <w:r>
        <w:rPr>
          <w:rFonts w:hint="eastAsia" w:ascii="方正仿宋简体" w:eastAsia="方正仿宋简体"/>
          <w:bCs/>
          <w:sz w:val="30"/>
          <w:szCs w:val="30"/>
        </w:rPr>
        <w:t>凡因本合同引起的或与本合同有关的任何争议，甲乙双方可以自行协商解决，协商不成的，可以提请仲裁或提起诉讼；也可以直接提请仲裁或提起诉讼。</w:t>
      </w:r>
    </w:p>
    <w:p>
      <w:pPr>
        <w:adjustRightInd w:val="0"/>
        <w:spacing w:line="560" w:lineRule="exact"/>
        <w:ind w:firstLine="600" w:firstLineChars="200"/>
        <w:rPr>
          <w:rFonts w:ascii="方正仿宋简体" w:eastAsia="方正仿宋简体"/>
          <w:bCs/>
          <w:sz w:val="30"/>
          <w:szCs w:val="30"/>
        </w:rPr>
      </w:pPr>
      <w:r>
        <w:rPr>
          <w:rFonts w:hint="eastAsia" w:ascii="方正仿宋简体" w:eastAsia="方正仿宋简体"/>
          <w:bCs/>
          <w:sz w:val="30"/>
          <w:szCs w:val="30"/>
        </w:rPr>
        <w:t>甲乙双方协商按下列选择提请仲裁或提起诉讼（以下方式选择其一）：</w:t>
      </w:r>
    </w:p>
    <w:p>
      <w:pPr>
        <w:adjustRightInd w:val="0"/>
        <w:spacing w:line="560" w:lineRule="exact"/>
        <w:ind w:firstLine="600" w:firstLineChars="200"/>
        <w:rPr>
          <w:rFonts w:ascii="方正仿宋简体" w:eastAsia="方正仿宋简体"/>
          <w:bCs/>
          <w:sz w:val="30"/>
          <w:szCs w:val="30"/>
        </w:rPr>
      </w:pPr>
      <w:r>
        <w:rPr>
          <w:rFonts w:hint="eastAsia" w:ascii="方正仿宋简体" w:eastAsia="方正仿宋简体"/>
          <w:bCs/>
          <w:sz w:val="30"/>
          <w:szCs w:val="30"/>
        </w:rPr>
        <w:t>□ 提请</w:t>
      </w:r>
      <w:r>
        <w:rPr>
          <w:rFonts w:hint="eastAsia" w:ascii="方正仿宋简体" w:eastAsia="方正仿宋简体"/>
          <w:bCs/>
          <w:sz w:val="30"/>
          <w:szCs w:val="30"/>
          <w:u w:val="single"/>
        </w:rPr>
        <w:t xml:space="preserve">                   </w:t>
      </w:r>
      <w:r>
        <w:rPr>
          <w:rFonts w:hint="eastAsia" w:ascii="方正仿宋简体" w:eastAsia="方正仿宋简体"/>
          <w:bCs/>
          <w:sz w:val="30"/>
          <w:szCs w:val="30"/>
        </w:rPr>
        <w:t>仲裁委员会仲裁；</w:t>
      </w:r>
    </w:p>
    <w:p>
      <w:pPr>
        <w:adjustRightInd w:val="0"/>
        <w:spacing w:line="560" w:lineRule="exact"/>
        <w:ind w:firstLine="600" w:firstLineChars="200"/>
        <w:rPr>
          <w:rFonts w:ascii="方正仿宋简体" w:eastAsia="方正仿宋简体"/>
          <w:bCs/>
          <w:sz w:val="30"/>
          <w:szCs w:val="30"/>
        </w:rPr>
      </w:pPr>
      <w:r>
        <w:rPr>
          <w:rFonts w:hint="eastAsia" w:ascii="方正仿宋简体" w:eastAsia="方正仿宋简体"/>
          <w:bCs/>
          <w:sz w:val="30"/>
          <w:szCs w:val="30"/>
        </w:rPr>
        <w:t>或</w:t>
      </w:r>
    </w:p>
    <w:p>
      <w:pPr>
        <w:adjustRightInd w:val="0"/>
        <w:spacing w:line="560" w:lineRule="exact"/>
        <w:ind w:firstLine="600" w:firstLineChars="200"/>
        <w:rPr>
          <w:rFonts w:ascii="方正仿宋简体" w:eastAsia="方正仿宋简体"/>
          <w:bCs/>
          <w:sz w:val="30"/>
          <w:szCs w:val="30"/>
        </w:rPr>
      </w:pPr>
      <w:r>
        <w:rPr>
          <w:rFonts w:hint="eastAsia" w:ascii="方正仿宋简体" w:eastAsia="方正仿宋简体"/>
          <w:bCs/>
          <w:sz w:val="30"/>
          <w:szCs w:val="30"/>
        </w:rPr>
        <w:t>□ 向</w:t>
      </w:r>
      <w:r>
        <w:rPr>
          <w:rFonts w:hint="eastAsia" w:ascii="方正仿宋简体" w:eastAsia="方正仿宋简体"/>
          <w:bCs/>
          <w:sz w:val="30"/>
          <w:szCs w:val="30"/>
          <w:u w:val="single"/>
        </w:rPr>
        <w:t xml:space="preserve">                   </w:t>
      </w:r>
      <w:r>
        <w:rPr>
          <w:rFonts w:hint="eastAsia" w:ascii="方正仿宋简体" w:eastAsia="方正仿宋简体"/>
          <w:bCs/>
          <w:sz w:val="30"/>
          <w:szCs w:val="30"/>
        </w:rPr>
        <w:t>人民法院起诉。</w:t>
      </w:r>
    </w:p>
    <w:p>
      <w:pPr>
        <w:adjustRightInd w:val="0"/>
        <w:spacing w:line="560" w:lineRule="exact"/>
        <w:ind w:firstLine="560" w:firstLineChars="200"/>
        <w:rPr>
          <w:rFonts w:eastAsia="方正仿宋简体"/>
          <w:bCs/>
          <w:sz w:val="28"/>
          <w:szCs w:val="28"/>
        </w:rPr>
      </w:pPr>
      <w:r>
        <w:rPr>
          <w:rFonts w:eastAsia="方正仿宋简体"/>
          <w:bCs/>
          <w:sz w:val="28"/>
          <w:szCs w:val="28"/>
        </w:rPr>
        <w:br w:type="page"/>
      </w:r>
    </w:p>
    <w:p>
      <w:pPr>
        <w:keepNext/>
        <w:keepLines/>
        <w:numPr>
          <w:ilvl w:val="0"/>
          <w:numId w:val="128"/>
        </w:numPr>
        <w:spacing w:line="560" w:lineRule="exact"/>
        <w:ind w:left="420"/>
        <w:jc w:val="center"/>
        <w:rPr>
          <w:rFonts w:ascii="黑体" w:hAnsi="黑体" w:eastAsia="黑体"/>
          <w:bCs/>
          <w:kern w:val="44"/>
          <w:sz w:val="30"/>
          <w:szCs w:val="30"/>
        </w:rPr>
      </w:pPr>
      <w:r>
        <w:rPr>
          <w:rFonts w:ascii="黑体" w:hAnsi="黑体" w:eastAsia="黑体"/>
          <w:bCs/>
          <w:kern w:val="44"/>
          <w:sz w:val="30"/>
          <w:szCs w:val="30"/>
        </w:rPr>
        <w:t>其他事项</w:t>
      </w:r>
    </w:p>
    <w:p>
      <w:pPr>
        <w:numPr>
          <w:ilvl w:val="0"/>
          <w:numId w:val="129"/>
        </w:numPr>
        <w:adjustRightInd w:val="0"/>
        <w:spacing w:line="560" w:lineRule="exact"/>
        <w:ind w:left="0" w:firstLine="600" w:firstLineChars="200"/>
        <w:rPr>
          <w:rFonts w:eastAsia="方正仿宋简体"/>
          <w:bCs/>
          <w:sz w:val="30"/>
          <w:szCs w:val="30"/>
        </w:rPr>
      </w:pPr>
      <w:r>
        <w:rPr>
          <w:rFonts w:eastAsia="方正仿宋简体"/>
          <w:bCs/>
          <w:sz w:val="30"/>
          <w:szCs w:val="30"/>
        </w:rPr>
        <w:t>甲方不得利用在乙方开立的账户，以乙方工作人员的身份活动，通过网上交易或其他形式开展期权经纪业务或其他活动。若因甲方过错而使乙方遭受损失和不良影响的，甲方应当承担相应的赔偿责任。</w:t>
      </w:r>
    </w:p>
    <w:p>
      <w:pPr>
        <w:numPr>
          <w:ilvl w:val="0"/>
          <w:numId w:val="129"/>
        </w:numPr>
        <w:adjustRightInd w:val="0"/>
        <w:spacing w:line="560" w:lineRule="exact"/>
        <w:ind w:left="0" w:firstLine="600" w:firstLineChars="200"/>
        <w:rPr>
          <w:rFonts w:eastAsia="方正仿宋简体"/>
          <w:bCs/>
          <w:sz w:val="30"/>
          <w:szCs w:val="30"/>
        </w:rPr>
      </w:pPr>
      <w:r>
        <w:rPr>
          <w:rFonts w:eastAsia="方正仿宋简体"/>
          <w:bCs/>
          <w:sz w:val="30"/>
          <w:szCs w:val="30"/>
        </w:rPr>
        <w:t>甲方应当向乙方支付期权交易和交收的佣金。佣金收取按照双方约定的《佣金收取标准》执行。</w:t>
      </w:r>
    </w:p>
    <w:p>
      <w:pPr>
        <w:adjustRightInd w:val="0"/>
        <w:spacing w:line="560" w:lineRule="exact"/>
        <w:ind w:firstLine="600" w:firstLineChars="200"/>
        <w:rPr>
          <w:rFonts w:eastAsia="方正仿宋简体"/>
          <w:bCs/>
          <w:sz w:val="30"/>
          <w:szCs w:val="30"/>
        </w:rPr>
      </w:pPr>
      <w:r>
        <w:rPr>
          <w:rFonts w:eastAsia="方正仿宋简体"/>
          <w:bCs/>
          <w:sz w:val="30"/>
          <w:szCs w:val="30"/>
        </w:rPr>
        <w:t>甲方应当支付乙方向深交所、中国结算代付的各项费用及税款。</w:t>
      </w:r>
    </w:p>
    <w:p>
      <w:pPr>
        <w:numPr>
          <w:ilvl w:val="0"/>
          <w:numId w:val="129"/>
        </w:numPr>
        <w:adjustRightInd w:val="0"/>
        <w:spacing w:line="560" w:lineRule="exact"/>
        <w:ind w:left="0" w:firstLine="600" w:firstLineChars="200"/>
        <w:rPr>
          <w:rFonts w:eastAsia="方正仿宋简体"/>
          <w:bCs/>
          <w:sz w:val="30"/>
          <w:szCs w:val="30"/>
        </w:rPr>
      </w:pPr>
      <w:r>
        <w:rPr>
          <w:rFonts w:eastAsia="方正仿宋简体"/>
          <w:bCs/>
          <w:sz w:val="30"/>
          <w:szCs w:val="30"/>
        </w:rPr>
        <w:t xml:space="preserve"> 本合同未尽事宜，双方另行议定。</w:t>
      </w:r>
    </w:p>
    <w:p>
      <w:pPr>
        <w:numPr>
          <w:ilvl w:val="0"/>
          <w:numId w:val="129"/>
        </w:numPr>
        <w:adjustRightInd w:val="0"/>
        <w:spacing w:line="560" w:lineRule="exact"/>
        <w:ind w:left="0" w:firstLine="600" w:firstLineChars="200"/>
        <w:rPr>
          <w:rFonts w:eastAsia="方正仿宋简体"/>
          <w:bCs/>
          <w:sz w:val="30"/>
          <w:szCs w:val="30"/>
        </w:rPr>
      </w:pPr>
      <w:r>
        <w:rPr>
          <w:rFonts w:eastAsia="方正仿宋简体"/>
          <w:bCs/>
          <w:sz w:val="30"/>
          <w:szCs w:val="30"/>
        </w:rPr>
        <w:t>《股票期权交易风险揭示书》《投资者须知》《开户申请表》《佣金收取标准》及其他补充合同为本合同不可分割的组成部分，与本合同具有同等法律效力。</w:t>
      </w:r>
    </w:p>
    <w:p>
      <w:pPr>
        <w:numPr>
          <w:ilvl w:val="0"/>
          <w:numId w:val="129"/>
        </w:numPr>
        <w:adjustRightInd w:val="0"/>
        <w:spacing w:line="560" w:lineRule="exact"/>
        <w:ind w:left="0" w:firstLine="600" w:firstLineChars="200"/>
        <w:rPr>
          <w:rFonts w:eastAsia="方正仿宋简体"/>
          <w:bCs/>
          <w:sz w:val="30"/>
          <w:szCs w:val="30"/>
        </w:rPr>
      </w:pPr>
      <w:r>
        <w:rPr>
          <w:rFonts w:eastAsia="方正仿宋简体"/>
          <w:bCs/>
          <w:sz w:val="30"/>
          <w:szCs w:val="30"/>
        </w:rPr>
        <w:t>本合同一式三份，乙方执二份，甲方执一份。</w:t>
      </w:r>
    </w:p>
    <w:p>
      <w:pPr>
        <w:adjustRightInd w:val="0"/>
        <w:spacing w:line="560" w:lineRule="exact"/>
        <w:rPr>
          <w:rFonts w:eastAsia="方正仿宋简体"/>
          <w:bCs/>
          <w:sz w:val="30"/>
          <w:szCs w:val="30"/>
        </w:rPr>
      </w:pPr>
      <w:r>
        <w:rPr>
          <w:rFonts w:eastAsia="方正仿宋简体"/>
          <w:bCs/>
          <w:sz w:val="30"/>
          <w:szCs w:val="30"/>
        </w:rPr>
        <w:br w:type="page"/>
      </w:r>
    </w:p>
    <w:p>
      <w:pPr>
        <w:adjustRightInd w:val="0"/>
        <w:spacing w:line="560" w:lineRule="exact"/>
        <w:rPr>
          <w:rFonts w:eastAsia="方正仿宋简体"/>
          <w:b/>
          <w:bCs/>
          <w:sz w:val="30"/>
          <w:szCs w:val="30"/>
        </w:rPr>
      </w:pPr>
      <w:r>
        <w:rPr>
          <w:rFonts w:eastAsia="方正仿宋简体"/>
          <w:b/>
          <w:bCs/>
          <w:sz w:val="30"/>
          <w:szCs w:val="30"/>
        </w:rPr>
        <w:t>甲方</w:t>
      </w:r>
    </w:p>
    <w:p>
      <w:pPr>
        <w:adjustRightInd w:val="0"/>
        <w:snapToGrid w:val="0"/>
        <w:spacing w:line="560" w:lineRule="exact"/>
        <w:rPr>
          <w:rFonts w:eastAsia="方正仿宋简体"/>
          <w:sz w:val="30"/>
          <w:szCs w:val="30"/>
          <w:u w:val="single"/>
        </w:rPr>
      </w:pPr>
      <w:r>
        <w:rPr>
          <w:rFonts w:eastAsia="方正仿宋简体"/>
          <w:b/>
          <w:sz w:val="30"/>
          <w:szCs w:val="30"/>
        </w:rPr>
        <w:t>自然人投资者</w:t>
      </w:r>
      <w:r>
        <w:rPr>
          <w:rFonts w:eastAsia="方正仿宋简体"/>
          <w:sz w:val="30"/>
          <w:szCs w:val="30"/>
        </w:rPr>
        <w:t>：</w:t>
      </w:r>
    </w:p>
    <w:p>
      <w:pPr>
        <w:adjustRightInd w:val="0"/>
        <w:snapToGrid w:val="0"/>
        <w:spacing w:line="560" w:lineRule="exact"/>
        <w:rPr>
          <w:rFonts w:eastAsia="方正仿宋简体"/>
          <w:sz w:val="30"/>
          <w:szCs w:val="30"/>
        </w:rPr>
      </w:pPr>
      <w:r>
        <w:rPr>
          <w:rFonts w:eastAsia="方正仿宋简体"/>
          <w:sz w:val="30"/>
          <w:szCs w:val="30"/>
        </w:rPr>
        <w:t xml:space="preserve">（签字）        </w:t>
      </w:r>
    </w:p>
    <w:p>
      <w:pPr>
        <w:adjustRightInd w:val="0"/>
        <w:snapToGrid w:val="0"/>
        <w:spacing w:line="560" w:lineRule="exact"/>
        <w:ind w:firstLine="3450" w:firstLineChars="1150"/>
        <w:rPr>
          <w:rFonts w:eastAsia="方正仿宋简体"/>
          <w:sz w:val="30"/>
          <w:szCs w:val="30"/>
        </w:rPr>
      </w:pPr>
    </w:p>
    <w:p>
      <w:pPr>
        <w:adjustRightInd w:val="0"/>
        <w:snapToGrid w:val="0"/>
        <w:spacing w:line="560" w:lineRule="exact"/>
        <w:jc w:val="left"/>
        <w:rPr>
          <w:rFonts w:eastAsia="方正仿宋简体"/>
          <w:sz w:val="30"/>
          <w:szCs w:val="30"/>
          <w:u w:val="single"/>
        </w:rPr>
      </w:pPr>
      <w:r>
        <w:rPr>
          <w:rFonts w:eastAsia="方正仿宋简体"/>
          <w:b/>
          <w:sz w:val="30"/>
          <w:szCs w:val="30"/>
        </w:rPr>
        <w:t>机构投资者</w:t>
      </w:r>
      <w:r>
        <w:rPr>
          <w:rFonts w:eastAsia="方正仿宋简体"/>
          <w:sz w:val="30"/>
          <w:szCs w:val="30"/>
        </w:rPr>
        <w:t>（名称）：</w:t>
      </w:r>
    </w:p>
    <w:p>
      <w:pPr>
        <w:adjustRightInd w:val="0"/>
        <w:snapToGrid w:val="0"/>
        <w:spacing w:line="560" w:lineRule="exact"/>
        <w:jc w:val="left"/>
        <w:rPr>
          <w:rFonts w:eastAsia="方正仿宋简体"/>
          <w:sz w:val="30"/>
          <w:szCs w:val="30"/>
        </w:rPr>
      </w:pPr>
      <w:r>
        <w:rPr>
          <w:rFonts w:eastAsia="方正仿宋简体"/>
          <w:sz w:val="30"/>
          <w:szCs w:val="30"/>
        </w:rPr>
        <w:t>（加盖公章）</w:t>
      </w:r>
    </w:p>
    <w:p>
      <w:pPr>
        <w:adjustRightInd w:val="0"/>
        <w:spacing w:line="560" w:lineRule="exact"/>
        <w:rPr>
          <w:rFonts w:eastAsia="方正仿宋简体"/>
          <w:sz w:val="30"/>
          <w:szCs w:val="30"/>
        </w:rPr>
      </w:pPr>
      <w:r>
        <w:rPr>
          <w:rFonts w:eastAsia="方正仿宋简体"/>
          <w:sz w:val="30"/>
          <w:szCs w:val="30"/>
        </w:rPr>
        <w:t xml:space="preserve">委托代理人： </w:t>
      </w:r>
    </w:p>
    <w:p>
      <w:pPr>
        <w:adjustRightInd w:val="0"/>
        <w:spacing w:line="560" w:lineRule="exact"/>
        <w:rPr>
          <w:rFonts w:eastAsia="方正仿宋简体"/>
          <w:bCs/>
          <w:sz w:val="30"/>
          <w:szCs w:val="30"/>
        </w:rPr>
      </w:pPr>
      <w:r>
        <w:rPr>
          <w:rFonts w:eastAsia="方正仿宋简体"/>
          <w:sz w:val="30"/>
          <w:szCs w:val="30"/>
        </w:rPr>
        <w:t xml:space="preserve">（签字） </w:t>
      </w:r>
    </w:p>
    <w:p>
      <w:pPr>
        <w:adjustRightInd w:val="0"/>
        <w:spacing w:line="560" w:lineRule="exact"/>
        <w:rPr>
          <w:rFonts w:eastAsia="方正仿宋简体"/>
          <w:bCs/>
          <w:sz w:val="30"/>
          <w:szCs w:val="30"/>
        </w:rPr>
      </w:pPr>
    </w:p>
    <w:p>
      <w:pPr>
        <w:adjustRightInd w:val="0"/>
        <w:spacing w:line="560" w:lineRule="exact"/>
        <w:jc w:val="right"/>
        <w:rPr>
          <w:rFonts w:eastAsia="方正仿宋简体"/>
          <w:bCs/>
          <w:sz w:val="30"/>
          <w:szCs w:val="30"/>
        </w:rPr>
      </w:pPr>
      <w:r>
        <w:rPr>
          <w:rFonts w:eastAsia="方正仿宋简体"/>
          <w:bCs/>
          <w:sz w:val="30"/>
          <w:szCs w:val="30"/>
        </w:rPr>
        <w:t xml:space="preserve"> 日期：</w:t>
      </w:r>
      <w:r>
        <w:rPr>
          <w:rFonts w:eastAsia="方正仿宋简体"/>
          <w:bCs/>
          <w:sz w:val="30"/>
          <w:szCs w:val="30"/>
          <w:u w:val="single"/>
        </w:rPr>
        <w:t xml:space="preserve">      </w:t>
      </w:r>
      <w:r>
        <w:rPr>
          <w:rFonts w:eastAsia="方正仿宋简体"/>
          <w:bCs/>
          <w:sz w:val="30"/>
          <w:szCs w:val="30"/>
        </w:rPr>
        <w:t>年</w:t>
      </w:r>
      <w:r>
        <w:rPr>
          <w:rFonts w:eastAsia="方正仿宋简体"/>
          <w:bCs/>
          <w:sz w:val="30"/>
          <w:szCs w:val="30"/>
          <w:u w:val="single"/>
        </w:rPr>
        <w:t xml:space="preserve">   </w:t>
      </w:r>
      <w:r>
        <w:rPr>
          <w:rFonts w:eastAsia="方正仿宋简体"/>
          <w:bCs/>
          <w:sz w:val="30"/>
          <w:szCs w:val="30"/>
        </w:rPr>
        <w:t>月</w:t>
      </w:r>
      <w:r>
        <w:rPr>
          <w:rFonts w:eastAsia="方正仿宋简体"/>
          <w:bCs/>
          <w:sz w:val="30"/>
          <w:szCs w:val="30"/>
          <w:u w:val="single"/>
        </w:rPr>
        <w:t xml:space="preserve">   </w:t>
      </w:r>
      <w:r>
        <w:rPr>
          <w:rFonts w:eastAsia="方正仿宋简体"/>
          <w:bCs/>
          <w:sz w:val="30"/>
          <w:szCs w:val="30"/>
        </w:rPr>
        <w:t>日</w:t>
      </w:r>
    </w:p>
    <w:p>
      <w:pPr>
        <w:adjustRightInd w:val="0"/>
        <w:spacing w:line="560" w:lineRule="exact"/>
        <w:rPr>
          <w:rFonts w:eastAsia="方正仿宋简体"/>
          <w:bCs/>
          <w:sz w:val="30"/>
          <w:szCs w:val="30"/>
        </w:rPr>
      </w:pPr>
    </w:p>
    <w:p>
      <w:pPr>
        <w:adjustRightInd w:val="0"/>
        <w:spacing w:line="560" w:lineRule="exact"/>
        <w:rPr>
          <w:rFonts w:eastAsia="方正仿宋简体"/>
          <w:b/>
          <w:bCs/>
          <w:sz w:val="30"/>
          <w:szCs w:val="30"/>
        </w:rPr>
      </w:pPr>
      <w:r>
        <w:rPr>
          <w:rFonts w:eastAsia="方正仿宋简体"/>
          <w:b/>
          <w:bCs/>
          <w:sz w:val="30"/>
          <w:szCs w:val="30"/>
        </w:rPr>
        <w:t>乙方</w:t>
      </w:r>
    </w:p>
    <w:p>
      <w:pPr>
        <w:adjustRightInd w:val="0"/>
        <w:spacing w:line="560" w:lineRule="exact"/>
        <w:rPr>
          <w:rFonts w:eastAsia="方正仿宋简体"/>
          <w:sz w:val="30"/>
          <w:szCs w:val="30"/>
          <w:u w:val="single"/>
        </w:rPr>
      </w:pPr>
      <w:r>
        <w:rPr>
          <w:rFonts w:eastAsia="方正仿宋简体"/>
          <w:bCs/>
          <w:sz w:val="30"/>
          <w:szCs w:val="30"/>
        </w:rPr>
        <w:t xml:space="preserve">名称: </w:t>
      </w:r>
    </w:p>
    <w:p>
      <w:pPr>
        <w:adjustRightInd w:val="0"/>
        <w:spacing w:line="560" w:lineRule="exact"/>
        <w:rPr>
          <w:rFonts w:eastAsia="方正仿宋简体"/>
          <w:bCs/>
          <w:sz w:val="30"/>
          <w:szCs w:val="30"/>
        </w:rPr>
      </w:pPr>
      <w:r>
        <w:rPr>
          <w:rFonts w:eastAsia="方正仿宋简体"/>
          <w:sz w:val="30"/>
          <w:szCs w:val="30"/>
        </w:rPr>
        <w:t>（加盖公章）</w:t>
      </w:r>
    </w:p>
    <w:p>
      <w:pPr>
        <w:adjustRightInd w:val="0"/>
        <w:spacing w:line="560" w:lineRule="exact"/>
        <w:rPr>
          <w:rFonts w:eastAsia="方正仿宋简体"/>
          <w:bCs/>
          <w:sz w:val="30"/>
          <w:szCs w:val="30"/>
          <w:u w:val="single"/>
        </w:rPr>
      </w:pPr>
      <w:r>
        <w:rPr>
          <w:rFonts w:eastAsia="方正仿宋简体"/>
          <w:bCs/>
          <w:sz w:val="30"/>
          <w:szCs w:val="30"/>
        </w:rPr>
        <w:t>授权签字：</w:t>
      </w:r>
    </w:p>
    <w:p>
      <w:pPr>
        <w:adjustRightInd w:val="0"/>
        <w:spacing w:line="560" w:lineRule="exact"/>
        <w:rPr>
          <w:rFonts w:eastAsia="方正仿宋简体"/>
          <w:bCs/>
          <w:sz w:val="30"/>
          <w:szCs w:val="30"/>
          <w:u w:val="single"/>
        </w:rPr>
      </w:pPr>
    </w:p>
    <w:p>
      <w:pPr>
        <w:adjustRightInd w:val="0"/>
        <w:spacing w:line="560" w:lineRule="exact"/>
        <w:jc w:val="right"/>
        <w:rPr>
          <w:rFonts w:eastAsia="方正仿宋简体"/>
          <w:bCs/>
          <w:sz w:val="30"/>
          <w:szCs w:val="30"/>
        </w:rPr>
      </w:pPr>
      <w:r>
        <w:rPr>
          <w:rFonts w:eastAsia="方正仿宋简体"/>
          <w:bCs/>
          <w:sz w:val="30"/>
          <w:szCs w:val="30"/>
        </w:rPr>
        <w:t xml:space="preserve">  日期：</w:t>
      </w:r>
      <w:r>
        <w:rPr>
          <w:rFonts w:eastAsia="方正仿宋简体"/>
          <w:bCs/>
          <w:sz w:val="30"/>
          <w:szCs w:val="30"/>
          <w:u w:val="single"/>
        </w:rPr>
        <w:t xml:space="preserve">      </w:t>
      </w:r>
      <w:r>
        <w:rPr>
          <w:rFonts w:eastAsia="方正仿宋简体"/>
          <w:bCs/>
          <w:sz w:val="30"/>
          <w:szCs w:val="30"/>
        </w:rPr>
        <w:t>年</w:t>
      </w:r>
      <w:r>
        <w:rPr>
          <w:rFonts w:eastAsia="方正仿宋简体"/>
          <w:bCs/>
          <w:sz w:val="30"/>
          <w:szCs w:val="30"/>
          <w:u w:val="single"/>
        </w:rPr>
        <w:t xml:space="preserve">   </w:t>
      </w:r>
      <w:r>
        <w:rPr>
          <w:rFonts w:eastAsia="方正仿宋简体"/>
          <w:bCs/>
          <w:sz w:val="30"/>
          <w:szCs w:val="30"/>
        </w:rPr>
        <w:t>月</w:t>
      </w:r>
      <w:r>
        <w:rPr>
          <w:rFonts w:eastAsia="方正仿宋简体"/>
          <w:bCs/>
          <w:sz w:val="30"/>
          <w:szCs w:val="30"/>
          <w:u w:val="single"/>
        </w:rPr>
        <w:t xml:space="preserve">   </w:t>
      </w:r>
      <w:r>
        <w:rPr>
          <w:rFonts w:eastAsia="方正仿宋简体"/>
          <w:bCs/>
          <w:sz w:val="30"/>
          <w:szCs w:val="30"/>
        </w:rPr>
        <w:t>日</w:t>
      </w:r>
    </w:p>
    <w:p>
      <w:pPr>
        <w:spacing w:line="560" w:lineRule="exact"/>
        <w:rPr>
          <w:rFonts w:eastAsia="方正仿宋简体"/>
          <w:b/>
          <w:bCs/>
          <w:sz w:val="30"/>
          <w:szCs w:val="30"/>
          <w:lang w:val="zh-CN" w:eastAsia="zh-CN"/>
        </w:rPr>
      </w:pPr>
      <w:r>
        <w:rPr>
          <w:rFonts w:eastAsia="方正仿宋简体"/>
          <w:b/>
          <w:bCs/>
          <w:sz w:val="30"/>
          <w:szCs w:val="30"/>
          <w:lang w:val="zh-CN" w:eastAsia="zh-CN"/>
        </w:rPr>
        <w:br w:type="page"/>
      </w:r>
      <w:r>
        <w:rPr>
          <w:rFonts w:eastAsia="方正仿宋简体"/>
          <w:b/>
          <w:bCs/>
          <w:sz w:val="30"/>
          <w:szCs w:val="30"/>
          <w:lang w:val="zh-CN" w:eastAsia="zh-CN"/>
        </w:rPr>
        <w:t>合同附件一  开户申请表</w:t>
      </w:r>
    </w:p>
    <w:p>
      <w:pPr>
        <w:jc w:val="center"/>
        <w:rPr>
          <w:rFonts w:ascii="方正小标宋简体" w:eastAsia="方正小标宋简体"/>
          <w:sz w:val="30"/>
          <w:szCs w:val="30"/>
        </w:rPr>
      </w:pPr>
      <w:r>
        <w:rPr>
          <w:rFonts w:hint="eastAsia" w:ascii="方正小标宋简体" w:eastAsia="方正小标宋简体"/>
          <w:sz w:val="30"/>
          <w:szCs w:val="30"/>
        </w:rPr>
        <w:t>开户申请表（自然人）</w:t>
      </w:r>
    </w:p>
    <w:tbl>
      <w:tblPr>
        <w:tblStyle w:val="37"/>
        <w:tblW w:w="9509" w:type="dxa"/>
        <w:jc w:val="center"/>
        <w:tblLayout w:type="fixed"/>
        <w:tblCellMar>
          <w:top w:w="0" w:type="dxa"/>
          <w:left w:w="108" w:type="dxa"/>
          <w:bottom w:w="0" w:type="dxa"/>
          <w:right w:w="108" w:type="dxa"/>
        </w:tblCellMar>
      </w:tblPr>
      <w:tblGrid>
        <w:gridCol w:w="1726"/>
        <w:gridCol w:w="1003"/>
        <w:gridCol w:w="279"/>
        <w:gridCol w:w="571"/>
        <w:gridCol w:w="277"/>
        <w:gridCol w:w="568"/>
        <w:gridCol w:w="135"/>
        <w:gridCol w:w="1142"/>
        <w:gridCol w:w="298"/>
        <w:gridCol w:w="836"/>
        <w:gridCol w:w="43"/>
        <w:gridCol w:w="561"/>
        <w:gridCol w:w="673"/>
        <w:gridCol w:w="1397"/>
      </w:tblGrid>
      <w:tr>
        <w:tblPrEx>
          <w:tblCellMar>
            <w:top w:w="0" w:type="dxa"/>
            <w:left w:w="108" w:type="dxa"/>
            <w:bottom w:w="0" w:type="dxa"/>
            <w:right w:w="108" w:type="dxa"/>
          </w:tblCellMar>
        </w:tblPrEx>
        <w:trPr>
          <w:jc w:val="center"/>
        </w:trPr>
        <w:tc>
          <w:tcPr>
            <w:tcW w:w="1726" w:type="dxa"/>
            <w:tcBorders>
              <w:top w:val="single" w:color="000000" w:sz="4" w:space="0"/>
              <w:left w:val="single" w:color="000000" w:sz="4" w:space="0"/>
              <w:bottom w:val="single" w:color="000000" w:sz="4" w:space="0"/>
              <w:right w:val="single" w:color="000000" w:sz="4" w:space="0"/>
            </w:tcBorders>
          </w:tcPr>
          <w:p>
            <w:pPr>
              <w:widowControl/>
              <w:spacing w:line="320" w:lineRule="atLeast"/>
              <w:jc w:val="center"/>
              <w:rPr>
                <w:rFonts w:eastAsia="方正仿宋简体"/>
                <w:color w:val="333333"/>
                <w:kern w:val="0"/>
                <w:szCs w:val="21"/>
              </w:rPr>
            </w:pPr>
            <w:r>
              <w:rPr>
                <w:rFonts w:eastAsia="方正仿宋简体"/>
                <w:color w:val="333333"/>
                <w:kern w:val="0"/>
                <w:szCs w:val="21"/>
              </w:rPr>
              <w:t xml:space="preserve">经营机构名称 </w:t>
            </w:r>
          </w:p>
        </w:tc>
        <w:tc>
          <w:tcPr>
            <w:tcW w:w="7783" w:type="dxa"/>
            <w:gridSpan w:val="13"/>
            <w:tcBorders>
              <w:top w:val="single" w:color="000000" w:sz="4" w:space="0"/>
              <w:left w:val="nil"/>
              <w:bottom w:val="single" w:color="000000" w:sz="4" w:space="0"/>
              <w:right w:val="single" w:color="000000" w:sz="4" w:space="0"/>
            </w:tcBorders>
          </w:tcPr>
          <w:p>
            <w:pPr>
              <w:widowControl/>
              <w:jc w:val="left"/>
              <w:rPr>
                <w:rFonts w:eastAsia="方正仿宋简体"/>
                <w:color w:val="333333"/>
                <w:kern w:val="0"/>
                <w:sz w:val="18"/>
                <w:szCs w:val="18"/>
              </w:rPr>
            </w:pPr>
          </w:p>
        </w:tc>
      </w:tr>
      <w:tr>
        <w:tblPrEx>
          <w:tblCellMar>
            <w:top w:w="0" w:type="dxa"/>
            <w:left w:w="108" w:type="dxa"/>
            <w:bottom w:w="0" w:type="dxa"/>
            <w:right w:w="108" w:type="dxa"/>
          </w:tblCellMar>
        </w:tblPrEx>
        <w:trPr>
          <w:jc w:val="center"/>
        </w:trPr>
        <w:tc>
          <w:tcPr>
            <w:tcW w:w="1726" w:type="dxa"/>
            <w:tcBorders>
              <w:top w:val="nil"/>
              <w:left w:val="single" w:color="000000" w:sz="4" w:space="0"/>
              <w:bottom w:val="single" w:color="auto" w:sz="4" w:space="0"/>
              <w:right w:val="single" w:color="auto" w:sz="4" w:space="0"/>
            </w:tcBorders>
            <w:vAlign w:val="center"/>
          </w:tcPr>
          <w:p>
            <w:pPr>
              <w:widowControl/>
              <w:spacing w:line="320" w:lineRule="atLeast"/>
              <w:jc w:val="center"/>
              <w:rPr>
                <w:rFonts w:eastAsia="方正仿宋简体"/>
                <w:color w:val="333333"/>
                <w:kern w:val="0"/>
                <w:szCs w:val="21"/>
              </w:rPr>
            </w:pPr>
            <w:r>
              <w:rPr>
                <w:rFonts w:eastAsia="方正仿宋简体"/>
                <w:color w:val="333333"/>
                <w:kern w:val="0"/>
                <w:szCs w:val="21"/>
              </w:rPr>
              <w:t>机构类型</w:t>
            </w:r>
          </w:p>
        </w:tc>
        <w:tc>
          <w:tcPr>
            <w:tcW w:w="7783" w:type="dxa"/>
            <w:gridSpan w:val="13"/>
            <w:tcBorders>
              <w:top w:val="single" w:color="000000" w:sz="4" w:space="0"/>
              <w:left w:val="single" w:color="auto" w:sz="4" w:space="0"/>
              <w:bottom w:val="single" w:color="000000" w:sz="4" w:space="0"/>
              <w:right w:val="single" w:color="000000" w:sz="4" w:space="0"/>
            </w:tcBorders>
          </w:tcPr>
          <w:p>
            <w:pPr>
              <w:widowControl/>
              <w:jc w:val="left"/>
              <w:rPr>
                <w:rFonts w:eastAsia="方正仿宋简体"/>
                <w:color w:val="333333"/>
                <w:kern w:val="0"/>
                <w:sz w:val="18"/>
                <w:szCs w:val="18"/>
              </w:rPr>
            </w:pPr>
            <w:r>
              <w:rPr>
                <w:rFonts w:eastAsia="方正仿宋简体"/>
                <w:color w:val="333333"/>
                <w:kern w:val="0"/>
                <w:szCs w:val="21"/>
              </w:rPr>
              <w:t>□证券公司        □ 期货公司</w:t>
            </w:r>
          </w:p>
        </w:tc>
      </w:tr>
      <w:tr>
        <w:tblPrEx>
          <w:tblCellMar>
            <w:top w:w="0" w:type="dxa"/>
            <w:left w:w="108" w:type="dxa"/>
            <w:bottom w:w="0" w:type="dxa"/>
            <w:right w:w="108" w:type="dxa"/>
          </w:tblCellMar>
        </w:tblPrEx>
        <w:trPr>
          <w:jc w:val="center"/>
        </w:trPr>
        <w:tc>
          <w:tcPr>
            <w:tcW w:w="1726" w:type="dxa"/>
            <w:tcBorders>
              <w:top w:val="single" w:color="auto" w:sz="4" w:space="0"/>
              <w:left w:val="single" w:color="auto" w:sz="4" w:space="0"/>
              <w:bottom w:val="single" w:color="auto" w:sz="4" w:space="0"/>
              <w:right w:val="single" w:color="auto" w:sz="4" w:space="0"/>
            </w:tcBorders>
            <w:vAlign w:val="center"/>
          </w:tcPr>
          <w:p>
            <w:pPr>
              <w:widowControl/>
              <w:spacing w:line="320" w:lineRule="atLeast"/>
              <w:jc w:val="center"/>
              <w:rPr>
                <w:rFonts w:eastAsia="方正仿宋简体"/>
                <w:color w:val="333333"/>
                <w:kern w:val="0"/>
                <w:szCs w:val="21"/>
              </w:rPr>
            </w:pPr>
            <w:r>
              <w:rPr>
                <w:rFonts w:eastAsia="方正仿宋简体"/>
                <w:color w:val="333333"/>
                <w:kern w:val="0"/>
                <w:szCs w:val="21"/>
              </w:rPr>
              <w:t>交易参与人类型</w:t>
            </w:r>
          </w:p>
        </w:tc>
        <w:tc>
          <w:tcPr>
            <w:tcW w:w="7783" w:type="dxa"/>
            <w:gridSpan w:val="13"/>
            <w:tcBorders>
              <w:top w:val="single" w:color="auto" w:sz="4" w:space="0"/>
              <w:left w:val="single" w:color="auto" w:sz="4" w:space="0"/>
              <w:bottom w:val="single" w:color="000000" w:sz="4" w:space="0"/>
              <w:right w:val="single" w:color="000000" w:sz="4" w:space="0"/>
            </w:tcBorders>
            <w:vAlign w:val="center"/>
          </w:tcPr>
          <w:p>
            <w:pPr>
              <w:widowControl/>
              <w:jc w:val="left"/>
              <w:rPr>
                <w:rFonts w:eastAsia="方正仿宋简体"/>
                <w:color w:val="333333"/>
                <w:kern w:val="0"/>
                <w:szCs w:val="21"/>
              </w:rPr>
            </w:pPr>
            <w:r>
              <w:rPr>
                <w:rFonts w:eastAsia="方正仿宋简体"/>
                <w:color w:val="333333"/>
                <w:kern w:val="0"/>
                <w:szCs w:val="21"/>
              </w:rPr>
              <w:t>□深交所会员      □ 其他交易参与人</w:t>
            </w:r>
          </w:p>
        </w:tc>
      </w:tr>
      <w:tr>
        <w:tblPrEx>
          <w:tblCellMar>
            <w:top w:w="0" w:type="dxa"/>
            <w:left w:w="108" w:type="dxa"/>
            <w:bottom w:w="0" w:type="dxa"/>
            <w:right w:w="108" w:type="dxa"/>
          </w:tblCellMar>
        </w:tblPrEx>
        <w:trPr>
          <w:jc w:val="center"/>
        </w:trPr>
        <w:tc>
          <w:tcPr>
            <w:tcW w:w="9509" w:type="dxa"/>
            <w:gridSpan w:val="14"/>
            <w:tcBorders>
              <w:top w:val="single" w:color="000000" w:sz="4" w:space="0"/>
              <w:left w:val="single" w:color="000000" w:sz="4" w:space="0"/>
              <w:bottom w:val="single" w:color="000000" w:sz="4" w:space="0"/>
              <w:right w:val="single" w:color="000000" w:sz="4" w:space="0"/>
            </w:tcBorders>
          </w:tcPr>
          <w:p>
            <w:pPr>
              <w:widowControl/>
              <w:spacing w:line="320" w:lineRule="atLeast"/>
              <w:jc w:val="center"/>
              <w:rPr>
                <w:rFonts w:eastAsia="方正仿宋简体"/>
                <w:color w:val="333333"/>
                <w:kern w:val="0"/>
                <w:sz w:val="18"/>
                <w:szCs w:val="18"/>
              </w:rPr>
            </w:pPr>
            <w:r>
              <w:rPr>
                <w:rFonts w:eastAsia="方正仿宋简体"/>
                <w:color w:val="333333"/>
                <w:kern w:val="0"/>
                <w:szCs w:val="21"/>
              </w:rPr>
              <w:t>自然人开户申请</w:t>
            </w:r>
            <w:r>
              <w:rPr>
                <w:rFonts w:eastAsia="方正仿宋简体"/>
                <w:color w:val="333333"/>
                <w:kern w:val="0"/>
                <w:sz w:val="18"/>
                <w:szCs w:val="18"/>
              </w:rPr>
              <w:t xml:space="preserve"> </w:t>
            </w:r>
          </w:p>
        </w:tc>
      </w:tr>
      <w:tr>
        <w:tblPrEx>
          <w:tblCellMar>
            <w:top w:w="0" w:type="dxa"/>
            <w:left w:w="108" w:type="dxa"/>
            <w:bottom w:w="0" w:type="dxa"/>
            <w:right w:w="108" w:type="dxa"/>
          </w:tblCellMar>
        </w:tblPrEx>
        <w:trPr>
          <w:jc w:val="center"/>
        </w:trPr>
        <w:tc>
          <w:tcPr>
            <w:tcW w:w="1726" w:type="dxa"/>
            <w:tcBorders>
              <w:top w:val="single" w:color="000000" w:sz="4" w:space="0"/>
              <w:left w:val="single" w:color="000000" w:sz="4" w:space="0"/>
              <w:bottom w:val="single" w:color="000000" w:sz="4" w:space="0"/>
              <w:right w:val="single" w:color="000000" w:sz="4" w:space="0"/>
            </w:tcBorders>
          </w:tcPr>
          <w:p>
            <w:pPr>
              <w:widowControl/>
              <w:spacing w:line="320" w:lineRule="atLeast"/>
              <w:jc w:val="center"/>
              <w:rPr>
                <w:rFonts w:eastAsia="方正仿宋简体"/>
                <w:color w:val="333333"/>
                <w:kern w:val="0"/>
                <w:sz w:val="18"/>
                <w:szCs w:val="18"/>
              </w:rPr>
            </w:pPr>
            <w:r>
              <w:rPr>
                <w:rFonts w:eastAsia="方正仿宋简体"/>
                <w:color w:val="333333"/>
                <w:kern w:val="0"/>
                <w:szCs w:val="21"/>
              </w:rPr>
              <w:t>姓名</w:t>
            </w:r>
            <w:r>
              <w:rPr>
                <w:rFonts w:eastAsia="方正仿宋简体"/>
                <w:color w:val="333333"/>
                <w:kern w:val="0"/>
                <w:sz w:val="18"/>
                <w:szCs w:val="18"/>
              </w:rPr>
              <w:t xml:space="preserve"> </w:t>
            </w:r>
          </w:p>
        </w:tc>
        <w:tc>
          <w:tcPr>
            <w:tcW w:w="1282" w:type="dxa"/>
            <w:gridSpan w:val="2"/>
            <w:tcBorders>
              <w:top w:val="single" w:color="000000" w:sz="4" w:space="0"/>
              <w:left w:val="nil"/>
              <w:bottom w:val="single" w:color="000000" w:sz="4" w:space="0"/>
              <w:right w:val="single" w:color="000000" w:sz="4" w:space="0"/>
            </w:tcBorders>
          </w:tcPr>
          <w:p>
            <w:pPr>
              <w:widowControl/>
              <w:jc w:val="left"/>
              <w:rPr>
                <w:rFonts w:eastAsia="方正仿宋简体"/>
                <w:color w:val="333333"/>
                <w:kern w:val="0"/>
                <w:sz w:val="18"/>
                <w:szCs w:val="18"/>
              </w:rPr>
            </w:pPr>
          </w:p>
        </w:tc>
        <w:tc>
          <w:tcPr>
            <w:tcW w:w="848" w:type="dxa"/>
            <w:gridSpan w:val="2"/>
            <w:tcBorders>
              <w:top w:val="single" w:color="000000" w:sz="4" w:space="0"/>
              <w:left w:val="nil"/>
              <w:bottom w:val="single" w:color="000000" w:sz="4" w:space="0"/>
              <w:right w:val="single" w:color="000000" w:sz="4" w:space="0"/>
            </w:tcBorders>
          </w:tcPr>
          <w:p>
            <w:pPr>
              <w:widowControl/>
              <w:spacing w:line="320" w:lineRule="atLeast"/>
              <w:jc w:val="center"/>
              <w:rPr>
                <w:rFonts w:eastAsia="方正仿宋简体"/>
                <w:color w:val="333333"/>
                <w:kern w:val="0"/>
                <w:sz w:val="18"/>
                <w:szCs w:val="18"/>
              </w:rPr>
            </w:pPr>
            <w:r>
              <w:rPr>
                <w:rFonts w:eastAsia="方正仿宋简体"/>
                <w:color w:val="333333"/>
                <w:kern w:val="0"/>
                <w:szCs w:val="21"/>
              </w:rPr>
              <w:t>性别</w:t>
            </w:r>
            <w:r>
              <w:rPr>
                <w:rFonts w:eastAsia="方正仿宋简体"/>
                <w:color w:val="333333"/>
                <w:kern w:val="0"/>
                <w:sz w:val="18"/>
                <w:szCs w:val="18"/>
              </w:rPr>
              <w:t xml:space="preserve"> </w:t>
            </w:r>
          </w:p>
        </w:tc>
        <w:tc>
          <w:tcPr>
            <w:tcW w:w="568" w:type="dxa"/>
            <w:tcBorders>
              <w:top w:val="single" w:color="000000" w:sz="4" w:space="0"/>
              <w:left w:val="nil"/>
              <w:bottom w:val="single" w:color="000000" w:sz="4" w:space="0"/>
              <w:right w:val="single" w:color="000000" w:sz="4" w:space="0"/>
            </w:tcBorders>
          </w:tcPr>
          <w:p>
            <w:pPr>
              <w:widowControl/>
              <w:jc w:val="left"/>
              <w:rPr>
                <w:rFonts w:eastAsia="方正仿宋简体"/>
                <w:color w:val="333333"/>
                <w:kern w:val="0"/>
                <w:sz w:val="18"/>
                <w:szCs w:val="18"/>
              </w:rPr>
            </w:pPr>
          </w:p>
        </w:tc>
        <w:tc>
          <w:tcPr>
            <w:tcW w:w="1277" w:type="dxa"/>
            <w:gridSpan w:val="2"/>
            <w:tcBorders>
              <w:top w:val="single" w:color="000000" w:sz="4" w:space="0"/>
              <w:left w:val="nil"/>
              <w:bottom w:val="single" w:color="000000" w:sz="4" w:space="0"/>
              <w:right w:val="single" w:color="000000" w:sz="4" w:space="0"/>
            </w:tcBorders>
          </w:tcPr>
          <w:p>
            <w:pPr>
              <w:widowControl/>
              <w:spacing w:line="320" w:lineRule="atLeast"/>
              <w:jc w:val="center"/>
              <w:rPr>
                <w:rFonts w:eastAsia="方正仿宋简体"/>
                <w:color w:val="333333"/>
                <w:kern w:val="0"/>
                <w:sz w:val="18"/>
                <w:szCs w:val="18"/>
              </w:rPr>
            </w:pPr>
            <w:r>
              <w:rPr>
                <w:rFonts w:eastAsia="方正仿宋简体"/>
                <w:color w:val="333333"/>
                <w:kern w:val="0"/>
                <w:szCs w:val="21"/>
              </w:rPr>
              <w:t>出生年月</w:t>
            </w:r>
            <w:r>
              <w:rPr>
                <w:rFonts w:eastAsia="方正仿宋简体"/>
                <w:color w:val="333333"/>
                <w:kern w:val="0"/>
                <w:sz w:val="18"/>
                <w:szCs w:val="18"/>
              </w:rPr>
              <w:t xml:space="preserve"> </w:t>
            </w:r>
          </w:p>
        </w:tc>
        <w:tc>
          <w:tcPr>
            <w:tcW w:w="1134" w:type="dxa"/>
            <w:gridSpan w:val="2"/>
            <w:tcBorders>
              <w:top w:val="single" w:color="000000" w:sz="4" w:space="0"/>
              <w:left w:val="nil"/>
              <w:bottom w:val="single" w:color="000000" w:sz="4" w:space="0"/>
              <w:right w:val="single" w:color="000000" w:sz="4" w:space="0"/>
            </w:tcBorders>
          </w:tcPr>
          <w:p>
            <w:pPr>
              <w:widowControl/>
              <w:jc w:val="left"/>
              <w:rPr>
                <w:rFonts w:eastAsia="方正仿宋简体"/>
                <w:color w:val="333333"/>
                <w:kern w:val="0"/>
                <w:sz w:val="18"/>
                <w:szCs w:val="18"/>
              </w:rPr>
            </w:pPr>
          </w:p>
        </w:tc>
        <w:tc>
          <w:tcPr>
            <w:tcW w:w="1277" w:type="dxa"/>
            <w:gridSpan w:val="3"/>
            <w:tcBorders>
              <w:top w:val="single" w:color="000000" w:sz="4" w:space="0"/>
              <w:left w:val="nil"/>
              <w:bottom w:val="single" w:color="000000" w:sz="4" w:space="0"/>
              <w:right w:val="single" w:color="000000" w:sz="4" w:space="0"/>
            </w:tcBorders>
          </w:tcPr>
          <w:p>
            <w:pPr>
              <w:widowControl/>
              <w:spacing w:line="320" w:lineRule="atLeast"/>
              <w:jc w:val="center"/>
              <w:rPr>
                <w:rFonts w:eastAsia="方正仿宋简体"/>
                <w:color w:val="333333"/>
                <w:kern w:val="0"/>
                <w:sz w:val="18"/>
                <w:szCs w:val="18"/>
              </w:rPr>
            </w:pPr>
            <w:r>
              <w:rPr>
                <w:rFonts w:eastAsia="方正仿宋简体"/>
                <w:color w:val="333333"/>
                <w:kern w:val="0"/>
                <w:szCs w:val="21"/>
              </w:rPr>
              <w:t>职业</w:t>
            </w:r>
            <w:r>
              <w:rPr>
                <w:rFonts w:eastAsia="方正仿宋简体"/>
                <w:color w:val="333333"/>
                <w:kern w:val="0"/>
                <w:sz w:val="18"/>
                <w:szCs w:val="18"/>
              </w:rPr>
              <w:t xml:space="preserve"> </w:t>
            </w:r>
          </w:p>
        </w:tc>
        <w:tc>
          <w:tcPr>
            <w:tcW w:w="1397" w:type="dxa"/>
            <w:tcBorders>
              <w:top w:val="single" w:color="000000" w:sz="4" w:space="0"/>
              <w:left w:val="nil"/>
              <w:bottom w:val="single" w:color="000000" w:sz="4" w:space="0"/>
              <w:right w:val="single" w:color="000000" w:sz="4" w:space="0"/>
            </w:tcBorders>
          </w:tcPr>
          <w:p>
            <w:pPr>
              <w:widowControl/>
              <w:jc w:val="left"/>
              <w:rPr>
                <w:rFonts w:eastAsia="方正仿宋简体"/>
                <w:color w:val="333333"/>
                <w:kern w:val="0"/>
                <w:sz w:val="18"/>
                <w:szCs w:val="18"/>
              </w:rPr>
            </w:pPr>
          </w:p>
        </w:tc>
      </w:tr>
      <w:tr>
        <w:tblPrEx>
          <w:tblCellMar>
            <w:top w:w="0" w:type="dxa"/>
            <w:left w:w="108" w:type="dxa"/>
            <w:bottom w:w="0" w:type="dxa"/>
            <w:right w:w="108" w:type="dxa"/>
          </w:tblCellMar>
        </w:tblPrEx>
        <w:trPr>
          <w:trHeight w:val="338" w:hRule="atLeast"/>
          <w:jc w:val="center"/>
        </w:trPr>
        <w:tc>
          <w:tcPr>
            <w:tcW w:w="1726" w:type="dxa"/>
            <w:tcBorders>
              <w:top w:val="single" w:color="000000" w:sz="4" w:space="0"/>
              <w:left w:val="single" w:color="000000" w:sz="4" w:space="0"/>
              <w:bottom w:val="single" w:color="000000" w:sz="4" w:space="0"/>
              <w:right w:val="single" w:color="000000" w:sz="4" w:space="0"/>
            </w:tcBorders>
          </w:tcPr>
          <w:p>
            <w:pPr>
              <w:widowControl/>
              <w:spacing w:line="320" w:lineRule="atLeast"/>
              <w:jc w:val="center"/>
              <w:rPr>
                <w:rFonts w:eastAsia="方正仿宋简体"/>
                <w:color w:val="333333"/>
                <w:kern w:val="0"/>
                <w:sz w:val="18"/>
                <w:szCs w:val="18"/>
              </w:rPr>
            </w:pPr>
            <w:r>
              <w:rPr>
                <w:rFonts w:eastAsia="方正仿宋简体"/>
                <w:color w:val="333333"/>
                <w:kern w:val="0"/>
                <w:szCs w:val="21"/>
              </w:rPr>
              <w:t>国籍/地区</w:t>
            </w:r>
            <w:r>
              <w:rPr>
                <w:rFonts w:eastAsia="方正仿宋简体"/>
                <w:color w:val="333333"/>
                <w:kern w:val="0"/>
                <w:sz w:val="18"/>
                <w:szCs w:val="18"/>
              </w:rPr>
              <w:t xml:space="preserve"> </w:t>
            </w:r>
          </w:p>
        </w:tc>
        <w:tc>
          <w:tcPr>
            <w:tcW w:w="1282" w:type="dxa"/>
            <w:gridSpan w:val="2"/>
            <w:tcBorders>
              <w:top w:val="single" w:color="000000" w:sz="4" w:space="0"/>
              <w:left w:val="nil"/>
              <w:bottom w:val="single" w:color="000000" w:sz="4" w:space="0"/>
              <w:right w:val="single" w:color="000000" w:sz="4" w:space="0"/>
            </w:tcBorders>
          </w:tcPr>
          <w:p>
            <w:pPr>
              <w:widowControl/>
              <w:jc w:val="left"/>
              <w:rPr>
                <w:rFonts w:eastAsia="方正仿宋简体"/>
                <w:color w:val="333333"/>
                <w:kern w:val="0"/>
                <w:sz w:val="18"/>
                <w:szCs w:val="18"/>
              </w:rPr>
            </w:pPr>
          </w:p>
        </w:tc>
        <w:tc>
          <w:tcPr>
            <w:tcW w:w="1416" w:type="dxa"/>
            <w:gridSpan w:val="3"/>
            <w:tcBorders>
              <w:top w:val="single" w:color="000000" w:sz="4" w:space="0"/>
              <w:left w:val="nil"/>
              <w:bottom w:val="single" w:color="000000" w:sz="4" w:space="0"/>
              <w:right w:val="single" w:color="000000" w:sz="4" w:space="0"/>
            </w:tcBorders>
            <w:vAlign w:val="center"/>
          </w:tcPr>
          <w:p>
            <w:pPr>
              <w:widowControl/>
              <w:spacing w:line="320" w:lineRule="atLeast"/>
              <w:jc w:val="center"/>
              <w:rPr>
                <w:rFonts w:eastAsia="方正仿宋简体"/>
                <w:color w:val="333333"/>
                <w:kern w:val="0"/>
                <w:sz w:val="18"/>
                <w:szCs w:val="18"/>
              </w:rPr>
            </w:pPr>
            <w:r>
              <w:rPr>
                <w:rFonts w:eastAsia="方正仿宋简体"/>
                <w:color w:val="333333"/>
                <w:kern w:val="0"/>
                <w:szCs w:val="21"/>
              </w:rPr>
              <w:t>身份证号码</w:t>
            </w:r>
            <w:r>
              <w:rPr>
                <w:rFonts w:eastAsia="方正仿宋简体"/>
                <w:color w:val="333333"/>
                <w:kern w:val="0"/>
                <w:sz w:val="18"/>
                <w:szCs w:val="18"/>
              </w:rPr>
              <w:t xml:space="preserve"> </w:t>
            </w:r>
          </w:p>
        </w:tc>
        <w:tc>
          <w:tcPr>
            <w:tcW w:w="2411" w:type="dxa"/>
            <w:gridSpan w:val="4"/>
            <w:tcBorders>
              <w:top w:val="single" w:color="000000" w:sz="4" w:space="0"/>
              <w:left w:val="nil"/>
              <w:bottom w:val="single" w:color="000000" w:sz="4" w:space="0"/>
              <w:right w:val="single" w:color="000000" w:sz="4" w:space="0"/>
            </w:tcBorders>
            <w:vAlign w:val="center"/>
          </w:tcPr>
          <w:p>
            <w:pPr>
              <w:widowControl/>
              <w:jc w:val="left"/>
              <w:rPr>
                <w:rFonts w:eastAsia="方正仿宋简体"/>
                <w:color w:val="333333"/>
                <w:kern w:val="0"/>
                <w:sz w:val="18"/>
                <w:szCs w:val="18"/>
              </w:rPr>
            </w:pPr>
          </w:p>
        </w:tc>
        <w:tc>
          <w:tcPr>
            <w:tcW w:w="1277" w:type="dxa"/>
            <w:gridSpan w:val="3"/>
            <w:tcBorders>
              <w:top w:val="single" w:color="000000" w:sz="4" w:space="0"/>
              <w:left w:val="nil"/>
              <w:bottom w:val="single" w:color="000000" w:sz="4" w:space="0"/>
              <w:right w:val="single" w:color="000000" w:sz="4" w:space="0"/>
            </w:tcBorders>
            <w:vAlign w:val="center"/>
          </w:tcPr>
          <w:p>
            <w:pPr>
              <w:widowControl/>
              <w:spacing w:line="320" w:lineRule="atLeast"/>
              <w:jc w:val="center"/>
              <w:rPr>
                <w:rFonts w:eastAsia="方正仿宋简体"/>
                <w:color w:val="333333"/>
                <w:kern w:val="0"/>
                <w:sz w:val="18"/>
                <w:szCs w:val="18"/>
              </w:rPr>
            </w:pPr>
            <w:r>
              <w:rPr>
                <w:rFonts w:eastAsia="方正仿宋简体"/>
                <w:color w:val="333333"/>
                <w:kern w:val="0"/>
                <w:szCs w:val="21"/>
              </w:rPr>
              <w:t>有效期限</w:t>
            </w:r>
            <w:r>
              <w:rPr>
                <w:rFonts w:eastAsia="方正仿宋简体"/>
                <w:color w:val="333333"/>
                <w:kern w:val="0"/>
                <w:sz w:val="18"/>
                <w:szCs w:val="18"/>
              </w:rPr>
              <w:t xml:space="preserve"> </w:t>
            </w:r>
          </w:p>
        </w:tc>
        <w:tc>
          <w:tcPr>
            <w:tcW w:w="1397" w:type="dxa"/>
            <w:tcBorders>
              <w:top w:val="single" w:color="000000" w:sz="4" w:space="0"/>
              <w:left w:val="nil"/>
              <w:bottom w:val="single" w:color="000000" w:sz="4" w:space="0"/>
              <w:right w:val="single" w:color="000000" w:sz="4" w:space="0"/>
            </w:tcBorders>
          </w:tcPr>
          <w:p>
            <w:pPr>
              <w:widowControl/>
              <w:jc w:val="left"/>
              <w:rPr>
                <w:rFonts w:eastAsia="方正仿宋简体"/>
                <w:color w:val="333333"/>
                <w:kern w:val="0"/>
                <w:sz w:val="18"/>
                <w:szCs w:val="18"/>
              </w:rPr>
            </w:pPr>
          </w:p>
        </w:tc>
      </w:tr>
      <w:tr>
        <w:tblPrEx>
          <w:tblCellMar>
            <w:top w:w="0" w:type="dxa"/>
            <w:left w:w="108" w:type="dxa"/>
            <w:bottom w:w="0" w:type="dxa"/>
            <w:right w:w="108" w:type="dxa"/>
          </w:tblCellMar>
        </w:tblPrEx>
        <w:trPr>
          <w:jc w:val="center"/>
        </w:trPr>
        <w:tc>
          <w:tcPr>
            <w:tcW w:w="1726" w:type="dxa"/>
            <w:tcBorders>
              <w:top w:val="single" w:color="000000" w:sz="4" w:space="0"/>
              <w:left w:val="single" w:color="000000" w:sz="4" w:space="0"/>
              <w:bottom w:val="single" w:color="000000" w:sz="4" w:space="0"/>
              <w:right w:val="single" w:color="000000" w:sz="4" w:space="0"/>
            </w:tcBorders>
          </w:tcPr>
          <w:p>
            <w:pPr>
              <w:widowControl/>
              <w:spacing w:line="320" w:lineRule="atLeast"/>
              <w:jc w:val="center"/>
              <w:rPr>
                <w:rFonts w:eastAsia="方正仿宋简体"/>
                <w:color w:val="333333"/>
                <w:kern w:val="0"/>
                <w:sz w:val="18"/>
                <w:szCs w:val="18"/>
              </w:rPr>
            </w:pPr>
            <w:r>
              <w:rPr>
                <w:rFonts w:eastAsia="方正仿宋简体"/>
                <w:color w:val="333333"/>
                <w:kern w:val="0"/>
                <w:szCs w:val="21"/>
              </w:rPr>
              <w:t>联系电话</w:t>
            </w:r>
            <w:r>
              <w:rPr>
                <w:rFonts w:eastAsia="方正仿宋简体"/>
                <w:color w:val="333333"/>
                <w:kern w:val="0"/>
                <w:sz w:val="18"/>
                <w:szCs w:val="18"/>
              </w:rPr>
              <w:t xml:space="preserve"> </w:t>
            </w:r>
          </w:p>
        </w:tc>
        <w:tc>
          <w:tcPr>
            <w:tcW w:w="7783" w:type="dxa"/>
            <w:gridSpan w:val="13"/>
            <w:tcBorders>
              <w:top w:val="single" w:color="000000" w:sz="4" w:space="0"/>
              <w:left w:val="nil"/>
              <w:bottom w:val="single" w:color="000000" w:sz="4" w:space="0"/>
              <w:right w:val="single" w:color="000000" w:sz="4" w:space="0"/>
            </w:tcBorders>
          </w:tcPr>
          <w:p>
            <w:pPr>
              <w:widowControl/>
              <w:jc w:val="left"/>
              <w:rPr>
                <w:rFonts w:eastAsia="方正仿宋简体"/>
                <w:color w:val="333333"/>
                <w:kern w:val="0"/>
                <w:sz w:val="18"/>
                <w:szCs w:val="18"/>
              </w:rPr>
            </w:pPr>
          </w:p>
        </w:tc>
      </w:tr>
      <w:tr>
        <w:tblPrEx>
          <w:tblCellMar>
            <w:top w:w="0" w:type="dxa"/>
            <w:left w:w="108" w:type="dxa"/>
            <w:bottom w:w="0" w:type="dxa"/>
            <w:right w:w="108" w:type="dxa"/>
          </w:tblCellMar>
        </w:tblPrEx>
        <w:trPr>
          <w:jc w:val="center"/>
        </w:trPr>
        <w:tc>
          <w:tcPr>
            <w:tcW w:w="1726" w:type="dxa"/>
            <w:tcBorders>
              <w:top w:val="single" w:color="000000" w:sz="4" w:space="0"/>
              <w:left w:val="single" w:color="000000" w:sz="4" w:space="0"/>
              <w:bottom w:val="single" w:color="000000" w:sz="4" w:space="0"/>
              <w:right w:val="single" w:color="000000" w:sz="4" w:space="0"/>
            </w:tcBorders>
          </w:tcPr>
          <w:p>
            <w:pPr>
              <w:widowControl/>
              <w:spacing w:line="320" w:lineRule="atLeast"/>
              <w:jc w:val="center"/>
              <w:rPr>
                <w:rFonts w:eastAsia="方正仿宋简体"/>
                <w:color w:val="333333"/>
                <w:kern w:val="0"/>
                <w:sz w:val="18"/>
                <w:szCs w:val="18"/>
              </w:rPr>
            </w:pPr>
            <w:r>
              <w:rPr>
                <w:rFonts w:eastAsia="方正仿宋简体"/>
                <w:color w:val="333333"/>
                <w:kern w:val="0"/>
                <w:szCs w:val="21"/>
              </w:rPr>
              <w:t>联系地址</w:t>
            </w:r>
            <w:r>
              <w:rPr>
                <w:rFonts w:eastAsia="方正仿宋简体"/>
                <w:color w:val="333333"/>
                <w:kern w:val="0"/>
                <w:sz w:val="18"/>
                <w:szCs w:val="18"/>
              </w:rPr>
              <w:t xml:space="preserve"> </w:t>
            </w:r>
          </w:p>
        </w:tc>
        <w:tc>
          <w:tcPr>
            <w:tcW w:w="3975" w:type="dxa"/>
            <w:gridSpan w:val="7"/>
            <w:tcBorders>
              <w:top w:val="single" w:color="000000" w:sz="4" w:space="0"/>
              <w:left w:val="nil"/>
              <w:bottom w:val="single" w:color="000000" w:sz="4" w:space="0"/>
              <w:right w:val="single" w:color="000000" w:sz="4" w:space="0"/>
            </w:tcBorders>
          </w:tcPr>
          <w:p>
            <w:pPr>
              <w:widowControl/>
              <w:jc w:val="left"/>
              <w:rPr>
                <w:rFonts w:eastAsia="方正仿宋简体"/>
                <w:color w:val="333333"/>
                <w:kern w:val="0"/>
                <w:sz w:val="18"/>
                <w:szCs w:val="18"/>
              </w:rPr>
            </w:pPr>
          </w:p>
        </w:tc>
        <w:tc>
          <w:tcPr>
            <w:tcW w:w="1134" w:type="dxa"/>
            <w:gridSpan w:val="2"/>
            <w:tcBorders>
              <w:top w:val="single" w:color="000000" w:sz="4" w:space="0"/>
              <w:left w:val="nil"/>
              <w:bottom w:val="single" w:color="000000" w:sz="4" w:space="0"/>
              <w:right w:val="single" w:color="000000" w:sz="4" w:space="0"/>
            </w:tcBorders>
          </w:tcPr>
          <w:p>
            <w:pPr>
              <w:widowControl/>
              <w:spacing w:line="320" w:lineRule="atLeast"/>
              <w:jc w:val="left"/>
              <w:rPr>
                <w:rFonts w:eastAsia="方正仿宋简体"/>
                <w:color w:val="333333"/>
                <w:kern w:val="0"/>
                <w:sz w:val="18"/>
                <w:szCs w:val="18"/>
              </w:rPr>
            </w:pPr>
            <w:r>
              <w:rPr>
                <w:rFonts w:eastAsia="方正仿宋简体"/>
                <w:color w:val="333333"/>
                <w:kern w:val="0"/>
                <w:szCs w:val="21"/>
              </w:rPr>
              <w:t>邮政编码</w:t>
            </w:r>
            <w:r>
              <w:rPr>
                <w:rFonts w:eastAsia="方正仿宋简体"/>
                <w:color w:val="333333"/>
                <w:kern w:val="0"/>
                <w:sz w:val="18"/>
                <w:szCs w:val="18"/>
              </w:rPr>
              <w:t xml:space="preserve"> </w:t>
            </w:r>
          </w:p>
        </w:tc>
        <w:tc>
          <w:tcPr>
            <w:tcW w:w="2674" w:type="dxa"/>
            <w:gridSpan w:val="4"/>
            <w:tcBorders>
              <w:top w:val="single" w:color="000000" w:sz="4" w:space="0"/>
              <w:left w:val="nil"/>
              <w:bottom w:val="single" w:color="000000" w:sz="4" w:space="0"/>
              <w:right w:val="single" w:color="000000" w:sz="4" w:space="0"/>
            </w:tcBorders>
          </w:tcPr>
          <w:p>
            <w:pPr>
              <w:widowControl/>
              <w:jc w:val="left"/>
              <w:rPr>
                <w:rFonts w:eastAsia="方正仿宋简体"/>
                <w:color w:val="333333"/>
                <w:kern w:val="0"/>
                <w:sz w:val="18"/>
                <w:szCs w:val="18"/>
              </w:rPr>
            </w:pPr>
          </w:p>
        </w:tc>
      </w:tr>
      <w:tr>
        <w:tblPrEx>
          <w:tblCellMar>
            <w:top w:w="0" w:type="dxa"/>
            <w:left w:w="108" w:type="dxa"/>
            <w:bottom w:w="0" w:type="dxa"/>
            <w:right w:w="108" w:type="dxa"/>
          </w:tblCellMar>
        </w:tblPrEx>
        <w:trPr>
          <w:jc w:val="center"/>
        </w:trPr>
        <w:tc>
          <w:tcPr>
            <w:tcW w:w="2729" w:type="dxa"/>
            <w:gridSpan w:val="2"/>
            <w:tcBorders>
              <w:top w:val="single" w:color="000000" w:sz="4" w:space="0"/>
              <w:left w:val="single" w:color="000000" w:sz="4" w:space="0"/>
              <w:bottom w:val="single" w:color="000000" w:sz="4" w:space="0"/>
              <w:right w:val="single" w:color="000000" w:sz="4" w:space="0"/>
            </w:tcBorders>
            <w:vAlign w:val="center"/>
          </w:tcPr>
          <w:p>
            <w:pPr>
              <w:widowControl/>
              <w:spacing w:line="320" w:lineRule="atLeast"/>
              <w:jc w:val="center"/>
              <w:rPr>
                <w:rFonts w:eastAsia="方正仿宋简体"/>
                <w:color w:val="333333"/>
                <w:kern w:val="0"/>
                <w:sz w:val="18"/>
                <w:szCs w:val="18"/>
              </w:rPr>
            </w:pPr>
            <w:r>
              <w:rPr>
                <w:rFonts w:eastAsia="方正仿宋简体"/>
                <w:color w:val="333333"/>
                <w:kern w:val="0"/>
                <w:szCs w:val="21"/>
              </w:rPr>
              <w:t>是否从事过金融期货交易</w:t>
            </w:r>
            <w:r>
              <w:rPr>
                <w:rFonts w:eastAsia="方正仿宋简体"/>
                <w:color w:val="333333"/>
                <w:kern w:val="0"/>
                <w:sz w:val="18"/>
                <w:szCs w:val="18"/>
              </w:rPr>
              <w:t xml:space="preserve"> </w:t>
            </w:r>
          </w:p>
        </w:tc>
        <w:tc>
          <w:tcPr>
            <w:tcW w:w="850" w:type="dxa"/>
            <w:gridSpan w:val="2"/>
            <w:tcBorders>
              <w:top w:val="single" w:color="000000" w:sz="4" w:space="0"/>
              <w:left w:val="nil"/>
              <w:bottom w:val="single" w:color="000000" w:sz="4" w:space="0"/>
              <w:right w:val="single" w:color="000000" w:sz="4" w:space="0"/>
            </w:tcBorders>
            <w:vAlign w:val="center"/>
          </w:tcPr>
          <w:p>
            <w:pPr>
              <w:widowControl/>
              <w:spacing w:line="320" w:lineRule="atLeast"/>
              <w:jc w:val="center"/>
              <w:rPr>
                <w:rFonts w:eastAsia="方正仿宋简体"/>
                <w:color w:val="333333"/>
                <w:kern w:val="0"/>
                <w:sz w:val="18"/>
                <w:szCs w:val="18"/>
              </w:rPr>
            </w:pPr>
            <w:r>
              <w:rPr>
                <w:rFonts w:eastAsia="方正仿宋简体"/>
                <w:color w:val="333333"/>
                <w:kern w:val="0"/>
                <w:szCs w:val="21"/>
              </w:rPr>
              <w:t>是</w:t>
            </w:r>
            <w:r>
              <w:rPr>
                <w:rFonts w:eastAsia="方正仿宋简体"/>
                <w:color w:val="333333"/>
                <w:kern w:val="0"/>
                <w:sz w:val="18"/>
                <w:szCs w:val="18"/>
              </w:rPr>
              <w:t xml:space="preserve"> </w:t>
            </w:r>
          </w:p>
        </w:tc>
        <w:tc>
          <w:tcPr>
            <w:tcW w:w="2122" w:type="dxa"/>
            <w:gridSpan w:val="4"/>
            <w:tcBorders>
              <w:top w:val="single" w:color="000000" w:sz="4" w:space="0"/>
              <w:left w:val="nil"/>
              <w:bottom w:val="single" w:color="000000" w:sz="4" w:space="0"/>
              <w:right w:val="single" w:color="000000" w:sz="4" w:space="0"/>
            </w:tcBorders>
            <w:vAlign w:val="center"/>
          </w:tcPr>
          <w:p>
            <w:pPr>
              <w:widowControl/>
              <w:jc w:val="left"/>
              <w:rPr>
                <w:rFonts w:eastAsia="方正仿宋简体"/>
                <w:color w:val="333333"/>
                <w:kern w:val="0"/>
                <w:sz w:val="18"/>
                <w:szCs w:val="18"/>
              </w:rPr>
            </w:pPr>
          </w:p>
        </w:tc>
        <w:tc>
          <w:tcPr>
            <w:tcW w:w="1134" w:type="dxa"/>
            <w:gridSpan w:val="2"/>
            <w:tcBorders>
              <w:top w:val="single" w:color="000000" w:sz="4" w:space="0"/>
              <w:left w:val="nil"/>
              <w:bottom w:val="single" w:color="000000" w:sz="4" w:space="0"/>
              <w:right w:val="single" w:color="000000" w:sz="4" w:space="0"/>
            </w:tcBorders>
            <w:vAlign w:val="center"/>
          </w:tcPr>
          <w:p>
            <w:pPr>
              <w:widowControl/>
              <w:spacing w:line="320" w:lineRule="atLeast"/>
              <w:jc w:val="center"/>
              <w:rPr>
                <w:rFonts w:eastAsia="方正仿宋简体"/>
                <w:color w:val="333333"/>
                <w:kern w:val="0"/>
                <w:sz w:val="18"/>
                <w:szCs w:val="18"/>
              </w:rPr>
            </w:pPr>
            <w:r>
              <w:rPr>
                <w:rFonts w:eastAsia="方正仿宋简体"/>
                <w:color w:val="333333"/>
                <w:kern w:val="0"/>
                <w:szCs w:val="21"/>
              </w:rPr>
              <w:t>否</w:t>
            </w:r>
            <w:r>
              <w:rPr>
                <w:rFonts w:eastAsia="方正仿宋简体"/>
                <w:color w:val="333333"/>
                <w:kern w:val="0"/>
                <w:sz w:val="18"/>
                <w:szCs w:val="18"/>
              </w:rPr>
              <w:t xml:space="preserve"> </w:t>
            </w:r>
          </w:p>
        </w:tc>
        <w:tc>
          <w:tcPr>
            <w:tcW w:w="2674" w:type="dxa"/>
            <w:gridSpan w:val="4"/>
            <w:tcBorders>
              <w:top w:val="single" w:color="000000" w:sz="4" w:space="0"/>
              <w:left w:val="nil"/>
              <w:bottom w:val="single" w:color="000000" w:sz="4" w:space="0"/>
              <w:right w:val="single" w:color="000000" w:sz="4" w:space="0"/>
            </w:tcBorders>
          </w:tcPr>
          <w:p>
            <w:pPr>
              <w:widowControl/>
              <w:jc w:val="left"/>
              <w:rPr>
                <w:rFonts w:eastAsia="方正仿宋简体"/>
                <w:color w:val="333333"/>
                <w:kern w:val="0"/>
                <w:sz w:val="18"/>
                <w:szCs w:val="18"/>
              </w:rPr>
            </w:pPr>
          </w:p>
        </w:tc>
      </w:tr>
      <w:tr>
        <w:tblPrEx>
          <w:tblCellMar>
            <w:top w:w="0" w:type="dxa"/>
            <w:left w:w="108" w:type="dxa"/>
            <w:bottom w:w="0" w:type="dxa"/>
            <w:right w:w="108" w:type="dxa"/>
          </w:tblCellMar>
        </w:tblPrEx>
        <w:trPr>
          <w:jc w:val="center"/>
        </w:trPr>
        <w:tc>
          <w:tcPr>
            <w:tcW w:w="2729" w:type="dxa"/>
            <w:gridSpan w:val="2"/>
            <w:tcBorders>
              <w:top w:val="single" w:color="000000" w:sz="4" w:space="0"/>
              <w:left w:val="single" w:color="000000" w:sz="4" w:space="0"/>
              <w:bottom w:val="single" w:color="000000" w:sz="4" w:space="0"/>
              <w:right w:val="single" w:color="000000" w:sz="4" w:space="0"/>
            </w:tcBorders>
            <w:vAlign w:val="center"/>
          </w:tcPr>
          <w:p>
            <w:pPr>
              <w:widowControl/>
              <w:spacing w:line="320" w:lineRule="atLeast"/>
              <w:jc w:val="center"/>
              <w:rPr>
                <w:rFonts w:eastAsia="方正仿宋简体"/>
                <w:color w:val="333333"/>
                <w:kern w:val="0"/>
                <w:sz w:val="18"/>
                <w:szCs w:val="18"/>
              </w:rPr>
            </w:pPr>
            <w:r>
              <w:rPr>
                <w:rFonts w:eastAsia="方正仿宋简体"/>
                <w:color w:val="333333"/>
                <w:kern w:val="0"/>
                <w:szCs w:val="21"/>
              </w:rPr>
              <w:t>从事期权交易的目的</w:t>
            </w:r>
            <w:r>
              <w:rPr>
                <w:rFonts w:eastAsia="方正仿宋简体"/>
                <w:color w:val="333333"/>
                <w:kern w:val="0"/>
                <w:sz w:val="18"/>
                <w:szCs w:val="18"/>
              </w:rPr>
              <w:t xml:space="preserve"> </w:t>
            </w:r>
          </w:p>
        </w:tc>
        <w:tc>
          <w:tcPr>
            <w:tcW w:w="850" w:type="dxa"/>
            <w:gridSpan w:val="2"/>
            <w:tcBorders>
              <w:top w:val="single" w:color="000000" w:sz="4" w:space="0"/>
              <w:left w:val="nil"/>
              <w:bottom w:val="single" w:color="000000" w:sz="4" w:space="0"/>
              <w:right w:val="single" w:color="000000" w:sz="4" w:space="0"/>
            </w:tcBorders>
            <w:vAlign w:val="center"/>
          </w:tcPr>
          <w:p>
            <w:pPr>
              <w:widowControl/>
              <w:spacing w:line="320" w:lineRule="atLeast"/>
              <w:jc w:val="center"/>
              <w:rPr>
                <w:rFonts w:eastAsia="方正仿宋简体"/>
                <w:color w:val="333333"/>
                <w:kern w:val="0"/>
                <w:sz w:val="18"/>
                <w:szCs w:val="18"/>
              </w:rPr>
            </w:pPr>
            <w:r>
              <w:rPr>
                <w:rFonts w:eastAsia="方正仿宋简体"/>
                <w:color w:val="333333"/>
                <w:kern w:val="0"/>
                <w:szCs w:val="21"/>
              </w:rPr>
              <w:t>保值</w:t>
            </w:r>
            <w:r>
              <w:rPr>
                <w:rFonts w:eastAsia="方正仿宋简体"/>
                <w:color w:val="333333"/>
                <w:kern w:val="0"/>
                <w:sz w:val="18"/>
                <w:szCs w:val="18"/>
              </w:rPr>
              <w:t xml:space="preserve"> </w:t>
            </w:r>
          </w:p>
        </w:tc>
        <w:tc>
          <w:tcPr>
            <w:tcW w:w="2122" w:type="dxa"/>
            <w:gridSpan w:val="4"/>
            <w:tcBorders>
              <w:top w:val="single" w:color="000000" w:sz="4" w:space="0"/>
              <w:left w:val="nil"/>
              <w:bottom w:val="single" w:color="000000" w:sz="4" w:space="0"/>
              <w:right w:val="single" w:color="000000" w:sz="4" w:space="0"/>
            </w:tcBorders>
            <w:vAlign w:val="center"/>
          </w:tcPr>
          <w:p>
            <w:pPr>
              <w:widowControl/>
              <w:jc w:val="left"/>
              <w:rPr>
                <w:rFonts w:eastAsia="方正仿宋简体"/>
                <w:color w:val="333333"/>
                <w:kern w:val="0"/>
                <w:sz w:val="18"/>
                <w:szCs w:val="18"/>
              </w:rPr>
            </w:pPr>
          </w:p>
        </w:tc>
        <w:tc>
          <w:tcPr>
            <w:tcW w:w="1134" w:type="dxa"/>
            <w:gridSpan w:val="2"/>
            <w:tcBorders>
              <w:top w:val="single" w:color="000000" w:sz="4" w:space="0"/>
              <w:left w:val="nil"/>
              <w:bottom w:val="single" w:color="000000" w:sz="4" w:space="0"/>
              <w:right w:val="single" w:color="000000" w:sz="4" w:space="0"/>
            </w:tcBorders>
            <w:vAlign w:val="center"/>
          </w:tcPr>
          <w:p>
            <w:pPr>
              <w:widowControl/>
              <w:spacing w:line="320" w:lineRule="atLeast"/>
              <w:jc w:val="center"/>
              <w:rPr>
                <w:rFonts w:eastAsia="方正仿宋简体"/>
                <w:color w:val="333333"/>
                <w:kern w:val="0"/>
                <w:sz w:val="18"/>
                <w:szCs w:val="18"/>
              </w:rPr>
            </w:pPr>
            <w:r>
              <w:rPr>
                <w:rFonts w:eastAsia="方正仿宋简体"/>
                <w:color w:val="333333"/>
                <w:kern w:val="0"/>
                <w:szCs w:val="21"/>
              </w:rPr>
              <w:t>投机</w:t>
            </w:r>
            <w:r>
              <w:rPr>
                <w:rFonts w:eastAsia="方正仿宋简体"/>
                <w:color w:val="333333"/>
                <w:kern w:val="0"/>
                <w:sz w:val="18"/>
                <w:szCs w:val="18"/>
              </w:rPr>
              <w:t xml:space="preserve"> </w:t>
            </w:r>
          </w:p>
        </w:tc>
        <w:tc>
          <w:tcPr>
            <w:tcW w:w="2674" w:type="dxa"/>
            <w:gridSpan w:val="4"/>
            <w:tcBorders>
              <w:top w:val="single" w:color="000000" w:sz="4" w:space="0"/>
              <w:left w:val="nil"/>
              <w:bottom w:val="single" w:color="000000" w:sz="4" w:space="0"/>
              <w:right w:val="single" w:color="000000" w:sz="4" w:space="0"/>
            </w:tcBorders>
          </w:tcPr>
          <w:p>
            <w:pPr>
              <w:widowControl/>
              <w:jc w:val="left"/>
              <w:rPr>
                <w:rFonts w:eastAsia="方正仿宋简体"/>
                <w:color w:val="333333"/>
                <w:kern w:val="0"/>
                <w:sz w:val="18"/>
                <w:szCs w:val="18"/>
              </w:rPr>
            </w:pPr>
          </w:p>
        </w:tc>
      </w:tr>
      <w:tr>
        <w:tblPrEx>
          <w:tblCellMar>
            <w:top w:w="0" w:type="dxa"/>
            <w:left w:w="108" w:type="dxa"/>
            <w:bottom w:w="0" w:type="dxa"/>
            <w:right w:w="108" w:type="dxa"/>
          </w:tblCellMar>
        </w:tblPrEx>
        <w:trPr>
          <w:jc w:val="center"/>
        </w:trPr>
        <w:tc>
          <w:tcPr>
            <w:tcW w:w="9509" w:type="dxa"/>
            <w:gridSpan w:val="14"/>
            <w:tcBorders>
              <w:top w:val="single" w:color="000000" w:sz="4" w:space="0"/>
              <w:left w:val="single" w:color="000000" w:sz="4" w:space="0"/>
              <w:bottom w:val="single" w:color="000000" w:sz="4" w:space="0"/>
              <w:right w:val="single" w:color="000000" w:sz="4" w:space="0"/>
            </w:tcBorders>
          </w:tcPr>
          <w:p>
            <w:pPr>
              <w:widowControl/>
              <w:spacing w:line="320" w:lineRule="atLeast"/>
              <w:jc w:val="center"/>
              <w:rPr>
                <w:rFonts w:eastAsia="方正仿宋简体"/>
                <w:color w:val="333333"/>
                <w:kern w:val="0"/>
                <w:sz w:val="18"/>
                <w:szCs w:val="18"/>
              </w:rPr>
            </w:pPr>
            <w:r>
              <w:rPr>
                <w:rFonts w:eastAsia="方正仿宋简体"/>
                <w:color w:val="333333"/>
                <w:kern w:val="0"/>
                <w:szCs w:val="21"/>
              </w:rPr>
              <w:t xml:space="preserve">指令下达人 </w:t>
            </w:r>
            <w:r>
              <w:rPr>
                <w:rFonts w:eastAsia="方正仿宋简体"/>
                <w:color w:val="333333"/>
                <w:kern w:val="0"/>
                <w:sz w:val="18"/>
                <w:szCs w:val="18"/>
              </w:rPr>
              <w:t xml:space="preserve"> </w:t>
            </w:r>
          </w:p>
        </w:tc>
      </w:tr>
      <w:tr>
        <w:tblPrEx>
          <w:tblCellMar>
            <w:top w:w="0" w:type="dxa"/>
            <w:left w:w="108" w:type="dxa"/>
            <w:bottom w:w="0" w:type="dxa"/>
            <w:right w:w="108" w:type="dxa"/>
          </w:tblCellMar>
        </w:tblPrEx>
        <w:trPr>
          <w:jc w:val="center"/>
        </w:trPr>
        <w:tc>
          <w:tcPr>
            <w:tcW w:w="1726" w:type="dxa"/>
            <w:tcBorders>
              <w:top w:val="single" w:color="000000" w:sz="4" w:space="0"/>
              <w:left w:val="single" w:color="000000" w:sz="4" w:space="0"/>
              <w:bottom w:val="single" w:color="000000" w:sz="4" w:space="0"/>
              <w:right w:val="single" w:color="000000" w:sz="4" w:space="0"/>
            </w:tcBorders>
          </w:tcPr>
          <w:p>
            <w:pPr>
              <w:widowControl/>
              <w:spacing w:line="320" w:lineRule="atLeast"/>
              <w:jc w:val="center"/>
              <w:rPr>
                <w:rFonts w:eastAsia="方正仿宋简体"/>
                <w:color w:val="333333"/>
                <w:kern w:val="0"/>
                <w:sz w:val="18"/>
                <w:szCs w:val="18"/>
              </w:rPr>
            </w:pPr>
            <w:r>
              <w:rPr>
                <w:rFonts w:eastAsia="方正仿宋简体"/>
                <w:color w:val="333333"/>
                <w:kern w:val="0"/>
                <w:szCs w:val="21"/>
              </w:rPr>
              <w:t>姓名</w:t>
            </w:r>
            <w:r>
              <w:rPr>
                <w:rFonts w:eastAsia="方正仿宋简体"/>
                <w:color w:val="333333"/>
                <w:kern w:val="0"/>
                <w:sz w:val="18"/>
                <w:szCs w:val="18"/>
              </w:rPr>
              <w:t xml:space="preserve"> </w:t>
            </w:r>
          </w:p>
        </w:tc>
        <w:tc>
          <w:tcPr>
            <w:tcW w:w="3975" w:type="dxa"/>
            <w:gridSpan w:val="7"/>
            <w:tcBorders>
              <w:top w:val="single" w:color="000000" w:sz="4" w:space="0"/>
              <w:left w:val="nil"/>
              <w:bottom w:val="single" w:color="000000" w:sz="4" w:space="0"/>
              <w:right w:val="single" w:color="000000" w:sz="4" w:space="0"/>
            </w:tcBorders>
          </w:tcPr>
          <w:p>
            <w:pPr>
              <w:widowControl/>
              <w:jc w:val="left"/>
              <w:rPr>
                <w:rFonts w:eastAsia="方正仿宋简体"/>
                <w:color w:val="333333"/>
                <w:kern w:val="0"/>
                <w:sz w:val="18"/>
                <w:szCs w:val="18"/>
              </w:rPr>
            </w:pPr>
          </w:p>
        </w:tc>
        <w:tc>
          <w:tcPr>
            <w:tcW w:w="1177" w:type="dxa"/>
            <w:gridSpan w:val="3"/>
            <w:tcBorders>
              <w:top w:val="single" w:color="000000" w:sz="4" w:space="0"/>
              <w:left w:val="nil"/>
              <w:bottom w:val="single" w:color="000000" w:sz="4" w:space="0"/>
              <w:right w:val="single" w:color="000000" w:sz="4" w:space="0"/>
            </w:tcBorders>
          </w:tcPr>
          <w:p>
            <w:pPr>
              <w:widowControl/>
              <w:spacing w:line="320" w:lineRule="atLeast"/>
              <w:jc w:val="center"/>
              <w:rPr>
                <w:rFonts w:eastAsia="方正仿宋简体"/>
                <w:color w:val="333333"/>
                <w:kern w:val="0"/>
                <w:sz w:val="18"/>
                <w:szCs w:val="18"/>
              </w:rPr>
            </w:pPr>
            <w:r>
              <w:rPr>
                <w:rFonts w:eastAsia="方正仿宋简体"/>
                <w:color w:val="333333"/>
                <w:kern w:val="0"/>
                <w:szCs w:val="21"/>
              </w:rPr>
              <w:t>联系电话</w:t>
            </w:r>
            <w:r>
              <w:rPr>
                <w:rFonts w:eastAsia="方正仿宋简体"/>
                <w:color w:val="333333"/>
                <w:kern w:val="0"/>
                <w:sz w:val="18"/>
                <w:szCs w:val="18"/>
              </w:rPr>
              <w:t xml:space="preserve"> </w:t>
            </w:r>
          </w:p>
        </w:tc>
        <w:tc>
          <w:tcPr>
            <w:tcW w:w="2631" w:type="dxa"/>
            <w:gridSpan w:val="3"/>
            <w:tcBorders>
              <w:top w:val="single" w:color="000000" w:sz="4" w:space="0"/>
              <w:left w:val="nil"/>
              <w:bottom w:val="single" w:color="000000" w:sz="4" w:space="0"/>
              <w:right w:val="single" w:color="000000" w:sz="4" w:space="0"/>
            </w:tcBorders>
          </w:tcPr>
          <w:p>
            <w:pPr>
              <w:widowControl/>
              <w:jc w:val="left"/>
              <w:rPr>
                <w:rFonts w:eastAsia="方正仿宋简体"/>
                <w:color w:val="333333"/>
                <w:kern w:val="0"/>
                <w:sz w:val="18"/>
                <w:szCs w:val="18"/>
              </w:rPr>
            </w:pPr>
          </w:p>
        </w:tc>
      </w:tr>
      <w:tr>
        <w:tblPrEx>
          <w:tblCellMar>
            <w:top w:w="0" w:type="dxa"/>
            <w:left w:w="108" w:type="dxa"/>
            <w:bottom w:w="0" w:type="dxa"/>
            <w:right w:w="108" w:type="dxa"/>
          </w:tblCellMar>
        </w:tblPrEx>
        <w:trPr>
          <w:jc w:val="center"/>
        </w:trPr>
        <w:tc>
          <w:tcPr>
            <w:tcW w:w="1726" w:type="dxa"/>
            <w:tcBorders>
              <w:top w:val="single" w:color="000000" w:sz="4" w:space="0"/>
              <w:left w:val="single" w:color="000000" w:sz="4" w:space="0"/>
              <w:bottom w:val="single" w:color="000000" w:sz="4" w:space="0"/>
              <w:right w:val="single" w:color="000000" w:sz="4" w:space="0"/>
            </w:tcBorders>
          </w:tcPr>
          <w:p>
            <w:pPr>
              <w:widowControl/>
              <w:spacing w:line="320" w:lineRule="atLeast"/>
              <w:jc w:val="center"/>
              <w:rPr>
                <w:rFonts w:eastAsia="方正仿宋简体"/>
                <w:color w:val="333333"/>
                <w:kern w:val="0"/>
                <w:sz w:val="18"/>
                <w:szCs w:val="18"/>
              </w:rPr>
            </w:pPr>
            <w:r>
              <w:rPr>
                <w:rFonts w:eastAsia="方正仿宋简体"/>
                <w:color w:val="333333"/>
                <w:kern w:val="0"/>
                <w:szCs w:val="21"/>
              </w:rPr>
              <w:t>证件类型及号码</w:t>
            </w:r>
            <w:r>
              <w:rPr>
                <w:rFonts w:eastAsia="方正仿宋简体"/>
                <w:color w:val="333333"/>
                <w:kern w:val="0"/>
                <w:sz w:val="18"/>
                <w:szCs w:val="18"/>
              </w:rPr>
              <w:t xml:space="preserve"> </w:t>
            </w:r>
          </w:p>
        </w:tc>
        <w:tc>
          <w:tcPr>
            <w:tcW w:w="7783" w:type="dxa"/>
            <w:gridSpan w:val="13"/>
            <w:tcBorders>
              <w:top w:val="single" w:color="000000" w:sz="4" w:space="0"/>
              <w:left w:val="nil"/>
              <w:bottom w:val="single" w:color="000000" w:sz="4" w:space="0"/>
              <w:right w:val="single" w:color="000000" w:sz="4" w:space="0"/>
            </w:tcBorders>
          </w:tcPr>
          <w:p>
            <w:pPr>
              <w:widowControl/>
              <w:jc w:val="left"/>
              <w:rPr>
                <w:rFonts w:eastAsia="方正仿宋简体"/>
                <w:color w:val="333333"/>
                <w:kern w:val="0"/>
                <w:sz w:val="18"/>
                <w:szCs w:val="18"/>
              </w:rPr>
            </w:pPr>
          </w:p>
        </w:tc>
      </w:tr>
      <w:tr>
        <w:tblPrEx>
          <w:tblCellMar>
            <w:top w:w="0" w:type="dxa"/>
            <w:left w:w="108" w:type="dxa"/>
            <w:bottom w:w="0" w:type="dxa"/>
            <w:right w:w="108" w:type="dxa"/>
          </w:tblCellMar>
        </w:tblPrEx>
        <w:trPr>
          <w:jc w:val="center"/>
        </w:trPr>
        <w:tc>
          <w:tcPr>
            <w:tcW w:w="1726" w:type="dxa"/>
            <w:tcBorders>
              <w:top w:val="single" w:color="000000" w:sz="4" w:space="0"/>
              <w:left w:val="single" w:color="000000" w:sz="4" w:space="0"/>
              <w:bottom w:val="single" w:color="000000" w:sz="4" w:space="0"/>
              <w:right w:val="single" w:color="000000" w:sz="4" w:space="0"/>
            </w:tcBorders>
          </w:tcPr>
          <w:p>
            <w:pPr>
              <w:widowControl/>
              <w:spacing w:line="320" w:lineRule="atLeast"/>
              <w:jc w:val="center"/>
              <w:rPr>
                <w:rFonts w:eastAsia="方正仿宋简体"/>
                <w:color w:val="333333"/>
                <w:kern w:val="0"/>
                <w:sz w:val="18"/>
                <w:szCs w:val="18"/>
              </w:rPr>
            </w:pPr>
            <w:r>
              <w:rPr>
                <w:rFonts w:eastAsia="方正仿宋简体"/>
                <w:color w:val="333333"/>
                <w:kern w:val="0"/>
                <w:szCs w:val="21"/>
              </w:rPr>
              <w:t>联系地址</w:t>
            </w:r>
            <w:r>
              <w:rPr>
                <w:rFonts w:eastAsia="方正仿宋简体"/>
                <w:color w:val="333333"/>
                <w:kern w:val="0"/>
                <w:sz w:val="18"/>
                <w:szCs w:val="18"/>
              </w:rPr>
              <w:t xml:space="preserve"> </w:t>
            </w:r>
          </w:p>
        </w:tc>
        <w:tc>
          <w:tcPr>
            <w:tcW w:w="3975" w:type="dxa"/>
            <w:gridSpan w:val="7"/>
            <w:tcBorders>
              <w:top w:val="single" w:color="000000" w:sz="4" w:space="0"/>
              <w:left w:val="nil"/>
              <w:bottom w:val="single" w:color="000000" w:sz="4" w:space="0"/>
              <w:right w:val="single" w:color="000000" w:sz="4" w:space="0"/>
            </w:tcBorders>
          </w:tcPr>
          <w:p>
            <w:pPr>
              <w:widowControl/>
              <w:jc w:val="left"/>
              <w:rPr>
                <w:rFonts w:eastAsia="方正仿宋简体"/>
                <w:color w:val="333333"/>
                <w:kern w:val="0"/>
                <w:sz w:val="18"/>
                <w:szCs w:val="18"/>
              </w:rPr>
            </w:pPr>
          </w:p>
        </w:tc>
        <w:tc>
          <w:tcPr>
            <w:tcW w:w="1177" w:type="dxa"/>
            <w:gridSpan w:val="3"/>
            <w:tcBorders>
              <w:top w:val="single" w:color="000000" w:sz="4" w:space="0"/>
              <w:left w:val="nil"/>
              <w:bottom w:val="single" w:color="000000" w:sz="4" w:space="0"/>
              <w:right w:val="single" w:color="000000" w:sz="4" w:space="0"/>
            </w:tcBorders>
          </w:tcPr>
          <w:p>
            <w:pPr>
              <w:widowControl/>
              <w:spacing w:line="320" w:lineRule="atLeast"/>
              <w:jc w:val="center"/>
              <w:rPr>
                <w:rFonts w:eastAsia="方正仿宋简体"/>
                <w:color w:val="333333"/>
                <w:kern w:val="0"/>
                <w:sz w:val="18"/>
                <w:szCs w:val="18"/>
              </w:rPr>
            </w:pPr>
            <w:r>
              <w:rPr>
                <w:rFonts w:eastAsia="方正仿宋简体"/>
                <w:color w:val="333333"/>
                <w:kern w:val="0"/>
                <w:szCs w:val="21"/>
              </w:rPr>
              <w:t>邮政编码</w:t>
            </w:r>
            <w:r>
              <w:rPr>
                <w:rFonts w:eastAsia="方正仿宋简体"/>
                <w:color w:val="333333"/>
                <w:kern w:val="0"/>
                <w:sz w:val="18"/>
                <w:szCs w:val="18"/>
              </w:rPr>
              <w:t xml:space="preserve"> </w:t>
            </w:r>
          </w:p>
        </w:tc>
        <w:tc>
          <w:tcPr>
            <w:tcW w:w="2631" w:type="dxa"/>
            <w:gridSpan w:val="3"/>
            <w:tcBorders>
              <w:top w:val="single" w:color="000000" w:sz="4" w:space="0"/>
              <w:left w:val="nil"/>
              <w:bottom w:val="single" w:color="000000" w:sz="4" w:space="0"/>
              <w:right w:val="single" w:color="000000" w:sz="4" w:space="0"/>
            </w:tcBorders>
          </w:tcPr>
          <w:p>
            <w:pPr>
              <w:widowControl/>
              <w:jc w:val="left"/>
              <w:rPr>
                <w:rFonts w:eastAsia="方正仿宋简体"/>
                <w:color w:val="333333"/>
                <w:kern w:val="0"/>
                <w:sz w:val="18"/>
                <w:szCs w:val="18"/>
              </w:rPr>
            </w:pPr>
          </w:p>
        </w:tc>
      </w:tr>
      <w:tr>
        <w:tblPrEx>
          <w:tblCellMar>
            <w:top w:w="0" w:type="dxa"/>
            <w:left w:w="108" w:type="dxa"/>
            <w:bottom w:w="0" w:type="dxa"/>
            <w:right w:w="108" w:type="dxa"/>
          </w:tblCellMar>
        </w:tblPrEx>
        <w:trPr>
          <w:jc w:val="center"/>
        </w:trPr>
        <w:tc>
          <w:tcPr>
            <w:tcW w:w="9509" w:type="dxa"/>
            <w:gridSpan w:val="14"/>
            <w:tcBorders>
              <w:top w:val="single" w:color="000000" w:sz="4" w:space="0"/>
              <w:left w:val="single" w:color="000000" w:sz="4" w:space="0"/>
              <w:bottom w:val="single" w:color="000000" w:sz="4" w:space="0"/>
              <w:right w:val="single" w:color="000000" w:sz="4" w:space="0"/>
            </w:tcBorders>
          </w:tcPr>
          <w:p>
            <w:pPr>
              <w:widowControl/>
              <w:spacing w:line="320" w:lineRule="atLeast"/>
              <w:jc w:val="center"/>
              <w:rPr>
                <w:rFonts w:eastAsia="方正仿宋简体"/>
                <w:color w:val="333333"/>
                <w:kern w:val="0"/>
                <w:sz w:val="18"/>
                <w:szCs w:val="18"/>
              </w:rPr>
            </w:pPr>
            <w:r>
              <w:rPr>
                <w:rFonts w:eastAsia="方正仿宋简体"/>
                <w:color w:val="333333"/>
                <w:kern w:val="0"/>
                <w:szCs w:val="21"/>
              </w:rPr>
              <w:t>资金调拨人</w:t>
            </w:r>
            <w:r>
              <w:rPr>
                <w:rFonts w:eastAsia="方正仿宋简体"/>
                <w:color w:val="333333"/>
                <w:kern w:val="0"/>
                <w:sz w:val="18"/>
                <w:szCs w:val="18"/>
              </w:rPr>
              <w:t xml:space="preserve"> </w:t>
            </w:r>
          </w:p>
        </w:tc>
      </w:tr>
      <w:tr>
        <w:tblPrEx>
          <w:tblCellMar>
            <w:top w:w="0" w:type="dxa"/>
            <w:left w:w="108" w:type="dxa"/>
            <w:bottom w:w="0" w:type="dxa"/>
            <w:right w:w="108" w:type="dxa"/>
          </w:tblCellMar>
        </w:tblPrEx>
        <w:trPr>
          <w:jc w:val="center"/>
        </w:trPr>
        <w:tc>
          <w:tcPr>
            <w:tcW w:w="1726" w:type="dxa"/>
            <w:tcBorders>
              <w:top w:val="single" w:color="000000" w:sz="4" w:space="0"/>
              <w:left w:val="single" w:color="000000" w:sz="4" w:space="0"/>
              <w:bottom w:val="single" w:color="000000" w:sz="4" w:space="0"/>
              <w:right w:val="single" w:color="000000" w:sz="4" w:space="0"/>
            </w:tcBorders>
          </w:tcPr>
          <w:p>
            <w:pPr>
              <w:widowControl/>
              <w:spacing w:line="320" w:lineRule="atLeast"/>
              <w:jc w:val="center"/>
              <w:rPr>
                <w:rFonts w:eastAsia="方正仿宋简体"/>
                <w:color w:val="333333"/>
                <w:kern w:val="0"/>
                <w:sz w:val="18"/>
                <w:szCs w:val="18"/>
              </w:rPr>
            </w:pPr>
            <w:r>
              <w:rPr>
                <w:rFonts w:eastAsia="方正仿宋简体"/>
                <w:color w:val="333333"/>
                <w:kern w:val="0"/>
                <w:szCs w:val="21"/>
              </w:rPr>
              <w:t>姓名</w:t>
            </w:r>
            <w:r>
              <w:rPr>
                <w:rFonts w:eastAsia="方正仿宋简体"/>
                <w:color w:val="333333"/>
                <w:kern w:val="0"/>
                <w:sz w:val="18"/>
                <w:szCs w:val="18"/>
              </w:rPr>
              <w:t xml:space="preserve"> </w:t>
            </w:r>
          </w:p>
        </w:tc>
        <w:tc>
          <w:tcPr>
            <w:tcW w:w="3975" w:type="dxa"/>
            <w:gridSpan w:val="7"/>
            <w:tcBorders>
              <w:top w:val="single" w:color="000000" w:sz="4" w:space="0"/>
              <w:left w:val="nil"/>
              <w:bottom w:val="single" w:color="000000" w:sz="4" w:space="0"/>
              <w:right w:val="single" w:color="000000" w:sz="4" w:space="0"/>
            </w:tcBorders>
          </w:tcPr>
          <w:p>
            <w:pPr>
              <w:widowControl/>
              <w:jc w:val="left"/>
              <w:rPr>
                <w:rFonts w:eastAsia="方正仿宋简体"/>
                <w:color w:val="333333"/>
                <w:kern w:val="0"/>
                <w:sz w:val="18"/>
                <w:szCs w:val="18"/>
              </w:rPr>
            </w:pPr>
          </w:p>
        </w:tc>
        <w:tc>
          <w:tcPr>
            <w:tcW w:w="1177" w:type="dxa"/>
            <w:gridSpan w:val="3"/>
            <w:tcBorders>
              <w:top w:val="single" w:color="000000" w:sz="4" w:space="0"/>
              <w:left w:val="nil"/>
              <w:bottom w:val="single" w:color="000000" w:sz="4" w:space="0"/>
              <w:right w:val="single" w:color="000000" w:sz="4" w:space="0"/>
            </w:tcBorders>
          </w:tcPr>
          <w:p>
            <w:pPr>
              <w:widowControl/>
              <w:spacing w:line="320" w:lineRule="atLeast"/>
              <w:jc w:val="center"/>
              <w:rPr>
                <w:rFonts w:eastAsia="方正仿宋简体"/>
                <w:color w:val="333333"/>
                <w:kern w:val="0"/>
                <w:sz w:val="18"/>
                <w:szCs w:val="18"/>
              </w:rPr>
            </w:pPr>
            <w:r>
              <w:rPr>
                <w:rFonts w:eastAsia="方正仿宋简体"/>
                <w:color w:val="333333"/>
                <w:kern w:val="0"/>
                <w:szCs w:val="21"/>
              </w:rPr>
              <w:t>联系电话</w:t>
            </w:r>
            <w:r>
              <w:rPr>
                <w:rFonts w:eastAsia="方正仿宋简体"/>
                <w:color w:val="333333"/>
                <w:kern w:val="0"/>
                <w:sz w:val="18"/>
                <w:szCs w:val="18"/>
              </w:rPr>
              <w:t xml:space="preserve"> </w:t>
            </w:r>
          </w:p>
        </w:tc>
        <w:tc>
          <w:tcPr>
            <w:tcW w:w="2631" w:type="dxa"/>
            <w:gridSpan w:val="3"/>
            <w:tcBorders>
              <w:top w:val="single" w:color="000000" w:sz="4" w:space="0"/>
              <w:left w:val="nil"/>
              <w:bottom w:val="single" w:color="000000" w:sz="4" w:space="0"/>
              <w:right w:val="single" w:color="000000" w:sz="4" w:space="0"/>
            </w:tcBorders>
          </w:tcPr>
          <w:p>
            <w:pPr>
              <w:widowControl/>
              <w:jc w:val="left"/>
              <w:rPr>
                <w:rFonts w:eastAsia="方正仿宋简体"/>
                <w:color w:val="333333"/>
                <w:kern w:val="0"/>
                <w:sz w:val="18"/>
                <w:szCs w:val="18"/>
              </w:rPr>
            </w:pPr>
          </w:p>
        </w:tc>
      </w:tr>
      <w:tr>
        <w:tblPrEx>
          <w:tblCellMar>
            <w:top w:w="0" w:type="dxa"/>
            <w:left w:w="108" w:type="dxa"/>
            <w:bottom w:w="0" w:type="dxa"/>
            <w:right w:w="108" w:type="dxa"/>
          </w:tblCellMar>
        </w:tblPrEx>
        <w:trPr>
          <w:jc w:val="center"/>
        </w:trPr>
        <w:tc>
          <w:tcPr>
            <w:tcW w:w="1726" w:type="dxa"/>
            <w:tcBorders>
              <w:top w:val="single" w:color="000000" w:sz="4" w:space="0"/>
              <w:left w:val="single" w:color="000000" w:sz="4" w:space="0"/>
              <w:bottom w:val="single" w:color="000000" w:sz="4" w:space="0"/>
              <w:right w:val="single" w:color="000000" w:sz="4" w:space="0"/>
            </w:tcBorders>
          </w:tcPr>
          <w:p>
            <w:pPr>
              <w:widowControl/>
              <w:spacing w:line="320" w:lineRule="atLeast"/>
              <w:jc w:val="center"/>
              <w:rPr>
                <w:rFonts w:eastAsia="方正仿宋简体"/>
                <w:color w:val="333333"/>
                <w:kern w:val="0"/>
                <w:sz w:val="18"/>
                <w:szCs w:val="18"/>
              </w:rPr>
            </w:pPr>
            <w:r>
              <w:rPr>
                <w:rFonts w:eastAsia="方正仿宋简体"/>
                <w:color w:val="333333"/>
                <w:kern w:val="0"/>
                <w:szCs w:val="21"/>
              </w:rPr>
              <w:t>证件类型及号码</w:t>
            </w:r>
            <w:r>
              <w:rPr>
                <w:rFonts w:eastAsia="方正仿宋简体"/>
                <w:color w:val="333333"/>
                <w:kern w:val="0"/>
                <w:sz w:val="18"/>
                <w:szCs w:val="18"/>
              </w:rPr>
              <w:t xml:space="preserve"> </w:t>
            </w:r>
          </w:p>
        </w:tc>
        <w:tc>
          <w:tcPr>
            <w:tcW w:w="7783" w:type="dxa"/>
            <w:gridSpan w:val="13"/>
            <w:tcBorders>
              <w:top w:val="single" w:color="000000" w:sz="4" w:space="0"/>
              <w:left w:val="nil"/>
              <w:bottom w:val="single" w:color="000000" w:sz="4" w:space="0"/>
              <w:right w:val="single" w:color="000000" w:sz="4" w:space="0"/>
            </w:tcBorders>
          </w:tcPr>
          <w:p>
            <w:pPr>
              <w:widowControl/>
              <w:jc w:val="left"/>
              <w:rPr>
                <w:rFonts w:eastAsia="方正仿宋简体"/>
                <w:color w:val="333333"/>
                <w:kern w:val="0"/>
                <w:sz w:val="18"/>
                <w:szCs w:val="18"/>
              </w:rPr>
            </w:pPr>
          </w:p>
        </w:tc>
      </w:tr>
      <w:tr>
        <w:tblPrEx>
          <w:tblCellMar>
            <w:top w:w="0" w:type="dxa"/>
            <w:left w:w="108" w:type="dxa"/>
            <w:bottom w:w="0" w:type="dxa"/>
            <w:right w:w="108" w:type="dxa"/>
          </w:tblCellMar>
        </w:tblPrEx>
        <w:trPr>
          <w:jc w:val="center"/>
        </w:trPr>
        <w:tc>
          <w:tcPr>
            <w:tcW w:w="1726" w:type="dxa"/>
            <w:tcBorders>
              <w:top w:val="single" w:color="000000" w:sz="4" w:space="0"/>
              <w:left w:val="single" w:color="000000" w:sz="4" w:space="0"/>
              <w:bottom w:val="single" w:color="000000" w:sz="4" w:space="0"/>
              <w:right w:val="single" w:color="000000" w:sz="4" w:space="0"/>
            </w:tcBorders>
          </w:tcPr>
          <w:p>
            <w:pPr>
              <w:widowControl/>
              <w:spacing w:line="320" w:lineRule="atLeast"/>
              <w:jc w:val="center"/>
              <w:rPr>
                <w:rFonts w:eastAsia="方正仿宋简体"/>
                <w:color w:val="333333"/>
                <w:kern w:val="0"/>
                <w:sz w:val="18"/>
                <w:szCs w:val="18"/>
              </w:rPr>
            </w:pPr>
            <w:r>
              <w:rPr>
                <w:rFonts w:eastAsia="方正仿宋简体"/>
                <w:color w:val="333333"/>
                <w:kern w:val="0"/>
                <w:szCs w:val="21"/>
              </w:rPr>
              <w:t>联系地址</w:t>
            </w:r>
            <w:r>
              <w:rPr>
                <w:rFonts w:eastAsia="方正仿宋简体"/>
                <w:color w:val="333333"/>
                <w:kern w:val="0"/>
                <w:sz w:val="18"/>
                <w:szCs w:val="18"/>
              </w:rPr>
              <w:t xml:space="preserve"> </w:t>
            </w:r>
          </w:p>
        </w:tc>
        <w:tc>
          <w:tcPr>
            <w:tcW w:w="3975" w:type="dxa"/>
            <w:gridSpan w:val="7"/>
            <w:tcBorders>
              <w:top w:val="single" w:color="000000" w:sz="4" w:space="0"/>
              <w:left w:val="nil"/>
              <w:bottom w:val="single" w:color="000000" w:sz="4" w:space="0"/>
              <w:right w:val="single" w:color="000000" w:sz="4" w:space="0"/>
            </w:tcBorders>
          </w:tcPr>
          <w:p>
            <w:pPr>
              <w:widowControl/>
              <w:jc w:val="left"/>
              <w:rPr>
                <w:rFonts w:eastAsia="方正仿宋简体"/>
                <w:color w:val="333333"/>
                <w:kern w:val="0"/>
                <w:sz w:val="18"/>
                <w:szCs w:val="18"/>
              </w:rPr>
            </w:pPr>
          </w:p>
        </w:tc>
        <w:tc>
          <w:tcPr>
            <w:tcW w:w="1177" w:type="dxa"/>
            <w:gridSpan w:val="3"/>
            <w:tcBorders>
              <w:top w:val="single" w:color="000000" w:sz="4" w:space="0"/>
              <w:left w:val="nil"/>
              <w:bottom w:val="single" w:color="000000" w:sz="4" w:space="0"/>
              <w:right w:val="single" w:color="000000" w:sz="4" w:space="0"/>
            </w:tcBorders>
          </w:tcPr>
          <w:p>
            <w:pPr>
              <w:widowControl/>
              <w:spacing w:line="320" w:lineRule="atLeast"/>
              <w:jc w:val="center"/>
              <w:rPr>
                <w:rFonts w:eastAsia="方正仿宋简体"/>
                <w:color w:val="333333"/>
                <w:kern w:val="0"/>
                <w:sz w:val="18"/>
                <w:szCs w:val="18"/>
              </w:rPr>
            </w:pPr>
            <w:r>
              <w:rPr>
                <w:rFonts w:eastAsia="方正仿宋简体"/>
                <w:color w:val="333333"/>
                <w:kern w:val="0"/>
                <w:szCs w:val="21"/>
              </w:rPr>
              <w:t>邮政编码</w:t>
            </w:r>
            <w:r>
              <w:rPr>
                <w:rFonts w:eastAsia="方正仿宋简体"/>
                <w:color w:val="333333"/>
                <w:kern w:val="0"/>
                <w:sz w:val="18"/>
                <w:szCs w:val="18"/>
              </w:rPr>
              <w:t xml:space="preserve"> </w:t>
            </w:r>
          </w:p>
        </w:tc>
        <w:tc>
          <w:tcPr>
            <w:tcW w:w="2631" w:type="dxa"/>
            <w:gridSpan w:val="3"/>
            <w:tcBorders>
              <w:top w:val="single" w:color="000000" w:sz="4" w:space="0"/>
              <w:left w:val="nil"/>
              <w:bottom w:val="single" w:color="000000" w:sz="4" w:space="0"/>
              <w:right w:val="single" w:color="000000" w:sz="4" w:space="0"/>
            </w:tcBorders>
          </w:tcPr>
          <w:p>
            <w:pPr>
              <w:widowControl/>
              <w:jc w:val="left"/>
              <w:rPr>
                <w:rFonts w:eastAsia="方正仿宋简体"/>
                <w:color w:val="333333"/>
                <w:kern w:val="0"/>
                <w:sz w:val="18"/>
                <w:szCs w:val="18"/>
              </w:rPr>
            </w:pPr>
          </w:p>
        </w:tc>
      </w:tr>
      <w:tr>
        <w:tblPrEx>
          <w:tblCellMar>
            <w:top w:w="0" w:type="dxa"/>
            <w:left w:w="108" w:type="dxa"/>
            <w:bottom w:w="0" w:type="dxa"/>
            <w:right w:w="108" w:type="dxa"/>
          </w:tblCellMar>
        </w:tblPrEx>
        <w:trPr>
          <w:trHeight w:val="439" w:hRule="atLeast"/>
          <w:jc w:val="center"/>
        </w:trPr>
        <w:tc>
          <w:tcPr>
            <w:tcW w:w="9509" w:type="dxa"/>
            <w:gridSpan w:val="14"/>
            <w:tcBorders>
              <w:top w:val="single" w:color="000000" w:sz="4" w:space="0"/>
              <w:left w:val="single" w:color="000000" w:sz="4" w:space="0"/>
              <w:bottom w:val="single" w:color="000000" w:sz="4" w:space="0"/>
              <w:right w:val="single" w:color="000000" w:sz="4" w:space="0"/>
            </w:tcBorders>
            <w:vAlign w:val="center"/>
          </w:tcPr>
          <w:p>
            <w:pPr>
              <w:widowControl/>
              <w:spacing w:line="320" w:lineRule="atLeast"/>
              <w:jc w:val="center"/>
              <w:rPr>
                <w:rFonts w:eastAsia="方正仿宋简体"/>
                <w:color w:val="333333"/>
                <w:kern w:val="0"/>
                <w:sz w:val="18"/>
                <w:szCs w:val="18"/>
              </w:rPr>
            </w:pPr>
            <w:r>
              <w:rPr>
                <w:rFonts w:eastAsia="方正仿宋简体"/>
                <w:color w:val="333333"/>
                <w:kern w:val="0"/>
                <w:szCs w:val="21"/>
              </w:rPr>
              <w:t>结算单确认人</w:t>
            </w:r>
          </w:p>
        </w:tc>
      </w:tr>
      <w:tr>
        <w:tblPrEx>
          <w:tblCellMar>
            <w:top w:w="0" w:type="dxa"/>
            <w:left w:w="108" w:type="dxa"/>
            <w:bottom w:w="0" w:type="dxa"/>
            <w:right w:w="108" w:type="dxa"/>
          </w:tblCellMar>
        </w:tblPrEx>
        <w:trPr>
          <w:jc w:val="center"/>
        </w:trPr>
        <w:tc>
          <w:tcPr>
            <w:tcW w:w="1726" w:type="dxa"/>
            <w:tcBorders>
              <w:top w:val="single" w:color="000000" w:sz="4" w:space="0"/>
              <w:left w:val="single" w:color="000000" w:sz="4" w:space="0"/>
              <w:bottom w:val="single" w:color="000000" w:sz="4" w:space="0"/>
              <w:right w:val="single" w:color="000000" w:sz="4" w:space="0"/>
            </w:tcBorders>
          </w:tcPr>
          <w:p>
            <w:pPr>
              <w:widowControl/>
              <w:spacing w:line="320" w:lineRule="atLeast"/>
              <w:jc w:val="center"/>
              <w:rPr>
                <w:rFonts w:eastAsia="方正仿宋简体"/>
                <w:color w:val="333333"/>
                <w:kern w:val="0"/>
                <w:sz w:val="18"/>
                <w:szCs w:val="18"/>
              </w:rPr>
            </w:pPr>
            <w:r>
              <w:rPr>
                <w:rFonts w:eastAsia="方正仿宋简体"/>
                <w:color w:val="333333"/>
                <w:kern w:val="0"/>
                <w:szCs w:val="21"/>
              </w:rPr>
              <w:t>姓名</w:t>
            </w:r>
            <w:r>
              <w:rPr>
                <w:rFonts w:eastAsia="方正仿宋简体"/>
                <w:color w:val="333333"/>
                <w:kern w:val="0"/>
                <w:sz w:val="18"/>
                <w:szCs w:val="18"/>
              </w:rPr>
              <w:t xml:space="preserve"> </w:t>
            </w:r>
          </w:p>
        </w:tc>
        <w:tc>
          <w:tcPr>
            <w:tcW w:w="3975" w:type="dxa"/>
            <w:gridSpan w:val="7"/>
            <w:tcBorders>
              <w:top w:val="single" w:color="000000" w:sz="4" w:space="0"/>
              <w:left w:val="nil"/>
              <w:bottom w:val="single" w:color="000000" w:sz="4" w:space="0"/>
              <w:right w:val="single" w:color="000000" w:sz="4" w:space="0"/>
            </w:tcBorders>
          </w:tcPr>
          <w:p>
            <w:pPr>
              <w:widowControl/>
              <w:jc w:val="left"/>
              <w:rPr>
                <w:rFonts w:eastAsia="方正仿宋简体"/>
                <w:color w:val="333333"/>
                <w:kern w:val="0"/>
                <w:sz w:val="18"/>
                <w:szCs w:val="18"/>
              </w:rPr>
            </w:pPr>
          </w:p>
        </w:tc>
        <w:tc>
          <w:tcPr>
            <w:tcW w:w="1177" w:type="dxa"/>
            <w:gridSpan w:val="3"/>
            <w:tcBorders>
              <w:top w:val="single" w:color="000000" w:sz="4" w:space="0"/>
              <w:left w:val="nil"/>
              <w:bottom w:val="single" w:color="000000" w:sz="4" w:space="0"/>
              <w:right w:val="single" w:color="000000" w:sz="4" w:space="0"/>
            </w:tcBorders>
          </w:tcPr>
          <w:p>
            <w:pPr>
              <w:widowControl/>
              <w:spacing w:line="320" w:lineRule="atLeast"/>
              <w:jc w:val="center"/>
              <w:rPr>
                <w:rFonts w:eastAsia="方正仿宋简体"/>
                <w:color w:val="333333"/>
                <w:kern w:val="0"/>
                <w:sz w:val="18"/>
                <w:szCs w:val="18"/>
              </w:rPr>
            </w:pPr>
            <w:r>
              <w:rPr>
                <w:rFonts w:eastAsia="方正仿宋简体"/>
                <w:color w:val="333333"/>
                <w:kern w:val="0"/>
                <w:szCs w:val="21"/>
              </w:rPr>
              <w:t>联系电话</w:t>
            </w:r>
            <w:r>
              <w:rPr>
                <w:rFonts w:eastAsia="方正仿宋简体"/>
                <w:color w:val="333333"/>
                <w:kern w:val="0"/>
                <w:sz w:val="18"/>
                <w:szCs w:val="18"/>
              </w:rPr>
              <w:t xml:space="preserve"> </w:t>
            </w:r>
          </w:p>
        </w:tc>
        <w:tc>
          <w:tcPr>
            <w:tcW w:w="2631" w:type="dxa"/>
            <w:gridSpan w:val="3"/>
            <w:tcBorders>
              <w:top w:val="single" w:color="000000" w:sz="4" w:space="0"/>
              <w:left w:val="nil"/>
              <w:bottom w:val="single" w:color="000000" w:sz="4" w:space="0"/>
              <w:right w:val="single" w:color="000000" w:sz="4" w:space="0"/>
            </w:tcBorders>
          </w:tcPr>
          <w:p>
            <w:pPr>
              <w:widowControl/>
              <w:jc w:val="left"/>
              <w:rPr>
                <w:rFonts w:eastAsia="方正仿宋简体"/>
                <w:color w:val="333333"/>
                <w:kern w:val="0"/>
                <w:sz w:val="18"/>
                <w:szCs w:val="18"/>
              </w:rPr>
            </w:pPr>
          </w:p>
        </w:tc>
      </w:tr>
      <w:tr>
        <w:tblPrEx>
          <w:tblCellMar>
            <w:top w:w="0" w:type="dxa"/>
            <w:left w:w="108" w:type="dxa"/>
            <w:bottom w:w="0" w:type="dxa"/>
            <w:right w:w="108" w:type="dxa"/>
          </w:tblCellMar>
        </w:tblPrEx>
        <w:trPr>
          <w:jc w:val="center"/>
        </w:trPr>
        <w:tc>
          <w:tcPr>
            <w:tcW w:w="1726" w:type="dxa"/>
            <w:tcBorders>
              <w:top w:val="single" w:color="000000" w:sz="4" w:space="0"/>
              <w:left w:val="single" w:color="000000" w:sz="4" w:space="0"/>
              <w:bottom w:val="single" w:color="000000" w:sz="4" w:space="0"/>
              <w:right w:val="single" w:color="000000" w:sz="4" w:space="0"/>
            </w:tcBorders>
          </w:tcPr>
          <w:p>
            <w:pPr>
              <w:widowControl/>
              <w:spacing w:line="320" w:lineRule="atLeast"/>
              <w:jc w:val="center"/>
              <w:rPr>
                <w:rFonts w:eastAsia="方正仿宋简体"/>
                <w:color w:val="333333"/>
                <w:kern w:val="0"/>
                <w:sz w:val="18"/>
                <w:szCs w:val="18"/>
              </w:rPr>
            </w:pPr>
            <w:r>
              <w:rPr>
                <w:rFonts w:eastAsia="方正仿宋简体"/>
                <w:color w:val="333333"/>
                <w:kern w:val="0"/>
                <w:szCs w:val="21"/>
              </w:rPr>
              <w:t>证件类型及号码</w:t>
            </w:r>
            <w:r>
              <w:rPr>
                <w:rFonts w:eastAsia="方正仿宋简体"/>
                <w:color w:val="333333"/>
                <w:kern w:val="0"/>
                <w:sz w:val="18"/>
                <w:szCs w:val="18"/>
              </w:rPr>
              <w:t xml:space="preserve"> </w:t>
            </w:r>
          </w:p>
        </w:tc>
        <w:tc>
          <w:tcPr>
            <w:tcW w:w="7783" w:type="dxa"/>
            <w:gridSpan w:val="13"/>
            <w:tcBorders>
              <w:top w:val="single" w:color="000000" w:sz="4" w:space="0"/>
              <w:left w:val="nil"/>
              <w:bottom w:val="single" w:color="000000" w:sz="4" w:space="0"/>
              <w:right w:val="single" w:color="000000" w:sz="4" w:space="0"/>
            </w:tcBorders>
          </w:tcPr>
          <w:p>
            <w:pPr>
              <w:widowControl/>
              <w:jc w:val="left"/>
              <w:rPr>
                <w:rFonts w:eastAsia="方正仿宋简体"/>
                <w:color w:val="333333"/>
                <w:kern w:val="0"/>
                <w:sz w:val="18"/>
                <w:szCs w:val="18"/>
              </w:rPr>
            </w:pPr>
          </w:p>
        </w:tc>
      </w:tr>
      <w:tr>
        <w:tblPrEx>
          <w:tblCellMar>
            <w:top w:w="0" w:type="dxa"/>
            <w:left w:w="108" w:type="dxa"/>
            <w:bottom w:w="0" w:type="dxa"/>
            <w:right w:w="108" w:type="dxa"/>
          </w:tblCellMar>
        </w:tblPrEx>
        <w:trPr>
          <w:jc w:val="center"/>
        </w:trPr>
        <w:tc>
          <w:tcPr>
            <w:tcW w:w="1726" w:type="dxa"/>
            <w:tcBorders>
              <w:top w:val="single" w:color="000000" w:sz="4" w:space="0"/>
              <w:left w:val="single" w:color="000000" w:sz="4" w:space="0"/>
              <w:bottom w:val="single" w:color="000000" w:sz="4" w:space="0"/>
              <w:right w:val="single" w:color="000000" w:sz="4" w:space="0"/>
            </w:tcBorders>
          </w:tcPr>
          <w:p>
            <w:pPr>
              <w:widowControl/>
              <w:spacing w:line="320" w:lineRule="atLeast"/>
              <w:jc w:val="center"/>
              <w:rPr>
                <w:rFonts w:eastAsia="方正仿宋简体"/>
                <w:color w:val="333333"/>
                <w:kern w:val="0"/>
                <w:sz w:val="18"/>
                <w:szCs w:val="18"/>
              </w:rPr>
            </w:pPr>
            <w:r>
              <w:rPr>
                <w:rFonts w:eastAsia="方正仿宋简体"/>
                <w:color w:val="333333"/>
                <w:kern w:val="0"/>
                <w:szCs w:val="21"/>
              </w:rPr>
              <w:t>联系地址</w:t>
            </w:r>
            <w:r>
              <w:rPr>
                <w:rFonts w:eastAsia="方正仿宋简体"/>
                <w:color w:val="333333"/>
                <w:kern w:val="0"/>
                <w:sz w:val="18"/>
                <w:szCs w:val="18"/>
              </w:rPr>
              <w:t xml:space="preserve"> </w:t>
            </w:r>
          </w:p>
        </w:tc>
        <w:tc>
          <w:tcPr>
            <w:tcW w:w="3975" w:type="dxa"/>
            <w:gridSpan w:val="7"/>
            <w:tcBorders>
              <w:top w:val="single" w:color="000000" w:sz="4" w:space="0"/>
              <w:left w:val="nil"/>
              <w:bottom w:val="single" w:color="000000" w:sz="4" w:space="0"/>
              <w:right w:val="single" w:color="000000" w:sz="4" w:space="0"/>
            </w:tcBorders>
          </w:tcPr>
          <w:p>
            <w:pPr>
              <w:widowControl/>
              <w:jc w:val="left"/>
              <w:rPr>
                <w:rFonts w:eastAsia="方正仿宋简体"/>
                <w:color w:val="333333"/>
                <w:kern w:val="0"/>
                <w:sz w:val="18"/>
                <w:szCs w:val="18"/>
              </w:rPr>
            </w:pPr>
          </w:p>
        </w:tc>
        <w:tc>
          <w:tcPr>
            <w:tcW w:w="1177" w:type="dxa"/>
            <w:gridSpan w:val="3"/>
            <w:tcBorders>
              <w:top w:val="single" w:color="000000" w:sz="4" w:space="0"/>
              <w:left w:val="nil"/>
              <w:bottom w:val="single" w:color="000000" w:sz="4" w:space="0"/>
              <w:right w:val="single" w:color="000000" w:sz="4" w:space="0"/>
            </w:tcBorders>
          </w:tcPr>
          <w:p>
            <w:pPr>
              <w:widowControl/>
              <w:spacing w:line="320" w:lineRule="atLeast"/>
              <w:jc w:val="center"/>
              <w:rPr>
                <w:rFonts w:eastAsia="方正仿宋简体"/>
                <w:color w:val="333333"/>
                <w:kern w:val="0"/>
                <w:sz w:val="18"/>
                <w:szCs w:val="18"/>
              </w:rPr>
            </w:pPr>
            <w:r>
              <w:rPr>
                <w:rFonts w:eastAsia="方正仿宋简体"/>
                <w:color w:val="333333"/>
                <w:kern w:val="0"/>
                <w:szCs w:val="21"/>
              </w:rPr>
              <w:t>邮政编码</w:t>
            </w:r>
            <w:r>
              <w:rPr>
                <w:rFonts w:eastAsia="方正仿宋简体"/>
                <w:color w:val="333333"/>
                <w:kern w:val="0"/>
                <w:sz w:val="18"/>
                <w:szCs w:val="18"/>
              </w:rPr>
              <w:t xml:space="preserve"> </w:t>
            </w:r>
          </w:p>
        </w:tc>
        <w:tc>
          <w:tcPr>
            <w:tcW w:w="2631" w:type="dxa"/>
            <w:gridSpan w:val="3"/>
            <w:tcBorders>
              <w:top w:val="single" w:color="000000" w:sz="4" w:space="0"/>
              <w:left w:val="nil"/>
              <w:bottom w:val="single" w:color="000000" w:sz="4" w:space="0"/>
              <w:right w:val="single" w:color="000000" w:sz="4" w:space="0"/>
            </w:tcBorders>
          </w:tcPr>
          <w:p>
            <w:pPr>
              <w:widowControl/>
              <w:jc w:val="left"/>
              <w:rPr>
                <w:rFonts w:eastAsia="方正仿宋简体"/>
                <w:color w:val="333333"/>
                <w:kern w:val="0"/>
                <w:sz w:val="18"/>
                <w:szCs w:val="18"/>
              </w:rPr>
            </w:pPr>
          </w:p>
        </w:tc>
      </w:tr>
      <w:tr>
        <w:tblPrEx>
          <w:tblCellMar>
            <w:top w:w="0" w:type="dxa"/>
            <w:left w:w="108" w:type="dxa"/>
            <w:bottom w:w="0" w:type="dxa"/>
            <w:right w:w="108" w:type="dxa"/>
          </w:tblCellMar>
        </w:tblPrEx>
        <w:trPr>
          <w:jc w:val="center"/>
        </w:trPr>
        <w:tc>
          <w:tcPr>
            <w:tcW w:w="9509" w:type="dxa"/>
            <w:gridSpan w:val="14"/>
            <w:tcBorders>
              <w:top w:val="single" w:color="000000" w:sz="4" w:space="0"/>
              <w:left w:val="single" w:color="000000" w:sz="4" w:space="0"/>
              <w:bottom w:val="single" w:color="000000" w:sz="4" w:space="0"/>
              <w:right w:val="single" w:color="000000" w:sz="4" w:space="0"/>
            </w:tcBorders>
          </w:tcPr>
          <w:p>
            <w:pPr>
              <w:widowControl/>
              <w:spacing w:line="320" w:lineRule="atLeast"/>
              <w:jc w:val="center"/>
              <w:rPr>
                <w:rFonts w:eastAsia="方正仿宋简体"/>
                <w:color w:val="333333"/>
                <w:kern w:val="0"/>
                <w:sz w:val="18"/>
                <w:szCs w:val="18"/>
              </w:rPr>
            </w:pPr>
            <w:r>
              <w:rPr>
                <w:rFonts w:eastAsia="方正仿宋简体"/>
                <w:color w:val="333333"/>
                <w:kern w:val="0"/>
                <w:szCs w:val="21"/>
              </w:rPr>
              <w:t>客户/投资者期权银行结算账户</w:t>
            </w:r>
            <w:r>
              <w:rPr>
                <w:rFonts w:eastAsia="方正仿宋简体"/>
                <w:color w:val="333333"/>
                <w:kern w:val="0"/>
                <w:sz w:val="18"/>
                <w:szCs w:val="18"/>
              </w:rPr>
              <w:t xml:space="preserve"> </w:t>
            </w:r>
          </w:p>
        </w:tc>
      </w:tr>
      <w:tr>
        <w:tblPrEx>
          <w:tblCellMar>
            <w:top w:w="0" w:type="dxa"/>
            <w:left w:w="108" w:type="dxa"/>
            <w:bottom w:w="0" w:type="dxa"/>
            <w:right w:w="108" w:type="dxa"/>
          </w:tblCellMar>
        </w:tblPrEx>
        <w:trPr>
          <w:trHeight w:val="417" w:hRule="atLeast"/>
          <w:jc w:val="center"/>
        </w:trPr>
        <w:tc>
          <w:tcPr>
            <w:tcW w:w="1726" w:type="dxa"/>
            <w:tcBorders>
              <w:top w:val="single" w:color="000000" w:sz="4" w:space="0"/>
              <w:left w:val="single" w:color="000000" w:sz="4" w:space="0"/>
              <w:bottom w:val="single" w:color="000000" w:sz="4" w:space="0"/>
              <w:right w:val="single" w:color="000000" w:sz="4" w:space="0"/>
            </w:tcBorders>
            <w:vAlign w:val="center"/>
          </w:tcPr>
          <w:p>
            <w:pPr>
              <w:widowControl/>
              <w:spacing w:line="320" w:lineRule="atLeast"/>
              <w:jc w:val="center"/>
              <w:rPr>
                <w:rFonts w:eastAsia="方正仿宋简体"/>
                <w:color w:val="333333"/>
                <w:kern w:val="0"/>
                <w:sz w:val="18"/>
                <w:szCs w:val="18"/>
              </w:rPr>
            </w:pPr>
            <w:r>
              <w:rPr>
                <w:rFonts w:eastAsia="方正仿宋简体"/>
                <w:color w:val="333333"/>
                <w:kern w:val="0"/>
                <w:szCs w:val="21"/>
              </w:rPr>
              <w:t>户名（全称）</w:t>
            </w:r>
            <w:r>
              <w:rPr>
                <w:rFonts w:eastAsia="方正仿宋简体"/>
                <w:color w:val="333333"/>
                <w:kern w:val="0"/>
                <w:sz w:val="18"/>
                <w:szCs w:val="18"/>
              </w:rPr>
              <w:t xml:space="preserve"> </w:t>
            </w:r>
          </w:p>
        </w:tc>
        <w:tc>
          <w:tcPr>
            <w:tcW w:w="2833" w:type="dxa"/>
            <w:gridSpan w:val="6"/>
            <w:tcBorders>
              <w:top w:val="single" w:color="000000" w:sz="4" w:space="0"/>
              <w:left w:val="nil"/>
              <w:bottom w:val="single" w:color="000000" w:sz="4" w:space="0"/>
              <w:right w:val="single" w:color="000000" w:sz="4" w:space="0"/>
            </w:tcBorders>
            <w:vAlign w:val="center"/>
          </w:tcPr>
          <w:p>
            <w:pPr>
              <w:widowControl/>
              <w:spacing w:line="320" w:lineRule="atLeast"/>
              <w:jc w:val="center"/>
              <w:rPr>
                <w:rFonts w:eastAsia="方正仿宋简体"/>
                <w:color w:val="333333"/>
                <w:kern w:val="0"/>
                <w:sz w:val="18"/>
                <w:szCs w:val="18"/>
              </w:rPr>
            </w:pPr>
            <w:r>
              <w:rPr>
                <w:rFonts w:eastAsia="方正仿宋简体"/>
                <w:color w:val="333333"/>
                <w:kern w:val="0"/>
                <w:szCs w:val="21"/>
              </w:rPr>
              <w:t>期权保证金结算银行名称（写明具体开户网点）</w:t>
            </w:r>
            <w:r>
              <w:rPr>
                <w:rFonts w:eastAsia="方正仿宋简体"/>
                <w:color w:val="333333"/>
                <w:kern w:val="0"/>
                <w:sz w:val="18"/>
                <w:szCs w:val="18"/>
              </w:rPr>
              <w:t xml:space="preserve"> </w:t>
            </w:r>
          </w:p>
        </w:tc>
        <w:tc>
          <w:tcPr>
            <w:tcW w:w="1440" w:type="dxa"/>
            <w:gridSpan w:val="2"/>
            <w:tcBorders>
              <w:top w:val="single" w:color="000000" w:sz="4" w:space="0"/>
              <w:left w:val="nil"/>
              <w:bottom w:val="single" w:color="000000" w:sz="4" w:space="0"/>
              <w:right w:val="single" w:color="000000" w:sz="4" w:space="0"/>
            </w:tcBorders>
            <w:vAlign w:val="center"/>
          </w:tcPr>
          <w:p>
            <w:pPr>
              <w:widowControl/>
              <w:spacing w:line="320" w:lineRule="atLeast"/>
              <w:jc w:val="center"/>
              <w:rPr>
                <w:rFonts w:eastAsia="方正仿宋简体"/>
                <w:color w:val="333333"/>
                <w:kern w:val="0"/>
                <w:sz w:val="18"/>
                <w:szCs w:val="18"/>
              </w:rPr>
            </w:pPr>
            <w:r>
              <w:rPr>
                <w:rFonts w:eastAsia="方正仿宋简体"/>
                <w:color w:val="333333"/>
                <w:kern w:val="0"/>
                <w:szCs w:val="21"/>
              </w:rPr>
              <w:t>投资者期权银行结算账户账号</w:t>
            </w:r>
            <w:r>
              <w:rPr>
                <w:rFonts w:eastAsia="方正仿宋简体"/>
                <w:color w:val="333333"/>
                <w:kern w:val="0"/>
                <w:sz w:val="18"/>
                <w:szCs w:val="18"/>
              </w:rPr>
              <w:t xml:space="preserve"> </w:t>
            </w:r>
          </w:p>
        </w:tc>
        <w:tc>
          <w:tcPr>
            <w:tcW w:w="1440" w:type="dxa"/>
            <w:gridSpan w:val="3"/>
            <w:tcBorders>
              <w:top w:val="single" w:color="000000" w:sz="4" w:space="0"/>
              <w:left w:val="nil"/>
              <w:bottom w:val="single" w:color="000000" w:sz="4" w:space="0"/>
              <w:right w:val="single" w:color="000000" w:sz="4" w:space="0"/>
            </w:tcBorders>
            <w:vAlign w:val="center"/>
          </w:tcPr>
          <w:p>
            <w:pPr>
              <w:widowControl/>
              <w:spacing w:line="320" w:lineRule="atLeast"/>
              <w:jc w:val="center"/>
              <w:rPr>
                <w:rFonts w:eastAsia="方正仿宋简体"/>
                <w:color w:val="333333"/>
                <w:kern w:val="0"/>
                <w:sz w:val="18"/>
                <w:szCs w:val="18"/>
              </w:rPr>
            </w:pPr>
            <w:r>
              <w:rPr>
                <w:rFonts w:eastAsia="方正仿宋简体"/>
                <w:color w:val="333333"/>
                <w:kern w:val="0"/>
                <w:szCs w:val="21"/>
              </w:rPr>
              <w:t>此账户是否开通银衍转账（Y/N）</w:t>
            </w:r>
            <w:r>
              <w:rPr>
                <w:rFonts w:eastAsia="方正仿宋简体"/>
                <w:color w:val="333333"/>
                <w:kern w:val="0"/>
                <w:sz w:val="18"/>
                <w:szCs w:val="18"/>
              </w:rPr>
              <w:t xml:space="preserve"> </w:t>
            </w:r>
          </w:p>
        </w:tc>
        <w:tc>
          <w:tcPr>
            <w:tcW w:w="2070" w:type="dxa"/>
            <w:gridSpan w:val="2"/>
            <w:tcBorders>
              <w:top w:val="single" w:color="000000" w:sz="4" w:space="0"/>
              <w:left w:val="nil"/>
              <w:bottom w:val="single" w:color="000000" w:sz="4" w:space="0"/>
              <w:right w:val="single" w:color="000000" w:sz="4" w:space="0"/>
            </w:tcBorders>
            <w:vAlign w:val="center"/>
          </w:tcPr>
          <w:p>
            <w:pPr>
              <w:widowControl/>
              <w:spacing w:line="320" w:lineRule="atLeast"/>
              <w:jc w:val="center"/>
              <w:rPr>
                <w:rFonts w:eastAsia="方正仿宋简体"/>
                <w:color w:val="333333"/>
                <w:kern w:val="0"/>
                <w:sz w:val="18"/>
                <w:szCs w:val="18"/>
              </w:rPr>
            </w:pPr>
            <w:r>
              <w:rPr>
                <w:rFonts w:eastAsia="方正仿宋简体"/>
                <w:color w:val="333333"/>
                <w:kern w:val="0"/>
                <w:szCs w:val="21"/>
              </w:rPr>
              <w:t>此账户是否开通网上银行（Y/N）</w:t>
            </w:r>
            <w:r>
              <w:rPr>
                <w:rFonts w:eastAsia="方正仿宋简体"/>
                <w:color w:val="333333"/>
                <w:kern w:val="0"/>
                <w:sz w:val="18"/>
                <w:szCs w:val="18"/>
              </w:rPr>
              <w:t xml:space="preserve"> </w:t>
            </w:r>
          </w:p>
        </w:tc>
      </w:tr>
      <w:tr>
        <w:tblPrEx>
          <w:tblCellMar>
            <w:top w:w="0" w:type="dxa"/>
            <w:left w:w="108" w:type="dxa"/>
            <w:bottom w:w="0" w:type="dxa"/>
            <w:right w:w="108" w:type="dxa"/>
          </w:tblCellMar>
        </w:tblPrEx>
        <w:trPr>
          <w:trHeight w:val="414" w:hRule="atLeast"/>
          <w:jc w:val="center"/>
        </w:trPr>
        <w:tc>
          <w:tcPr>
            <w:tcW w:w="1726" w:type="dxa"/>
            <w:tcBorders>
              <w:top w:val="single" w:color="000000" w:sz="4" w:space="0"/>
              <w:left w:val="single" w:color="000000" w:sz="4" w:space="0"/>
              <w:bottom w:val="single" w:color="000000" w:sz="4" w:space="0"/>
              <w:right w:val="single" w:color="000000" w:sz="4" w:space="0"/>
            </w:tcBorders>
            <w:vAlign w:val="center"/>
          </w:tcPr>
          <w:p>
            <w:pPr>
              <w:widowControl/>
              <w:jc w:val="left"/>
              <w:rPr>
                <w:rFonts w:eastAsia="方正仿宋简体"/>
                <w:color w:val="333333"/>
                <w:kern w:val="0"/>
                <w:sz w:val="18"/>
                <w:szCs w:val="18"/>
              </w:rPr>
            </w:pPr>
          </w:p>
        </w:tc>
        <w:tc>
          <w:tcPr>
            <w:tcW w:w="2833" w:type="dxa"/>
            <w:gridSpan w:val="6"/>
            <w:tcBorders>
              <w:top w:val="single" w:color="000000" w:sz="4" w:space="0"/>
              <w:left w:val="nil"/>
              <w:bottom w:val="single" w:color="000000" w:sz="4" w:space="0"/>
              <w:right w:val="single" w:color="000000" w:sz="4" w:space="0"/>
            </w:tcBorders>
            <w:vAlign w:val="center"/>
          </w:tcPr>
          <w:p>
            <w:pPr>
              <w:widowControl/>
              <w:jc w:val="left"/>
              <w:rPr>
                <w:rFonts w:eastAsia="方正仿宋简体"/>
                <w:color w:val="333333"/>
                <w:kern w:val="0"/>
                <w:sz w:val="18"/>
                <w:szCs w:val="18"/>
              </w:rPr>
            </w:pPr>
          </w:p>
        </w:tc>
        <w:tc>
          <w:tcPr>
            <w:tcW w:w="1440" w:type="dxa"/>
            <w:gridSpan w:val="2"/>
            <w:tcBorders>
              <w:top w:val="single" w:color="000000" w:sz="4" w:space="0"/>
              <w:left w:val="nil"/>
              <w:bottom w:val="single" w:color="000000" w:sz="4" w:space="0"/>
              <w:right w:val="single" w:color="000000" w:sz="4" w:space="0"/>
            </w:tcBorders>
            <w:vAlign w:val="center"/>
          </w:tcPr>
          <w:p>
            <w:pPr>
              <w:widowControl/>
              <w:jc w:val="left"/>
              <w:rPr>
                <w:rFonts w:eastAsia="方正仿宋简体"/>
                <w:color w:val="333333"/>
                <w:kern w:val="0"/>
                <w:sz w:val="18"/>
                <w:szCs w:val="18"/>
              </w:rPr>
            </w:pPr>
          </w:p>
        </w:tc>
        <w:tc>
          <w:tcPr>
            <w:tcW w:w="1440" w:type="dxa"/>
            <w:gridSpan w:val="3"/>
            <w:tcBorders>
              <w:top w:val="single" w:color="000000" w:sz="4" w:space="0"/>
              <w:left w:val="nil"/>
              <w:bottom w:val="single" w:color="000000" w:sz="4" w:space="0"/>
              <w:right w:val="single" w:color="000000" w:sz="4" w:space="0"/>
            </w:tcBorders>
            <w:vAlign w:val="center"/>
          </w:tcPr>
          <w:p>
            <w:pPr>
              <w:widowControl/>
              <w:jc w:val="left"/>
              <w:rPr>
                <w:rFonts w:eastAsia="方正仿宋简体"/>
                <w:color w:val="333333"/>
                <w:kern w:val="0"/>
                <w:sz w:val="18"/>
                <w:szCs w:val="18"/>
              </w:rPr>
            </w:pPr>
          </w:p>
        </w:tc>
        <w:tc>
          <w:tcPr>
            <w:tcW w:w="2070" w:type="dxa"/>
            <w:gridSpan w:val="2"/>
            <w:tcBorders>
              <w:top w:val="single" w:color="000000" w:sz="4" w:space="0"/>
              <w:left w:val="nil"/>
              <w:bottom w:val="single" w:color="000000" w:sz="4" w:space="0"/>
              <w:right w:val="single" w:color="000000" w:sz="4" w:space="0"/>
            </w:tcBorders>
            <w:vAlign w:val="center"/>
          </w:tcPr>
          <w:p>
            <w:pPr>
              <w:widowControl/>
              <w:jc w:val="left"/>
              <w:rPr>
                <w:rFonts w:eastAsia="方正仿宋简体"/>
                <w:color w:val="333333"/>
                <w:kern w:val="0"/>
                <w:sz w:val="18"/>
                <w:szCs w:val="18"/>
              </w:rPr>
            </w:pPr>
          </w:p>
        </w:tc>
      </w:tr>
      <w:tr>
        <w:tblPrEx>
          <w:tblCellMar>
            <w:top w:w="0" w:type="dxa"/>
            <w:left w:w="108" w:type="dxa"/>
            <w:bottom w:w="0" w:type="dxa"/>
            <w:right w:w="108" w:type="dxa"/>
          </w:tblCellMar>
        </w:tblPrEx>
        <w:trPr>
          <w:trHeight w:val="414" w:hRule="atLeast"/>
          <w:jc w:val="center"/>
        </w:trPr>
        <w:tc>
          <w:tcPr>
            <w:tcW w:w="1726" w:type="dxa"/>
            <w:tcBorders>
              <w:top w:val="single" w:color="000000" w:sz="4" w:space="0"/>
              <w:left w:val="single" w:color="000000" w:sz="4" w:space="0"/>
              <w:bottom w:val="single" w:color="000000" w:sz="4" w:space="0"/>
              <w:right w:val="single" w:color="000000" w:sz="4" w:space="0"/>
            </w:tcBorders>
            <w:vAlign w:val="center"/>
          </w:tcPr>
          <w:p>
            <w:pPr>
              <w:widowControl/>
              <w:jc w:val="left"/>
              <w:rPr>
                <w:rFonts w:eastAsia="方正仿宋简体"/>
                <w:color w:val="333333"/>
                <w:kern w:val="0"/>
                <w:sz w:val="18"/>
                <w:szCs w:val="18"/>
              </w:rPr>
            </w:pPr>
          </w:p>
        </w:tc>
        <w:tc>
          <w:tcPr>
            <w:tcW w:w="2833" w:type="dxa"/>
            <w:gridSpan w:val="6"/>
            <w:tcBorders>
              <w:top w:val="single" w:color="000000" w:sz="4" w:space="0"/>
              <w:left w:val="nil"/>
              <w:bottom w:val="single" w:color="000000" w:sz="4" w:space="0"/>
              <w:right w:val="single" w:color="000000" w:sz="4" w:space="0"/>
            </w:tcBorders>
            <w:vAlign w:val="center"/>
          </w:tcPr>
          <w:p>
            <w:pPr>
              <w:widowControl/>
              <w:jc w:val="left"/>
              <w:rPr>
                <w:rFonts w:eastAsia="方正仿宋简体"/>
                <w:color w:val="333333"/>
                <w:kern w:val="0"/>
                <w:sz w:val="18"/>
                <w:szCs w:val="18"/>
              </w:rPr>
            </w:pPr>
          </w:p>
        </w:tc>
        <w:tc>
          <w:tcPr>
            <w:tcW w:w="1440" w:type="dxa"/>
            <w:gridSpan w:val="2"/>
            <w:tcBorders>
              <w:top w:val="single" w:color="000000" w:sz="4" w:space="0"/>
              <w:left w:val="nil"/>
              <w:bottom w:val="single" w:color="000000" w:sz="4" w:space="0"/>
              <w:right w:val="single" w:color="000000" w:sz="4" w:space="0"/>
            </w:tcBorders>
            <w:vAlign w:val="center"/>
          </w:tcPr>
          <w:p>
            <w:pPr>
              <w:widowControl/>
              <w:jc w:val="left"/>
              <w:rPr>
                <w:rFonts w:eastAsia="方正仿宋简体"/>
                <w:color w:val="333333"/>
                <w:kern w:val="0"/>
                <w:sz w:val="18"/>
                <w:szCs w:val="18"/>
              </w:rPr>
            </w:pPr>
          </w:p>
        </w:tc>
        <w:tc>
          <w:tcPr>
            <w:tcW w:w="1440" w:type="dxa"/>
            <w:gridSpan w:val="3"/>
            <w:tcBorders>
              <w:top w:val="single" w:color="000000" w:sz="4" w:space="0"/>
              <w:left w:val="nil"/>
              <w:bottom w:val="single" w:color="000000" w:sz="4" w:space="0"/>
              <w:right w:val="single" w:color="000000" w:sz="4" w:space="0"/>
            </w:tcBorders>
            <w:vAlign w:val="center"/>
          </w:tcPr>
          <w:p>
            <w:pPr>
              <w:widowControl/>
              <w:jc w:val="left"/>
              <w:rPr>
                <w:rFonts w:eastAsia="方正仿宋简体"/>
                <w:color w:val="333333"/>
                <w:kern w:val="0"/>
                <w:sz w:val="18"/>
                <w:szCs w:val="18"/>
              </w:rPr>
            </w:pPr>
          </w:p>
        </w:tc>
        <w:tc>
          <w:tcPr>
            <w:tcW w:w="2070" w:type="dxa"/>
            <w:gridSpan w:val="2"/>
            <w:tcBorders>
              <w:top w:val="single" w:color="000000" w:sz="4" w:space="0"/>
              <w:left w:val="nil"/>
              <w:bottom w:val="single" w:color="000000" w:sz="4" w:space="0"/>
              <w:right w:val="single" w:color="000000" w:sz="4" w:space="0"/>
            </w:tcBorders>
            <w:vAlign w:val="center"/>
          </w:tcPr>
          <w:p>
            <w:pPr>
              <w:widowControl/>
              <w:jc w:val="left"/>
              <w:rPr>
                <w:rFonts w:eastAsia="方正仿宋简体"/>
                <w:color w:val="333333"/>
                <w:kern w:val="0"/>
                <w:sz w:val="18"/>
                <w:szCs w:val="18"/>
              </w:rPr>
            </w:pPr>
          </w:p>
        </w:tc>
      </w:tr>
      <w:tr>
        <w:tblPrEx>
          <w:tblCellMar>
            <w:top w:w="0" w:type="dxa"/>
            <w:left w:w="108" w:type="dxa"/>
            <w:bottom w:w="0" w:type="dxa"/>
            <w:right w:w="108" w:type="dxa"/>
          </w:tblCellMar>
        </w:tblPrEx>
        <w:trPr>
          <w:trHeight w:val="414" w:hRule="atLeast"/>
          <w:jc w:val="center"/>
        </w:trPr>
        <w:tc>
          <w:tcPr>
            <w:tcW w:w="9509" w:type="dxa"/>
            <w:gridSpan w:val="14"/>
            <w:tcBorders>
              <w:top w:val="single" w:color="000000" w:sz="4" w:space="0"/>
              <w:left w:val="single" w:color="000000" w:sz="4" w:space="0"/>
              <w:bottom w:val="single" w:color="000000" w:sz="4" w:space="0"/>
              <w:right w:val="single" w:color="000000" w:sz="4" w:space="0"/>
            </w:tcBorders>
          </w:tcPr>
          <w:p>
            <w:pPr>
              <w:widowControl/>
              <w:spacing w:line="320" w:lineRule="atLeast"/>
              <w:jc w:val="left"/>
              <w:rPr>
                <w:rFonts w:eastAsia="方正仿宋简体"/>
                <w:color w:val="333333"/>
                <w:kern w:val="0"/>
                <w:sz w:val="18"/>
                <w:szCs w:val="18"/>
              </w:rPr>
            </w:pPr>
            <w:r>
              <w:rPr>
                <w:rFonts w:eastAsia="方正仿宋简体"/>
                <w:color w:val="333333"/>
                <w:kern w:val="0"/>
                <w:szCs w:val="21"/>
              </w:rPr>
              <w:t>声明：以上为本人登记的用于股票期权交易出入金的投资者期权银行结算账户，本人在期权经营机构的出入金均通过以上账户办理。</w:t>
            </w:r>
            <w:r>
              <w:rPr>
                <w:rFonts w:eastAsia="方正仿宋简体"/>
                <w:color w:val="333333"/>
                <w:kern w:val="0"/>
                <w:sz w:val="18"/>
                <w:szCs w:val="18"/>
              </w:rPr>
              <w:t xml:space="preserve"> </w:t>
            </w:r>
            <w:r>
              <w:rPr>
                <w:rFonts w:eastAsia="方正仿宋简体"/>
                <w:color w:val="333333"/>
                <w:kern w:val="0"/>
                <w:szCs w:val="21"/>
              </w:rPr>
              <w:t xml:space="preserve">   </w:t>
            </w:r>
            <w:r>
              <w:rPr>
                <w:rFonts w:eastAsia="方正仿宋简体"/>
                <w:color w:val="333333"/>
                <w:kern w:val="0"/>
                <w:sz w:val="18"/>
                <w:szCs w:val="18"/>
              </w:rPr>
              <w:t xml:space="preserve"> </w:t>
            </w:r>
          </w:p>
        </w:tc>
      </w:tr>
      <w:tr>
        <w:tblPrEx>
          <w:tblCellMar>
            <w:top w:w="0" w:type="dxa"/>
            <w:left w:w="108" w:type="dxa"/>
            <w:bottom w:w="0" w:type="dxa"/>
            <w:right w:w="108" w:type="dxa"/>
          </w:tblCellMar>
        </w:tblPrEx>
        <w:trPr>
          <w:jc w:val="center"/>
        </w:trPr>
        <w:tc>
          <w:tcPr>
            <w:tcW w:w="9509" w:type="dxa"/>
            <w:gridSpan w:val="14"/>
            <w:tcBorders>
              <w:top w:val="single" w:color="000000" w:sz="4" w:space="0"/>
              <w:left w:val="single" w:color="000000" w:sz="4" w:space="0"/>
              <w:bottom w:val="single" w:color="000000" w:sz="4" w:space="0"/>
              <w:right w:val="single" w:color="000000" w:sz="4" w:space="0"/>
            </w:tcBorders>
          </w:tcPr>
          <w:p>
            <w:pPr>
              <w:widowControl/>
              <w:spacing w:line="320" w:lineRule="atLeast"/>
              <w:ind w:firstLine="420"/>
              <w:jc w:val="left"/>
              <w:rPr>
                <w:rFonts w:eastAsia="方正仿宋简体"/>
                <w:color w:val="333333"/>
                <w:kern w:val="0"/>
                <w:sz w:val="18"/>
                <w:szCs w:val="18"/>
              </w:rPr>
            </w:pPr>
            <w:r>
              <w:rPr>
                <w:rFonts w:eastAsia="方正仿宋简体"/>
                <w:color w:val="333333"/>
                <w:kern w:val="0"/>
                <w:szCs w:val="21"/>
              </w:rPr>
              <w:t>本人有能力承担因参与股票期权交易而产生的风险，并保证参与股票期权交易资金来源的合法性和所提供资料的真实性，承诺遵守深交所及中国结算的各项业务规则，自愿承担股票期权交易结果。</w:t>
            </w:r>
            <w:r>
              <w:rPr>
                <w:rFonts w:eastAsia="方正仿宋简体"/>
                <w:color w:val="333333"/>
                <w:kern w:val="0"/>
                <w:sz w:val="18"/>
                <w:szCs w:val="18"/>
              </w:rPr>
              <w:t xml:space="preserve"> </w:t>
            </w:r>
          </w:p>
          <w:p>
            <w:pPr>
              <w:widowControl/>
              <w:spacing w:line="320" w:lineRule="atLeast"/>
              <w:jc w:val="left"/>
              <w:rPr>
                <w:rFonts w:eastAsia="方正仿宋简体"/>
                <w:color w:val="333333"/>
                <w:kern w:val="0"/>
                <w:szCs w:val="21"/>
              </w:rPr>
            </w:pPr>
            <w:r>
              <w:rPr>
                <w:rFonts w:eastAsia="方正仿宋简体"/>
                <w:color w:val="333333"/>
                <w:kern w:val="0"/>
                <w:szCs w:val="21"/>
              </w:rPr>
              <w:t xml:space="preserve">申请人签名：     </w:t>
            </w:r>
          </w:p>
          <w:p>
            <w:pPr>
              <w:widowControl/>
              <w:spacing w:line="320" w:lineRule="atLeast"/>
              <w:jc w:val="left"/>
              <w:rPr>
                <w:rFonts w:eastAsia="方正仿宋简体"/>
                <w:color w:val="333333"/>
                <w:kern w:val="0"/>
                <w:sz w:val="18"/>
                <w:szCs w:val="18"/>
              </w:rPr>
            </w:pPr>
            <w:r>
              <w:rPr>
                <w:rFonts w:eastAsia="方正仿宋简体"/>
                <w:color w:val="333333"/>
                <w:kern w:val="0"/>
                <w:szCs w:val="21"/>
              </w:rPr>
              <w:t xml:space="preserve">                                                                申请日期：    年  月  日</w:t>
            </w:r>
            <w:r>
              <w:rPr>
                <w:rFonts w:eastAsia="方正仿宋简体"/>
                <w:color w:val="333333"/>
                <w:kern w:val="0"/>
                <w:sz w:val="18"/>
                <w:szCs w:val="18"/>
              </w:rPr>
              <w:t xml:space="preserve"> </w:t>
            </w:r>
          </w:p>
        </w:tc>
      </w:tr>
    </w:tbl>
    <w:p>
      <w:pPr>
        <w:widowControl/>
        <w:shd w:val="clear" w:color="auto" w:fill="FFFFFF"/>
        <w:spacing w:line="560" w:lineRule="atLeast"/>
        <w:ind w:firstLine="600"/>
        <w:jc w:val="left"/>
        <w:rPr>
          <w:rFonts w:eastAsia="方正仿宋简体"/>
          <w:color w:val="000000"/>
          <w:spacing w:val="-6"/>
          <w:kern w:val="0"/>
          <w:sz w:val="30"/>
          <w:szCs w:val="30"/>
        </w:rPr>
      </w:pPr>
      <w:r>
        <w:rPr>
          <w:rFonts w:eastAsia="方正仿宋简体"/>
          <w:color w:val="000000"/>
          <w:spacing w:val="-6"/>
          <w:kern w:val="0"/>
          <w:sz w:val="30"/>
          <w:szCs w:val="30"/>
        </w:rPr>
        <w:t>说明：</w:t>
      </w:r>
    </w:p>
    <w:p>
      <w:pPr>
        <w:widowControl/>
        <w:shd w:val="clear" w:color="auto" w:fill="FFFFFF"/>
        <w:spacing w:line="560" w:lineRule="atLeast"/>
        <w:ind w:firstLine="600"/>
        <w:jc w:val="left"/>
        <w:rPr>
          <w:rFonts w:eastAsia="方正仿宋简体"/>
          <w:color w:val="000000"/>
          <w:spacing w:val="-6"/>
          <w:kern w:val="0"/>
          <w:sz w:val="30"/>
          <w:szCs w:val="30"/>
        </w:rPr>
      </w:pPr>
      <w:r>
        <w:rPr>
          <w:rFonts w:eastAsia="方正仿宋简体"/>
          <w:color w:val="000000"/>
          <w:spacing w:val="-6"/>
          <w:kern w:val="0"/>
          <w:sz w:val="30"/>
          <w:szCs w:val="30"/>
        </w:rPr>
        <w:t xml:space="preserve">1．客户开立账户必须提供身份证明及相关证明文件，并保证证明文件的真实性； </w:t>
      </w:r>
    </w:p>
    <w:p>
      <w:pPr>
        <w:widowControl/>
        <w:shd w:val="clear" w:color="auto" w:fill="FFFFFF"/>
        <w:spacing w:line="560" w:lineRule="atLeast"/>
        <w:ind w:firstLine="600"/>
        <w:jc w:val="left"/>
        <w:rPr>
          <w:rFonts w:eastAsia="方正仿宋简体"/>
          <w:color w:val="000000"/>
          <w:spacing w:val="-6"/>
          <w:kern w:val="0"/>
          <w:sz w:val="30"/>
          <w:szCs w:val="30"/>
        </w:rPr>
      </w:pPr>
      <w:r>
        <w:rPr>
          <w:rFonts w:eastAsia="方正仿宋简体"/>
          <w:color w:val="000000"/>
          <w:spacing w:val="-6"/>
          <w:kern w:val="0"/>
          <w:sz w:val="30"/>
          <w:szCs w:val="30"/>
        </w:rPr>
        <w:t xml:space="preserve">2．客户明确此份申请表是客户开户必备法律文件之一，保证以上填写内容属实，并在上述填写内容发生变化时及时通知期权经营机构。 </w:t>
      </w:r>
    </w:p>
    <w:p>
      <w:pPr>
        <w:widowControl/>
        <w:shd w:val="clear" w:color="auto" w:fill="FFFFFF"/>
        <w:spacing w:line="560" w:lineRule="atLeast"/>
        <w:jc w:val="left"/>
        <w:rPr>
          <w:rFonts w:eastAsia="方正仿宋简体"/>
          <w:color w:val="000000"/>
          <w:spacing w:val="-6"/>
          <w:kern w:val="0"/>
          <w:sz w:val="30"/>
          <w:szCs w:val="30"/>
        </w:rPr>
      </w:pPr>
      <w:r>
        <w:rPr>
          <w:rFonts w:eastAsia="方正仿宋简体"/>
          <w:color w:val="000000"/>
          <w:spacing w:val="-6"/>
          <w:kern w:val="0"/>
          <w:sz w:val="30"/>
          <w:szCs w:val="30"/>
        </w:rPr>
        <w:t xml:space="preserve"> </w:t>
      </w:r>
    </w:p>
    <w:p>
      <w:pPr>
        <w:widowControl/>
        <w:shd w:val="clear" w:color="auto" w:fill="FFFFFF"/>
        <w:spacing w:line="560" w:lineRule="atLeast"/>
        <w:jc w:val="center"/>
        <w:rPr>
          <w:rFonts w:ascii="方正小标宋简体" w:eastAsia="方正小标宋简体"/>
          <w:color w:val="000000"/>
          <w:spacing w:val="-6"/>
          <w:kern w:val="0"/>
          <w:sz w:val="30"/>
          <w:szCs w:val="30"/>
        </w:rPr>
      </w:pPr>
      <w:r>
        <w:rPr>
          <w:rFonts w:eastAsia="方正仿宋简体"/>
          <w:color w:val="000000"/>
          <w:spacing w:val="-6"/>
          <w:kern w:val="0"/>
          <w:sz w:val="30"/>
          <w:szCs w:val="30"/>
        </w:rPr>
        <w:br w:type="page"/>
      </w:r>
      <w:r>
        <w:rPr>
          <w:rFonts w:hint="eastAsia" w:ascii="方正小标宋简体" w:eastAsia="方正小标宋简体"/>
          <w:color w:val="000000"/>
          <w:spacing w:val="-6"/>
          <w:kern w:val="0"/>
          <w:sz w:val="30"/>
          <w:szCs w:val="30"/>
        </w:rPr>
        <w:t xml:space="preserve">开户申请表（机构） </w:t>
      </w:r>
    </w:p>
    <w:tbl>
      <w:tblPr>
        <w:tblStyle w:val="37"/>
        <w:tblW w:w="9269" w:type="dxa"/>
        <w:jc w:val="center"/>
        <w:tblLayout w:type="fixed"/>
        <w:tblCellMar>
          <w:top w:w="0" w:type="dxa"/>
          <w:left w:w="108" w:type="dxa"/>
          <w:bottom w:w="0" w:type="dxa"/>
          <w:right w:w="108" w:type="dxa"/>
        </w:tblCellMar>
      </w:tblPr>
      <w:tblGrid>
        <w:gridCol w:w="2609"/>
        <w:gridCol w:w="850"/>
        <w:gridCol w:w="580"/>
        <w:gridCol w:w="402"/>
        <w:gridCol w:w="719"/>
        <w:gridCol w:w="92"/>
        <w:gridCol w:w="333"/>
        <w:gridCol w:w="567"/>
        <w:gridCol w:w="284"/>
        <w:gridCol w:w="97"/>
        <w:gridCol w:w="310"/>
        <w:gridCol w:w="160"/>
        <w:gridCol w:w="1134"/>
        <w:gridCol w:w="1132"/>
      </w:tblGrid>
      <w:tr>
        <w:tblPrEx>
          <w:tblCellMar>
            <w:top w:w="0" w:type="dxa"/>
            <w:left w:w="108" w:type="dxa"/>
            <w:bottom w:w="0" w:type="dxa"/>
            <w:right w:w="108" w:type="dxa"/>
          </w:tblCellMar>
        </w:tblPrEx>
        <w:trPr>
          <w:jc w:val="center"/>
        </w:trPr>
        <w:tc>
          <w:tcPr>
            <w:tcW w:w="2609" w:type="dxa"/>
            <w:tcBorders>
              <w:top w:val="single" w:color="000000" w:sz="4" w:space="0"/>
              <w:left w:val="single" w:color="000000" w:sz="4" w:space="0"/>
              <w:bottom w:val="single" w:color="000000" w:sz="4" w:space="0"/>
              <w:right w:val="single" w:color="000000" w:sz="4" w:space="0"/>
            </w:tcBorders>
            <w:vAlign w:val="center"/>
          </w:tcPr>
          <w:p>
            <w:pPr>
              <w:widowControl/>
              <w:spacing w:line="320" w:lineRule="atLeast"/>
              <w:jc w:val="center"/>
              <w:rPr>
                <w:rFonts w:eastAsia="方正仿宋简体"/>
                <w:color w:val="333333"/>
                <w:kern w:val="0"/>
                <w:sz w:val="18"/>
                <w:szCs w:val="18"/>
              </w:rPr>
            </w:pPr>
            <w:r>
              <w:rPr>
                <w:rFonts w:eastAsia="方正仿宋简体"/>
                <w:color w:val="333333"/>
                <w:kern w:val="0"/>
                <w:szCs w:val="21"/>
              </w:rPr>
              <w:t>经营机构名称</w:t>
            </w:r>
            <w:r>
              <w:rPr>
                <w:rFonts w:eastAsia="方正仿宋简体"/>
                <w:color w:val="333333"/>
                <w:kern w:val="0"/>
                <w:sz w:val="18"/>
                <w:szCs w:val="18"/>
              </w:rPr>
              <w:t xml:space="preserve"> </w:t>
            </w:r>
          </w:p>
        </w:tc>
        <w:tc>
          <w:tcPr>
            <w:tcW w:w="6660" w:type="dxa"/>
            <w:gridSpan w:val="13"/>
            <w:tcBorders>
              <w:top w:val="single" w:color="000000" w:sz="4" w:space="0"/>
              <w:left w:val="nil"/>
              <w:bottom w:val="single" w:color="000000" w:sz="4" w:space="0"/>
              <w:right w:val="single" w:color="000000" w:sz="4" w:space="0"/>
            </w:tcBorders>
            <w:vAlign w:val="center"/>
          </w:tcPr>
          <w:p>
            <w:pPr>
              <w:widowControl/>
              <w:jc w:val="left"/>
              <w:rPr>
                <w:rFonts w:eastAsia="方正仿宋简体"/>
                <w:color w:val="333333"/>
                <w:kern w:val="0"/>
                <w:sz w:val="18"/>
                <w:szCs w:val="18"/>
              </w:rPr>
            </w:pPr>
          </w:p>
        </w:tc>
      </w:tr>
      <w:tr>
        <w:tblPrEx>
          <w:tblCellMar>
            <w:top w:w="0" w:type="dxa"/>
            <w:left w:w="108" w:type="dxa"/>
            <w:bottom w:w="0" w:type="dxa"/>
            <w:right w:w="108" w:type="dxa"/>
          </w:tblCellMar>
        </w:tblPrEx>
        <w:trPr>
          <w:jc w:val="center"/>
        </w:trPr>
        <w:tc>
          <w:tcPr>
            <w:tcW w:w="2609" w:type="dxa"/>
            <w:tcBorders>
              <w:top w:val="nil"/>
              <w:left w:val="single" w:color="000000" w:sz="4" w:space="0"/>
              <w:bottom w:val="single" w:color="auto" w:sz="4" w:space="0"/>
              <w:right w:val="single" w:color="000000" w:sz="4" w:space="0"/>
            </w:tcBorders>
            <w:vAlign w:val="center"/>
          </w:tcPr>
          <w:p>
            <w:pPr>
              <w:widowControl/>
              <w:spacing w:line="320" w:lineRule="atLeast"/>
              <w:ind w:firstLine="6"/>
              <w:jc w:val="center"/>
              <w:rPr>
                <w:rFonts w:eastAsia="方正仿宋简体"/>
                <w:color w:val="333333"/>
                <w:kern w:val="0"/>
                <w:sz w:val="18"/>
                <w:szCs w:val="18"/>
              </w:rPr>
            </w:pPr>
            <w:r>
              <w:rPr>
                <w:rFonts w:eastAsia="方正仿宋简体"/>
                <w:color w:val="333333"/>
                <w:kern w:val="0"/>
                <w:szCs w:val="21"/>
              </w:rPr>
              <w:t>机构类型</w:t>
            </w:r>
          </w:p>
        </w:tc>
        <w:tc>
          <w:tcPr>
            <w:tcW w:w="6660" w:type="dxa"/>
            <w:gridSpan w:val="13"/>
            <w:tcBorders>
              <w:top w:val="single" w:color="000000" w:sz="4" w:space="0"/>
              <w:left w:val="nil"/>
              <w:bottom w:val="single" w:color="000000" w:sz="4" w:space="0"/>
              <w:right w:val="single" w:color="000000" w:sz="4" w:space="0"/>
            </w:tcBorders>
            <w:vAlign w:val="center"/>
          </w:tcPr>
          <w:p>
            <w:pPr>
              <w:widowControl/>
              <w:jc w:val="left"/>
              <w:rPr>
                <w:rFonts w:eastAsia="方正仿宋简体"/>
                <w:color w:val="333333"/>
                <w:kern w:val="0"/>
                <w:sz w:val="18"/>
                <w:szCs w:val="18"/>
              </w:rPr>
            </w:pPr>
            <w:r>
              <w:rPr>
                <w:rFonts w:eastAsia="方正仿宋简体"/>
                <w:color w:val="333333"/>
                <w:kern w:val="0"/>
                <w:szCs w:val="21"/>
              </w:rPr>
              <w:t>□证券公司        □ 期货公司</w:t>
            </w:r>
          </w:p>
        </w:tc>
      </w:tr>
      <w:tr>
        <w:tblPrEx>
          <w:tblCellMar>
            <w:top w:w="0" w:type="dxa"/>
            <w:left w:w="108" w:type="dxa"/>
            <w:bottom w:w="0" w:type="dxa"/>
            <w:right w:w="108" w:type="dxa"/>
          </w:tblCellMar>
        </w:tblPrEx>
        <w:trPr>
          <w:jc w:val="center"/>
        </w:trPr>
        <w:tc>
          <w:tcPr>
            <w:tcW w:w="9269" w:type="dxa"/>
            <w:gridSpan w:val="14"/>
            <w:tcBorders>
              <w:top w:val="single" w:color="000000" w:sz="4" w:space="0"/>
              <w:left w:val="single" w:color="000000" w:sz="4" w:space="0"/>
              <w:bottom w:val="single" w:color="000000" w:sz="4" w:space="0"/>
              <w:right w:val="single" w:color="000000" w:sz="4" w:space="0"/>
            </w:tcBorders>
            <w:vAlign w:val="center"/>
          </w:tcPr>
          <w:p>
            <w:pPr>
              <w:widowControl/>
              <w:spacing w:line="320" w:lineRule="atLeast"/>
              <w:jc w:val="center"/>
              <w:rPr>
                <w:rFonts w:eastAsia="方正仿宋简体"/>
                <w:color w:val="333333"/>
                <w:kern w:val="0"/>
                <w:sz w:val="18"/>
                <w:szCs w:val="18"/>
              </w:rPr>
            </w:pPr>
            <w:r>
              <w:rPr>
                <w:rFonts w:eastAsia="方正仿宋简体"/>
                <w:color w:val="333333"/>
                <w:kern w:val="0"/>
                <w:szCs w:val="21"/>
              </w:rPr>
              <w:t>机构开户申请</w:t>
            </w:r>
            <w:r>
              <w:rPr>
                <w:rFonts w:eastAsia="方正仿宋简体"/>
                <w:color w:val="333333"/>
                <w:kern w:val="0"/>
                <w:sz w:val="18"/>
                <w:szCs w:val="18"/>
              </w:rPr>
              <w:t xml:space="preserve"> </w:t>
            </w:r>
          </w:p>
        </w:tc>
      </w:tr>
      <w:tr>
        <w:tblPrEx>
          <w:tblCellMar>
            <w:top w:w="0" w:type="dxa"/>
            <w:left w:w="108" w:type="dxa"/>
            <w:bottom w:w="0" w:type="dxa"/>
            <w:right w:w="108" w:type="dxa"/>
          </w:tblCellMar>
        </w:tblPrEx>
        <w:trPr>
          <w:jc w:val="center"/>
        </w:trPr>
        <w:tc>
          <w:tcPr>
            <w:tcW w:w="2609" w:type="dxa"/>
            <w:tcBorders>
              <w:top w:val="single" w:color="000000" w:sz="4" w:space="0"/>
              <w:left w:val="single" w:color="000000" w:sz="4" w:space="0"/>
              <w:bottom w:val="single" w:color="000000" w:sz="4" w:space="0"/>
              <w:right w:val="single" w:color="000000" w:sz="4" w:space="0"/>
            </w:tcBorders>
            <w:vAlign w:val="center"/>
          </w:tcPr>
          <w:p>
            <w:pPr>
              <w:widowControl/>
              <w:spacing w:line="320" w:lineRule="atLeast"/>
              <w:jc w:val="center"/>
              <w:rPr>
                <w:rFonts w:eastAsia="方正仿宋简体"/>
                <w:color w:val="333333"/>
                <w:kern w:val="0"/>
                <w:sz w:val="18"/>
                <w:szCs w:val="18"/>
              </w:rPr>
            </w:pPr>
            <w:r>
              <w:rPr>
                <w:rFonts w:eastAsia="方正仿宋简体"/>
                <w:color w:val="333333"/>
                <w:kern w:val="0"/>
                <w:szCs w:val="21"/>
              </w:rPr>
              <w:t>机构名称</w:t>
            </w:r>
            <w:r>
              <w:rPr>
                <w:rFonts w:eastAsia="方正仿宋简体"/>
                <w:color w:val="333333"/>
                <w:kern w:val="0"/>
                <w:sz w:val="18"/>
                <w:szCs w:val="18"/>
              </w:rPr>
              <w:t xml:space="preserve"> </w:t>
            </w:r>
          </w:p>
        </w:tc>
        <w:tc>
          <w:tcPr>
            <w:tcW w:w="1832" w:type="dxa"/>
            <w:gridSpan w:val="3"/>
            <w:tcBorders>
              <w:top w:val="single" w:color="000000" w:sz="4" w:space="0"/>
              <w:left w:val="nil"/>
              <w:bottom w:val="single" w:color="000000" w:sz="4" w:space="0"/>
              <w:right w:val="single" w:color="000000" w:sz="4" w:space="0"/>
            </w:tcBorders>
            <w:vAlign w:val="center"/>
          </w:tcPr>
          <w:p>
            <w:pPr>
              <w:widowControl/>
              <w:jc w:val="left"/>
              <w:rPr>
                <w:rFonts w:eastAsia="方正仿宋简体"/>
                <w:color w:val="333333"/>
                <w:kern w:val="0"/>
                <w:sz w:val="18"/>
                <w:szCs w:val="18"/>
              </w:rPr>
            </w:pPr>
          </w:p>
        </w:tc>
        <w:tc>
          <w:tcPr>
            <w:tcW w:w="1144" w:type="dxa"/>
            <w:gridSpan w:val="3"/>
            <w:tcBorders>
              <w:top w:val="single" w:color="000000" w:sz="4" w:space="0"/>
              <w:left w:val="nil"/>
              <w:bottom w:val="single" w:color="000000" w:sz="4" w:space="0"/>
              <w:right w:val="single" w:color="000000" w:sz="4" w:space="0"/>
            </w:tcBorders>
            <w:vAlign w:val="center"/>
          </w:tcPr>
          <w:p>
            <w:pPr>
              <w:widowControl/>
              <w:spacing w:line="320" w:lineRule="atLeast"/>
              <w:jc w:val="center"/>
              <w:rPr>
                <w:rFonts w:eastAsia="方正仿宋简体"/>
                <w:color w:val="333333"/>
                <w:kern w:val="0"/>
                <w:sz w:val="18"/>
                <w:szCs w:val="18"/>
              </w:rPr>
            </w:pPr>
            <w:r>
              <w:rPr>
                <w:rFonts w:eastAsia="方正仿宋简体"/>
                <w:color w:val="333333"/>
                <w:kern w:val="0"/>
                <w:szCs w:val="21"/>
              </w:rPr>
              <w:t>机构类型</w:t>
            </w:r>
            <w:r>
              <w:rPr>
                <w:rFonts w:eastAsia="方正仿宋简体"/>
                <w:color w:val="333333"/>
                <w:kern w:val="0"/>
                <w:sz w:val="18"/>
                <w:szCs w:val="18"/>
              </w:rPr>
              <w:t xml:space="preserve"> </w:t>
            </w:r>
          </w:p>
        </w:tc>
        <w:tc>
          <w:tcPr>
            <w:tcW w:w="3684" w:type="dxa"/>
            <w:gridSpan w:val="7"/>
            <w:tcBorders>
              <w:top w:val="single" w:color="000000" w:sz="4" w:space="0"/>
              <w:left w:val="nil"/>
              <w:bottom w:val="single" w:color="000000" w:sz="4" w:space="0"/>
              <w:right w:val="single" w:color="000000" w:sz="4" w:space="0"/>
            </w:tcBorders>
            <w:vAlign w:val="center"/>
          </w:tcPr>
          <w:p>
            <w:pPr>
              <w:widowControl/>
              <w:jc w:val="left"/>
              <w:rPr>
                <w:rFonts w:eastAsia="方正仿宋简体"/>
                <w:color w:val="333333"/>
                <w:kern w:val="0"/>
                <w:sz w:val="18"/>
                <w:szCs w:val="18"/>
              </w:rPr>
            </w:pPr>
          </w:p>
        </w:tc>
      </w:tr>
      <w:tr>
        <w:tblPrEx>
          <w:tblCellMar>
            <w:top w:w="0" w:type="dxa"/>
            <w:left w:w="108" w:type="dxa"/>
            <w:bottom w:w="0" w:type="dxa"/>
            <w:right w:w="108" w:type="dxa"/>
          </w:tblCellMar>
        </w:tblPrEx>
        <w:trPr>
          <w:jc w:val="center"/>
        </w:trPr>
        <w:tc>
          <w:tcPr>
            <w:tcW w:w="2609" w:type="dxa"/>
            <w:tcBorders>
              <w:top w:val="single" w:color="000000" w:sz="4" w:space="0"/>
              <w:left w:val="single" w:color="000000" w:sz="4" w:space="0"/>
              <w:bottom w:val="single" w:color="000000" w:sz="4" w:space="0"/>
              <w:right w:val="single" w:color="000000" w:sz="4" w:space="0"/>
            </w:tcBorders>
            <w:vAlign w:val="center"/>
          </w:tcPr>
          <w:p>
            <w:pPr>
              <w:widowControl/>
              <w:spacing w:line="320" w:lineRule="atLeast"/>
              <w:jc w:val="center"/>
              <w:rPr>
                <w:rFonts w:eastAsia="方正仿宋简体"/>
                <w:color w:val="333333"/>
                <w:kern w:val="0"/>
                <w:sz w:val="18"/>
                <w:szCs w:val="18"/>
              </w:rPr>
            </w:pPr>
            <w:r>
              <w:rPr>
                <w:rFonts w:eastAsia="方正仿宋简体"/>
                <w:color w:val="333333"/>
                <w:kern w:val="0"/>
                <w:szCs w:val="21"/>
              </w:rPr>
              <w:t>营业执照号（正本）</w:t>
            </w:r>
            <w:r>
              <w:rPr>
                <w:rFonts w:eastAsia="方正仿宋简体"/>
                <w:color w:val="333333"/>
                <w:kern w:val="0"/>
                <w:sz w:val="18"/>
                <w:szCs w:val="18"/>
              </w:rPr>
              <w:t xml:space="preserve"> </w:t>
            </w:r>
          </w:p>
        </w:tc>
        <w:tc>
          <w:tcPr>
            <w:tcW w:w="1832" w:type="dxa"/>
            <w:gridSpan w:val="3"/>
            <w:tcBorders>
              <w:top w:val="single" w:color="000000" w:sz="4" w:space="0"/>
              <w:left w:val="nil"/>
              <w:bottom w:val="single" w:color="000000" w:sz="4" w:space="0"/>
              <w:right w:val="single" w:color="000000" w:sz="4" w:space="0"/>
            </w:tcBorders>
            <w:vAlign w:val="center"/>
          </w:tcPr>
          <w:p>
            <w:pPr>
              <w:widowControl/>
              <w:jc w:val="left"/>
              <w:rPr>
                <w:rFonts w:eastAsia="方正仿宋简体"/>
                <w:color w:val="333333"/>
                <w:kern w:val="0"/>
                <w:sz w:val="18"/>
                <w:szCs w:val="18"/>
              </w:rPr>
            </w:pPr>
          </w:p>
        </w:tc>
        <w:tc>
          <w:tcPr>
            <w:tcW w:w="1144" w:type="dxa"/>
            <w:gridSpan w:val="3"/>
            <w:tcBorders>
              <w:top w:val="single" w:color="000000" w:sz="4" w:space="0"/>
              <w:left w:val="nil"/>
              <w:bottom w:val="single" w:color="000000" w:sz="4" w:space="0"/>
              <w:right w:val="single" w:color="000000" w:sz="4" w:space="0"/>
            </w:tcBorders>
            <w:vAlign w:val="center"/>
          </w:tcPr>
          <w:p>
            <w:pPr>
              <w:widowControl/>
              <w:spacing w:line="360" w:lineRule="atLeast"/>
              <w:jc w:val="left"/>
              <w:rPr>
                <w:rFonts w:eastAsia="方正仿宋简体"/>
                <w:color w:val="333333"/>
                <w:kern w:val="0"/>
                <w:sz w:val="18"/>
                <w:szCs w:val="18"/>
              </w:rPr>
            </w:pPr>
            <w:r>
              <w:rPr>
                <w:rFonts w:eastAsia="方正仿宋简体"/>
                <w:color w:val="333333"/>
                <w:kern w:val="0"/>
                <w:szCs w:val="21"/>
              </w:rPr>
              <w:t>注册资本</w:t>
            </w:r>
          </w:p>
        </w:tc>
        <w:tc>
          <w:tcPr>
            <w:tcW w:w="3684" w:type="dxa"/>
            <w:gridSpan w:val="7"/>
            <w:tcBorders>
              <w:top w:val="single" w:color="000000" w:sz="4" w:space="0"/>
              <w:left w:val="nil"/>
              <w:bottom w:val="single" w:color="000000" w:sz="4" w:space="0"/>
              <w:right w:val="single" w:color="000000" w:sz="4" w:space="0"/>
            </w:tcBorders>
            <w:vAlign w:val="center"/>
          </w:tcPr>
          <w:p>
            <w:pPr>
              <w:widowControl/>
              <w:jc w:val="left"/>
              <w:rPr>
                <w:rFonts w:eastAsia="方正仿宋简体"/>
                <w:color w:val="333333"/>
                <w:kern w:val="0"/>
                <w:sz w:val="18"/>
                <w:szCs w:val="18"/>
              </w:rPr>
            </w:pPr>
          </w:p>
        </w:tc>
      </w:tr>
      <w:tr>
        <w:tblPrEx>
          <w:tblCellMar>
            <w:top w:w="0" w:type="dxa"/>
            <w:left w:w="108" w:type="dxa"/>
            <w:bottom w:w="0" w:type="dxa"/>
            <w:right w:w="108" w:type="dxa"/>
          </w:tblCellMar>
        </w:tblPrEx>
        <w:trPr>
          <w:jc w:val="center"/>
        </w:trPr>
        <w:tc>
          <w:tcPr>
            <w:tcW w:w="2609" w:type="dxa"/>
            <w:tcBorders>
              <w:top w:val="single" w:color="000000" w:sz="4" w:space="0"/>
              <w:left w:val="single" w:color="000000" w:sz="4" w:space="0"/>
              <w:bottom w:val="single" w:color="000000" w:sz="4" w:space="0"/>
              <w:right w:val="single" w:color="000000" w:sz="4" w:space="0"/>
            </w:tcBorders>
            <w:vAlign w:val="center"/>
          </w:tcPr>
          <w:p>
            <w:pPr>
              <w:widowControl/>
              <w:spacing w:line="320" w:lineRule="atLeast"/>
              <w:jc w:val="center"/>
              <w:rPr>
                <w:rFonts w:eastAsia="方正仿宋简体"/>
                <w:color w:val="333333"/>
                <w:kern w:val="0"/>
                <w:sz w:val="18"/>
                <w:szCs w:val="18"/>
              </w:rPr>
            </w:pPr>
            <w:r>
              <w:rPr>
                <w:rFonts w:eastAsia="方正仿宋简体"/>
                <w:color w:val="333333"/>
                <w:kern w:val="0"/>
                <w:szCs w:val="21"/>
              </w:rPr>
              <w:t>法定代表人（负责人）</w:t>
            </w:r>
            <w:r>
              <w:rPr>
                <w:rFonts w:eastAsia="方正仿宋简体"/>
                <w:color w:val="333333"/>
                <w:kern w:val="0"/>
                <w:sz w:val="18"/>
                <w:szCs w:val="18"/>
              </w:rPr>
              <w:t xml:space="preserve"> </w:t>
            </w:r>
          </w:p>
        </w:tc>
        <w:tc>
          <w:tcPr>
            <w:tcW w:w="1832" w:type="dxa"/>
            <w:gridSpan w:val="3"/>
            <w:tcBorders>
              <w:top w:val="single" w:color="000000" w:sz="4" w:space="0"/>
              <w:left w:val="nil"/>
              <w:bottom w:val="single" w:color="000000" w:sz="4" w:space="0"/>
              <w:right w:val="single" w:color="000000" w:sz="4" w:space="0"/>
            </w:tcBorders>
            <w:vAlign w:val="center"/>
          </w:tcPr>
          <w:p>
            <w:pPr>
              <w:widowControl/>
              <w:jc w:val="left"/>
              <w:rPr>
                <w:rFonts w:eastAsia="方正仿宋简体"/>
                <w:color w:val="333333"/>
                <w:kern w:val="0"/>
                <w:sz w:val="18"/>
                <w:szCs w:val="18"/>
              </w:rPr>
            </w:pPr>
          </w:p>
        </w:tc>
        <w:tc>
          <w:tcPr>
            <w:tcW w:w="1144" w:type="dxa"/>
            <w:gridSpan w:val="3"/>
            <w:tcBorders>
              <w:top w:val="single" w:color="000000" w:sz="4" w:space="0"/>
              <w:left w:val="nil"/>
              <w:bottom w:val="single" w:color="000000" w:sz="4" w:space="0"/>
              <w:right w:val="single" w:color="000000" w:sz="4" w:space="0"/>
            </w:tcBorders>
            <w:vAlign w:val="center"/>
          </w:tcPr>
          <w:p>
            <w:pPr>
              <w:widowControl/>
              <w:spacing w:line="320" w:lineRule="atLeast"/>
              <w:jc w:val="center"/>
              <w:rPr>
                <w:rFonts w:eastAsia="方正仿宋简体"/>
                <w:color w:val="333333"/>
                <w:kern w:val="0"/>
                <w:sz w:val="18"/>
                <w:szCs w:val="18"/>
              </w:rPr>
            </w:pPr>
            <w:r>
              <w:rPr>
                <w:rFonts w:eastAsia="方正仿宋简体"/>
                <w:color w:val="333333"/>
                <w:kern w:val="0"/>
                <w:szCs w:val="21"/>
              </w:rPr>
              <w:t>证件类型及号码</w:t>
            </w:r>
            <w:r>
              <w:rPr>
                <w:rFonts w:eastAsia="方正仿宋简体"/>
                <w:color w:val="333333"/>
                <w:kern w:val="0"/>
                <w:sz w:val="18"/>
                <w:szCs w:val="18"/>
              </w:rPr>
              <w:t xml:space="preserve"> </w:t>
            </w:r>
          </w:p>
        </w:tc>
        <w:tc>
          <w:tcPr>
            <w:tcW w:w="1258" w:type="dxa"/>
            <w:gridSpan w:val="4"/>
            <w:tcBorders>
              <w:top w:val="single" w:color="000000" w:sz="4" w:space="0"/>
              <w:left w:val="nil"/>
              <w:bottom w:val="single" w:color="000000" w:sz="4" w:space="0"/>
              <w:right w:val="single" w:color="000000" w:sz="4" w:space="0"/>
            </w:tcBorders>
            <w:vAlign w:val="center"/>
          </w:tcPr>
          <w:p>
            <w:pPr>
              <w:widowControl/>
              <w:jc w:val="left"/>
              <w:rPr>
                <w:rFonts w:eastAsia="方正仿宋简体"/>
                <w:color w:val="333333"/>
                <w:kern w:val="0"/>
                <w:sz w:val="18"/>
                <w:szCs w:val="18"/>
              </w:rPr>
            </w:pPr>
          </w:p>
        </w:tc>
        <w:tc>
          <w:tcPr>
            <w:tcW w:w="1294" w:type="dxa"/>
            <w:gridSpan w:val="2"/>
            <w:tcBorders>
              <w:top w:val="single" w:color="000000" w:sz="4" w:space="0"/>
              <w:left w:val="nil"/>
              <w:bottom w:val="single" w:color="000000" w:sz="4" w:space="0"/>
              <w:right w:val="single" w:color="000000" w:sz="4" w:space="0"/>
            </w:tcBorders>
            <w:vAlign w:val="center"/>
          </w:tcPr>
          <w:p>
            <w:pPr>
              <w:widowControl/>
              <w:spacing w:line="360" w:lineRule="atLeast"/>
              <w:jc w:val="left"/>
              <w:rPr>
                <w:rFonts w:eastAsia="方正仿宋简体"/>
                <w:color w:val="333333"/>
                <w:kern w:val="0"/>
                <w:sz w:val="18"/>
                <w:szCs w:val="18"/>
              </w:rPr>
            </w:pPr>
            <w:r>
              <w:rPr>
                <w:rFonts w:eastAsia="方正仿宋简体"/>
                <w:color w:val="333333"/>
                <w:kern w:val="0"/>
                <w:szCs w:val="21"/>
              </w:rPr>
              <w:t>有效期限</w:t>
            </w:r>
            <w:r>
              <w:rPr>
                <w:rFonts w:eastAsia="方正仿宋简体"/>
                <w:color w:val="333333"/>
                <w:kern w:val="0"/>
                <w:sz w:val="18"/>
                <w:szCs w:val="18"/>
              </w:rPr>
              <w:t xml:space="preserve"> </w:t>
            </w:r>
          </w:p>
        </w:tc>
        <w:tc>
          <w:tcPr>
            <w:tcW w:w="1132" w:type="dxa"/>
            <w:tcBorders>
              <w:top w:val="single" w:color="000000" w:sz="4" w:space="0"/>
              <w:left w:val="nil"/>
              <w:bottom w:val="single" w:color="000000" w:sz="4" w:space="0"/>
              <w:right w:val="single" w:color="000000" w:sz="4" w:space="0"/>
            </w:tcBorders>
            <w:vAlign w:val="center"/>
          </w:tcPr>
          <w:p>
            <w:pPr>
              <w:widowControl/>
              <w:jc w:val="left"/>
              <w:rPr>
                <w:rFonts w:eastAsia="方正仿宋简体"/>
                <w:color w:val="333333"/>
                <w:kern w:val="0"/>
                <w:sz w:val="18"/>
                <w:szCs w:val="18"/>
              </w:rPr>
            </w:pPr>
          </w:p>
        </w:tc>
      </w:tr>
      <w:tr>
        <w:tblPrEx>
          <w:tblCellMar>
            <w:top w:w="0" w:type="dxa"/>
            <w:left w:w="108" w:type="dxa"/>
            <w:bottom w:w="0" w:type="dxa"/>
            <w:right w:w="108" w:type="dxa"/>
          </w:tblCellMar>
        </w:tblPrEx>
        <w:trPr>
          <w:jc w:val="center"/>
        </w:trPr>
        <w:tc>
          <w:tcPr>
            <w:tcW w:w="2609" w:type="dxa"/>
            <w:tcBorders>
              <w:top w:val="single" w:color="000000" w:sz="4" w:space="0"/>
              <w:left w:val="single" w:color="000000" w:sz="4" w:space="0"/>
              <w:bottom w:val="single" w:color="000000" w:sz="4" w:space="0"/>
              <w:right w:val="single" w:color="000000" w:sz="4" w:space="0"/>
            </w:tcBorders>
            <w:vAlign w:val="center"/>
          </w:tcPr>
          <w:p>
            <w:pPr>
              <w:widowControl/>
              <w:spacing w:line="320" w:lineRule="atLeast"/>
              <w:jc w:val="center"/>
              <w:rPr>
                <w:rFonts w:eastAsia="方正仿宋简体"/>
                <w:color w:val="333333"/>
                <w:kern w:val="0"/>
                <w:sz w:val="18"/>
                <w:szCs w:val="18"/>
              </w:rPr>
            </w:pPr>
            <w:r>
              <w:rPr>
                <w:rFonts w:eastAsia="方正仿宋简体"/>
                <w:color w:val="333333"/>
                <w:kern w:val="0"/>
                <w:szCs w:val="21"/>
              </w:rPr>
              <w:t>经营范围</w:t>
            </w:r>
            <w:r>
              <w:rPr>
                <w:rFonts w:eastAsia="方正仿宋简体"/>
                <w:color w:val="333333"/>
                <w:kern w:val="0"/>
                <w:sz w:val="18"/>
                <w:szCs w:val="18"/>
              </w:rPr>
              <w:t xml:space="preserve"> </w:t>
            </w:r>
          </w:p>
        </w:tc>
        <w:tc>
          <w:tcPr>
            <w:tcW w:w="6660" w:type="dxa"/>
            <w:gridSpan w:val="13"/>
            <w:tcBorders>
              <w:top w:val="single" w:color="000000" w:sz="4" w:space="0"/>
              <w:left w:val="nil"/>
              <w:bottom w:val="single" w:color="000000" w:sz="4" w:space="0"/>
              <w:right w:val="single" w:color="000000" w:sz="4" w:space="0"/>
            </w:tcBorders>
            <w:vAlign w:val="center"/>
          </w:tcPr>
          <w:p>
            <w:pPr>
              <w:widowControl/>
              <w:jc w:val="left"/>
              <w:rPr>
                <w:rFonts w:eastAsia="方正仿宋简体"/>
                <w:color w:val="333333"/>
                <w:kern w:val="0"/>
                <w:sz w:val="18"/>
                <w:szCs w:val="18"/>
              </w:rPr>
            </w:pPr>
          </w:p>
        </w:tc>
      </w:tr>
      <w:tr>
        <w:tblPrEx>
          <w:tblCellMar>
            <w:top w:w="0" w:type="dxa"/>
            <w:left w:w="108" w:type="dxa"/>
            <w:bottom w:w="0" w:type="dxa"/>
            <w:right w:w="108" w:type="dxa"/>
          </w:tblCellMar>
        </w:tblPrEx>
        <w:trPr>
          <w:jc w:val="center"/>
        </w:trPr>
        <w:tc>
          <w:tcPr>
            <w:tcW w:w="2609" w:type="dxa"/>
            <w:tcBorders>
              <w:top w:val="single" w:color="000000" w:sz="4" w:space="0"/>
              <w:left w:val="single" w:color="000000" w:sz="4" w:space="0"/>
              <w:bottom w:val="single" w:color="000000" w:sz="4" w:space="0"/>
              <w:right w:val="single" w:color="000000" w:sz="4" w:space="0"/>
            </w:tcBorders>
            <w:vAlign w:val="center"/>
          </w:tcPr>
          <w:p>
            <w:pPr>
              <w:widowControl/>
              <w:spacing w:line="320" w:lineRule="atLeast"/>
              <w:jc w:val="center"/>
              <w:rPr>
                <w:rFonts w:eastAsia="方正仿宋简体"/>
                <w:color w:val="333333"/>
                <w:kern w:val="0"/>
                <w:sz w:val="18"/>
                <w:szCs w:val="18"/>
              </w:rPr>
            </w:pPr>
            <w:r>
              <w:rPr>
                <w:rFonts w:eastAsia="方正仿宋简体"/>
                <w:color w:val="333333"/>
                <w:kern w:val="0"/>
                <w:szCs w:val="21"/>
              </w:rPr>
              <w:t>联系地址</w:t>
            </w:r>
            <w:r>
              <w:rPr>
                <w:rFonts w:eastAsia="方正仿宋简体"/>
                <w:color w:val="333333"/>
                <w:kern w:val="0"/>
                <w:sz w:val="18"/>
                <w:szCs w:val="18"/>
              </w:rPr>
              <w:t xml:space="preserve"> </w:t>
            </w:r>
          </w:p>
        </w:tc>
        <w:tc>
          <w:tcPr>
            <w:tcW w:w="2976" w:type="dxa"/>
            <w:gridSpan w:val="6"/>
            <w:tcBorders>
              <w:top w:val="single" w:color="000000" w:sz="4" w:space="0"/>
              <w:left w:val="nil"/>
              <w:bottom w:val="single" w:color="000000" w:sz="4" w:space="0"/>
              <w:right w:val="single" w:color="000000" w:sz="4" w:space="0"/>
            </w:tcBorders>
            <w:vAlign w:val="center"/>
          </w:tcPr>
          <w:p>
            <w:pPr>
              <w:widowControl/>
              <w:jc w:val="left"/>
              <w:rPr>
                <w:rFonts w:eastAsia="方正仿宋简体"/>
                <w:color w:val="333333"/>
                <w:kern w:val="0"/>
                <w:sz w:val="18"/>
                <w:szCs w:val="18"/>
              </w:rPr>
            </w:pPr>
          </w:p>
        </w:tc>
        <w:tc>
          <w:tcPr>
            <w:tcW w:w="851" w:type="dxa"/>
            <w:gridSpan w:val="2"/>
            <w:tcBorders>
              <w:top w:val="single" w:color="000000" w:sz="4" w:space="0"/>
              <w:left w:val="nil"/>
              <w:bottom w:val="single" w:color="000000" w:sz="4" w:space="0"/>
              <w:right w:val="single" w:color="000000" w:sz="4" w:space="0"/>
            </w:tcBorders>
            <w:vAlign w:val="center"/>
          </w:tcPr>
          <w:p>
            <w:pPr>
              <w:widowControl/>
              <w:spacing w:line="320" w:lineRule="atLeast"/>
              <w:jc w:val="center"/>
              <w:rPr>
                <w:rFonts w:eastAsia="方正仿宋简体"/>
                <w:color w:val="333333"/>
                <w:kern w:val="0"/>
                <w:szCs w:val="21"/>
              </w:rPr>
            </w:pPr>
            <w:r>
              <w:rPr>
                <w:rFonts w:eastAsia="方正仿宋简体"/>
                <w:color w:val="333333"/>
                <w:kern w:val="0"/>
                <w:szCs w:val="21"/>
              </w:rPr>
              <w:t>邮政</w:t>
            </w:r>
          </w:p>
          <w:p>
            <w:pPr>
              <w:widowControl/>
              <w:spacing w:line="320" w:lineRule="atLeast"/>
              <w:jc w:val="center"/>
              <w:rPr>
                <w:rFonts w:eastAsia="方正仿宋简体"/>
                <w:color w:val="333333"/>
                <w:kern w:val="0"/>
                <w:sz w:val="18"/>
                <w:szCs w:val="18"/>
              </w:rPr>
            </w:pPr>
            <w:r>
              <w:rPr>
                <w:rFonts w:eastAsia="方正仿宋简体"/>
                <w:color w:val="333333"/>
                <w:kern w:val="0"/>
                <w:szCs w:val="21"/>
              </w:rPr>
              <w:t>编码</w:t>
            </w:r>
            <w:r>
              <w:rPr>
                <w:rFonts w:eastAsia="方正仿宋简体"/>
                <w:color w:val="333333"/>
                <w:kern w:val="0"/>
                <w:sz w:val="18"/>
                <w:szCs w:val="18"/>
              </w:rPr>
              <w:t xml:space="preserve"> </w:t>
            </w:r>
          </w:p>
        </w:tc>
        <w:tc>
          <w:tcPr>
            <w:tcW w:w="2833" w:type="dxa"/>
            <w:gridSpan w:val="5"/>
            <w:tcBorders>
              <w:top w:val="single" w:color="000000" w:sz="4" w:space="0"/>
              <w:left w:val="nil"/>
              <w:bottom w:val="single" w:color="000000" w:sz="4" w:space="0"/>
              <w:right w:val="single" w:color="000000" w:sz="4" w:space="0"/>
            </w:tcBorders>
            <w:vAlign w:val="center"/>
          </w:tcPr>
          <w:p>
            <w:pPr>
              <w:widowControl/>
              <w:jc w:val="left"/>
              <w:rPr>
                <w:rFonts w:eastAsia="方正仿宋简体"/>
                <w:color w:val="333333"/>
                <w:kern w:val="0"/>
                <w:sz w:val="18"/>
                <w:szCs w:val="18"/>
              </w:rPr>
            </w:pPr>
          </w:p>
        </w:tc>
      </w:tr>
      <w:tr>
        <w:tblPrEx>
          <w:tblCellMar>
            <w:top w:w="0" w:type="dxa"/>
            <w:left w:w="108" w:type="dxa"/>
            <w:bottom w:w="0" w:type="dxa"/>
            <w:right w:w="108" w:type="dxa"/>
          </w:tblCellMar>
        </w:tblPrEx>
        <w:trPr>
          <w:jc w:val="center"/>
        </w:trPr>
        <w:tc>
          <w:tcPr>
            <w:tcW w:w="2609" w:type="dxa"/>
            <w:tcBorders>
              <w:top w:val="single" w:color="000000" w:sz="4" w:space="0"/>
              <w:left w:val="single" w:color="000000" w:sz="4" w:space="0"/>
              <w:bottom w:val="single" w:color="000000" w:sz="4" w:space="0"/>
              <w:right w:val="single" w:color="000000" w:sz="4" w:space="0"/>
            </w:tcBorders>
            <w:vAlign w:val="center"/>
          </w:tcPr>
          <w:p>
            <w:pPr>
              <w:widowControl/>
              <w:spacing w:line="320" w:lineRule="atLeast"/>
              <w:jc w:val="center"/>
              <w:rPr>
                <w:rFonts w:eastAsia="方正仿宋简体"/>
                <w:color w:val="333333"/>
                <w:kern w:val="0"/>
                <w:sz w:val="18"/>
                <w:szCs w:val="18"/>
              </w:rPr>
            </w:pPr>
            <w:r>
              <w:rPr>
                <w:rFonts w:eastAsia="方正仿宋简体"/>
                <w:color w:val="333333"/>
                <w:kern w:val="0"/>
                <w:szCs w:val="21"/>
              </w:rPr>
              <w:t>联系人</w:t>
            </w:r>
            <w:r>
              <w:rPr>
                <w:rFonts w:eastAsia="方正仿宋简体"/>
                <w:color w:val="333333"/>
                <w:kern w:val="0"/>
                <w:sz w:val="18"/>
                <w:szCs w:val="18"/>
              </w:rPr>
              <w:t xml:space="preserve"> </w:t>
            </w:r>
          </w:p>
        </w:tc>
        <w:tc>
          <w:tcPr>
            <w:tcW w:w="1832" w:type="dxa"/>
            <w:gridSpan w:val="3"/>
            <w:tcBorders>
              <w:top w:val="single" w:color="000000" w:sz="4" w:space="0"/>
              <w:left w:val="nil"/>
              <w:bottom w:val="single" w:color="000000" w:sz="4" w:space="0"/>
              <w:right w:val="single" w:color="000000" w:sz="4" w:space="0"/>
            </w:tcBorders>
            <w:vAlign w:val="center"/>
          </w:tcPr>
          <w:p>
            <w:pPr>
              <w:widowControl/>
              <w:jc w:val="left"/>
              <w:rPr>
                <w:rFonts w:eastAsia="方正仿宋简体"/>
                <w:color w:val="333333"/>
                <w:kern w:val="0"/>
                <w:sz w:val="18"/>
                <w:szCs w:val="18"/>
              </w:rPr>
            </w:pPr>
          </w:p>
        </w:tc>
        <w:tc>
          <w:tcPr>
            <w:tcW w:w="1995" w:type="dxa"/>
            <w:gridSpan w:val="5"/>
            <w:tcBorders>
              <w:top w:val="single" w:color="000000" w:sz="4" w:space="0"/>
              <w:left w:val="nil"/>
              <w:bottom w:val="single" w:color="000000" w:sz="4" w:space="0"/>
              <w:right w:val="single" w:color="000000" w:sz="4" w:space="0"/>
            </w:tcBorders>
            <w:vAlign w:val="center"/>
          </w:tcPr>
          <w:p>
            <w:pPr>
              <w:widowControl/>
              <w:spacing w:line="320" w:lineRule="atLeast"/>
              <w:jc w:val="center"/>
              <w:rPr>
                <w:rFonts w:eastAsia="方正仿宋简体"/>
                <w:color w:val="333333"/>
                <w:kern w:val="0"/>
                <w:sz w:val="18"/>
                <w:szCs w:val="18"/>
              </w:rPr>
            </w:pPr>
            <w:r>
              <w:rPr>
                <w:rFonts w:eastAsia="方正仿宋简体"/>
                <w:color w:val="333333"/>
                <w:kern w:val="0"/>
                <w:szCs w:val="21"/>
              </w:rPr>
              <w:t>联系电话</w:t>
            </w:r>
            <w:r>
              <w:rPr>
                <w:rFonts w:eastAsia="方正仿宋简体"/>
                <w:color w:val="333333"/>
                <w:kern w:val="0"/>
                <w:sz w:val="18"/>
                <w:szCs w:val="18"/>
              </w:rPr>
              <w:t xml:space="preserve"> </w:t>
            </w:r>
          </w:p>
        </w:tc>
        <w:tc>
          <w:tcPr>
            <w:tcW w:w="2833" w:type="dxa"/>
            <w:gridSpan w:val="5"/>
            <w:tcBorders>
              <w:top w:val="single" w:color="000000" w:sz="4" w:space="0"/>
              <w:left w:val="nil"/>
              <w:bottom w:val="single" w:color="000000" w:sz="4" w:space="0"/>
              <w:right w:val="single" w:color="000000" w:sz="4" w:space="0"/>
            </w:tcBorders>
            <w:vAlign w:val="center"/>
          </w:tcPr>
          <w:p>
            <w:pPr>
              <w:widowControl/>
              <w:jc w:val="left"/>
              <w:rPr>
                <w:rFonts w:eastAsia="方正仿宋简体"/>
                <w:color w:val="333333"/>
                <w:kern w:val="0"/>
                <w:sz w:val="18"/>
                <w:szCs w:val="18"/>
              </w:rPr>
            </w:pPr>
          </w:p>
        </w:tc>
      </w:tr>
      <w:tr>
        <w:tblPrEx>
          <w:tblCellMar>
            <w:top w:w="0" w:type="dxa"/>
            <w:left w:w="108" w:type="dxa"/>
            <w:bottom w:w="0" w:type="dxa"/>
            <w:right w:w="108" w:type="dxa"/>
          </w:tblCellMar>
        </w:tblPrEx>
        <w:trPr>
          <w:jc w:val="center"/>
        </w:trPr>
        <w:tc>
          <w:tcPr>
            <w:tcW w:w="2609" w:type="dxa"/>
            <w:tcBorders>
              <w:top w:val="single" w:color="000000" w:sz="4" w:space="0"/>
              <w:left w:val="single" w:color="000000" w:sz="4" w:space="0"/>
              <w:bottom w:val="single" w:color="000000" w:sz="4" w:space="0"/>
              <w:right w:val="single" w:color="000000" w:sz="4" w:space="0"/>
            </w:tcBorders>
            <w:vAlign w:val="center"/>
          </w:tcPr>
          <w:p>
            <w:pPr>
              <w:widowControl/>
              <w:spacing w:line="320" w:lineRule="atLeast"/>
              <w:jc w:val="center"/>
              <w:rPr>
                <w:rFonts w:eastAsia="方正仿宋简体"/>
                <w:color w:val="333333"/>
                <w:kern w:val="0"/>
                <w:sz w:val="18"/>
                <w:szCs w:val="18"/>
              </w:rPr>
            </w:pPr>
            <w:r>
              <w:rPr>
                <w:rFonts w:eastAsia="方正仿宋简体"/>
                <w:color w:val="333333"/>
                <w:kern w:val="0"/>
                <w:szCs w:val="21"/>
              </w:rPr>
              <w:t>是否从事过金融期货交易</w:t>
            </w:r>
            <w:r>
              <w:rPr>
                <w:rFonts w:eastAsia="方正仿宋简体"/>
                <w:color w:val="333333"/>
                <w:kern w:val="0"/>
                <w:sz w:val="18"/>
                <w:szCs w:val="18"/>
              </w:rPr>
              <w:t xml:space="preserve"> </w:t>
            </w:r>
          </w:p>
        </w:tc>
        <w:tc>
          <w:tcPr>
            <w:tcW w:w="850" w:type="dxa"/>
            <w:tcBorders>
              <w:top w:val="single" w:color="000000" w:sz="4" w:space="0"/>
              <w:left w:val="nil"/>
              <w:bottom w:val="single" w:color="000000" w:sz="4" w:space="0"/>
              <w:right w:val="single" w:color="000000" w:sz="4" w:space="0"/>
            </w:tcBorders>
            <w:vAlign w:val="center"/>
          </w:tcPr>
          <w:p>
            <w:pPr>
              <w:widowControl/>
              <w:spacing w:line="320" w:lineRule="atLeast"/>
              <w:jc w:val="center"/>
              <w:rPr>
                <w:rFonts w:eastAsia="方正仿宋简体"/>
                <w:color w:val="333333"/>
                <w:kern w:val="0"/>
                <w:sz w:val="18"/>
                <w:szCs w:val="18"/>
              </w:rPr>
            </w:pPr>
            <w:r>
              <w:rPr>
                <w:rFonts w:eastAsia="方正仿宋简体"/>
                <w:color w:val="333333"/>
                <w:kern w:val="0"/>
                <w:szCs w:val="21"/>
              </w:rPr>
              <w:t>是</w:t>
            </w:r>
            <w:r>
              <w:rPr>
                <w:rFonts w:eastAsia="方正仿宋简体"/>
                <w:color w:val="333333"/>
                <w:kern w:val="0"/>
                <w:sz w:val="18"/>
                <w:szCs w:val="18"/>
              </w:rPr>
              <w:t xml:space="preserve"> </w:t>
            </w:r>
          </w:p>
        </w:tc>
        <w:tc>
          <w:tcPr>
            <w:tcW w:w="2126" w:type="dxa"/>
            <w:gridSpan w:val="5"/>
            <w:tcBorders>
              <w:top w:val="single" w:color="000000" w:sz="4" w:space="0"/>
              <w:left w:val="nil"/>
              <w:bottom w:val="single" w:color="000000" w:sz="4" w:space="0"/>
              <w:right w:val="single" w:color="000000" w:sz="4" w:space="0"/>
            </w:tcBorders>
            <w:vAlign w:val="center"/>
          </w:tcPr>
          <w:p>
            <w:pPr>
              <w:widowControl/>
              <w:jc w:val="left"/>
              <w:rPr>
                <w:rFonts w:eastAsia="方正仿宋简体"/>
                <w:color w:val="333333"/>
                <w:kern w:val="0"/>
                <w:sz w:val="18"/>
                <w:szCs w:val="18"/>
              </w:rPr>
            </w:pPr>
          </w:p>
        </w:tc>
        <w:tc>
          <w:tcPr>
            <w:tcW w:w="851" w:type="dxa"/>
            <w:gridSpan w:val="2"/>
            <w:tcBorders>
              <w:top w:val="single" w:color="000000" w:sz="4" w:space="0"/>
              <w:left w:val="nil"/>
              <w:bottom w:val="single" w:color="000000" w:sz="4" w:space="0"/>
              <w:right w:val="single" w:color="000000" w:sz="4" w:space="0"/>
            </w:tcBorders>
            <w:vAlign w:val="center"/>
          </w:tcPr>
          <w:p>
            <w:pPr>
              <w:widowControl/>
              <w:spacing w:line="320" w:lineRule="atLeast"/>
              <w:jc w:val="center"/>
              <w:rPr>
                <w:rFonts w:eastAsia="方正仿宋简体"/>
                <w:color w:val="333333"/>
                <w:kern w:val="0"/>
                <w:sz w:val="18"/>
                <w:szCs w:val="18"/>
              </w:rPr>
            </w:pPr>
            <w:r>
              <w:rPr>
                <w:rFonts w:eastAsia="方正仿宋简体"/>
                <w:color w:val="333333"/>
                <w:kern w:val="0"/>
                <w:szCs w:val="21"/>
              </w:rPr>
              <w:t>否</w:t>
            </w:r>
            <w:r>
              <w:rPr>
                <w:rFonts w:eastAsia="方正仿宋简体"/>
                <w:color w:val="333333"/>
                <w:kern w:val="0"/>
                <w:sz w:val="18"/>
                <w:szCs w:val="18"/>
              </w:rPr>
              <w:t xml:space="preserve"> </w:t>
            </w:r>
          </w:p>
        </w:tc>
        <w:tc>
          <w:tcPr>
            <w:tcW w:w="2833" w:type="dxa"/>
            <w:gridSpan w:val="5"/>
            <w:tcBorders>
              <w:top w:val="single" w:color="000000" w:sz="4" w:space="0"/>
              <w:left w:val="nil"/>
              <w:bottom w:val="single" w:color="000000" w:sz="4" w:space="0"/>
              <w:right w:val="single" w:color="000000" w:sz="4" w:space="0"/>
            </w:tcBorders>
            <w:vAlign w:val="center"/>
          </w:tcPr>
          <w:p>
            <w:pPr>
              <w:widowControl/>
              <w:jc w:val="left"/>
              <w:rPr>
                <w:rFonts w:eastAsia="方正仿宋简体"/>
                <w:color w:val="333333"/>
                <w:kern w:val="0"/>
                <w:sz w:val="18"/>
                <w:szCs w:val="18"/>
              </w:rPr>
            </w:pPr>
          </w:p>
        </w:tc>
      </w:tr>
      <w:tr>
        <w:tblPrEx>
          <w:tblCellMar>
            <w:top w:w="0" w:type="dxa"/>
            <w:left w:w="108" w:type="dxa"/>
            <w:bottom w:w="0" w:type="dxa"/>
            <w:right w:w="108" w:type="dxa"/>
          </w:tblCellMar>
        </w:tblPrEx>
        <w:trPr>
          <w:jc w:val="center"/>
        </w:trPr>
        <w:tc>
          <w:tcPr>
            <w:tcW w:w="2609" w:type="dxa"/>
            <w:tcBorders>
              <w:top w:val="single" w:color="000000" w:sz="4" w:space="0"/>
              <w:left w:val="single" w:color="000000" w:sz="4" w:space="0"/>
              <w:bottom w:val="single" w:color="000000" w:sz="4" w:space="0"/>
              <w:right w:val="single" w:color="000000" w:sz="4" w:space="0"/>
            </w:tcBorders>
            <w:vAlign w:val="center"/>
          </w:tcPr>
          <w:p>
            <w:pPr>
              <w:widowControl/>
              <w:spacing w:line="320" w:lineRule="atLeast"/>
              <w:jc w:val="center"/>
              <w:rPr>
                <w:rFonts w:eastAsia="方正仿宋简体"/>
                <w:color w:val="333333"/>
                <w:kern w:val="0"/>
                <w:sz w:val="18"/>
                <w:szCs w:val="18"/>
              </w:rPr>
            </w:pPr>
            <w:r>
              <w:rPr>
                <w:rFonts w:eastAsia="方正仿宋简体"/>
                <w:color w:val="333333"/>
                <w:kern w:val="0"/>
                <w:szCs w:val="21"/>
              </w:rPr>
              <w:t>从事期权交易的目的</w:t>
            </w:r>
            <w:r>
              <w:rPr>
                <w:rFonts w:eastAsia="方正仿宋简体"/>
                <w:color w:val="333333"/>
                <w:kern w:val="0"/>
                <w:sz w:val="18"/>
                <w:szCs w:val="18"/>
              </w:rPr>
              <w:t xml:space="preserve"> </w:t>
            </w:r>
          </w:p>
        </w:tc>
        <w:tc>
          <w:tcPr>
            <w:tcW w:w="850" w:type="dxa"/>
            <w:tcBorders>
              <w:top w:val="single" w:color="000000" w:sz="4" w:space="0"/>
              <w:left w:val="nil"/>
              <w:bottom w:val="single" w:color="000000" w:sz="4" w:space="0"/>
              <w:right w:val="single" w:color="000000" w:sz="4" w:space="0"/>
            </w:tcBorders>
            <w:vAlign w:val="center"/>
          </w:tcPr>
          <w:p>
            <w:pPr>
              <w:widowControl/>
              <w:spacing w:line="320" w:lineRule="atLeast"/>
              <w:jc w:val="center"/>
              <w:rPr>
                <w:rFonts w:eastAsia="方正仿宋简体"/>
                <w:color w:val="333333"/>
                <w:kern w:val="0"/>
                <w:sz w:val="18"/>
                <w:szCs w:val="18"/>
              </w:rPr>
            </w:pPr>
            <w:r>
              <w:rPr>
                <w:rFonts w:eastAsia="方正仿宋简体"/>
                <w:color w:val="333333"/>
                <w:kern w:val="0"/>
                <w:szCs w:val="21"/>
              </w:rPr>
              <w:t>保值</w:t>
            </w:r>
            <w:r>
              <w:rPr>
                <w:rFonts w:eastAsia="方正仿宋简体"/>
                <w:color w:val="333333"/>
                <w:kern w:val="0"/>
                <w:sz w:val="18"/>
                <w:szCs w:val="18"/>
              </w:rPr>
              <w:t xml:space="preserve"> </w:t>
            </w:r>
          </w:p>
        </w:tc>
        <w:tc>
          <w:tcPr>
            <w:tcW w:w="982" w:type="dxa"/>
            <w:gridSpan w:val="2"/>
            <w:tcBorders>
              <w:top w:val="single" w:color="000000" w:sz="4" w:space="0"/>
              <w:left w:val="nil"/>
              <w:bottom w:val="single" w:color="000000" w:sz="4" w:space="0"/>
              <w:right w:val="single" w:color="000000" w:sz="4" w:space="0"/>
            </w:tcBorders>
            <w:vAlign w:val="center"/>
          </w:tcPr>
          <w:p>
            <w:pPr>
              <w:widowControl/>
              <w:jc w:val="left"/>
              <w:rPr>
                <w:rFonts w:eastAsia="方正仿宋简体"/>
                <w:color w:val="333333"/>
                <w:kern w:val="0"/>
                <w:sz w:val="18"/>
                <w:szCs w:val="18"/>
              </w:rPr>
            </w:pPr>
          </w:p>
        </w:tc>
        <w:tc>
          <w:tcPr>
            <w:tcW w:w="719" w:type="dxa"/>
            <w:tcBorders>
              <w:top w:val="single" w:color="000000" w:sz="4" w:space="0"/>
              <w:left w:val="nil"/>
              <w:bottom w:val="single" w:color="000000" w:sz="4" w:space="0"/>
              <w:right w:val="single" w:color="000000" w:sz="4" w:space="0"/>
            </w:tcBorders>
            <w:vAlign w:val="center"/>
          </w:tcPr>
          <w:p>
            <w:pPr>
              <w:widowControl/>
              <w:spacing w:line="320" w:lineRule="atLeast"/>
              <w:jc w:val="center"/>
              <w:rPr>
                <w:rFonts w:eastAsia="方正仿宋简体"/>
                <w:color w:val="333333"/>
                <w:kern w:val="0"/>
                <w:szCs w:val="21"/>
              </w:rPr>
            </w:pPr>
            <w:r>
              <w:rPr>
                <w:rFonts w:eastAsia="方正仿宋简体"/>
                <w:color w:val="333333"/>
                <w:kern w:val="0"/>
                <w:szCs w:val="21"/>
              </w:rPr>
              <w:t xml:space="preserve">投机 </w:t>
            </w:r>
          </w:p>
        </w:tc>
        <w:tc>
          <w:tcPr>
            <w:tcW w:w="992" w:type="dxa"/>
            <w:gridSpan w:val="3"/>
            <w:tcBorders>
              <w:top w:val="single" w:color="000000" w:sz="4" w:space="0"/>
              <w:left w:val="nil"/>
              <w:bottom w:val="single" w:color="000000" w:sz="4" w:space="0"/>
              <w:right w:val="single" w:color="000000" w:sz="4" w:space="0"/>
            </w:tcBorders>
            <w:vAlign w:val="center"/>
          </w:tcPr>
          <w:p>
            <w:pPr>
              <w:widowControl/>
              <w:jc w:val="left"/>
              <w:rPr>
                <w:rFonts w:eastAsia="方正仿宋简体"/>
                <w:color w:val="333333"/>
                <w:kern w:val="0"/>
                <w:sz w:val="18"/>
                <w:szCs w:val="18"/>
              </w:rPr>
            </w:pPr>
          </w:p>
        </w:tc>
        <w:tc>
          <w:tcPr>
            <w:tcW w:w="851" w:type="dxa"/>
            <w:gridSpan w:val="4"/>
            <w:tcBorders>
              <w:top w:val="single" w:color="000000" w:sz="4" w:space="0"/>
              <w:left w:val="nil"/>
              <w:bottom w:val="single" w:color="000000" w:sz="4" w:space="0"/>
              <w:right w:val="single" w:color="000000" w:sz="4" w:space="0"/>
            </w:tcBorders>
            <w:vAlign w:val="center"/>
          </w:tcPr>
          <w:p>
            <w:pPr>
              <w:widowControl/>
              <w:spacing w:line="320" w:lineRule="atLeast"/>
              <w:jc w:val="center"/>
              <w:rPr>
                <w:rFonts w:eastAsia="方正仿宋简体"/>
                <w:color w:val="333333"/>
                <w:kern w:val="0"/>
                <w:sz w:val="18"/>
                <w:szCs w:val="18"/>
              </w:rPr>
            </w:pPr>
            <w:r>
              <w:rPr>
                <w:rFonts w:eastAsia="方正仿宋简体"/>
                <w:color w:val="333333"/>
                <w:kern w:val="0"/>
                <w:szCs w:val="21"/>
              </w:rPr>
              <w:t>其他</w:t>
            </w:r>
            <w:r>
              <w:rPr>
                <w:rFonts w:eastAsia="方正仿宋简体"/>
                <w:color w:val="333333"/>
                <w:kern w:val="0"/>
                <w:sz w:val="18"/>
                <w:szCs w:val="18"/>
              </w:rPr>
              <w:t xml:space="preserve"> </w:t>
            </w:r>
          </w:p>
        </w:tc>
        <w:tc>
          <w:tcPr>
            <w:tcW w:w="2266" w:type="dxa"/>
            <w:gridSpan w:val="2"/>
            <w:tcBorders>
              <w:top w:val="single" w:color="000000" w:sz="4" w:space="0"/>
              <w:left w:val="nil"/>
              <w:bottom w:val="single" w:color="000000" w:sz="4" w:space="0"/>
              <w:right w:val="single" w:color="000000" w:sz="4" w:space="0"/>
            </w:tcBorders>
            <w:vAlign w:val="center"/>
          </w:tcPr>
          <w:p>
            <w:pPr>
              <w:widowControl/>
              <w:jc w:val="left"/>
              <w:rPr>
                <w:rFonts w:eastAsia="方正仿宋简体"/>
                <w:color w:val="333333"/>
                <w:kern w:val="0"/>
                <w:sz w:val="18"/>
                <w:szCs w:val="18"/>
              </w:rPr>
            </w:pPr>
          </w:p>
        </w:tc>
      </w:tr>
      <w:tr>
        <w:tblPrEx>
          <w:tblCellMar>
            <w:top w:w="0" w:type="dxa"/>
            <w:left w:w="108" w:type="dxa"/>
            <w:bottom w:w="0" w:type="dxa"/>
            <w:right w:w="108" w:type="dxa"/>
          </w:tblCellMar>
        </w:tblPrEx>
        <w:trPr>
          <w:jc w:val="center"/>
        </w:trPr>
        <w:tc>
          <w:tcPr>
            <w:tcW w:w="9269" w:type="dxa"/>
            <w:gridSpan w:val="14"/>
            <w:tcBorders>
              <w:top w:val="single" w:color="000000" w:sz="4" w:space="0"/>
              <w:left w:val="single" w:color="000000" w:sz="4" w:space="0"/>
              <w:bottom w:val="single" w:color="000000" w:sz="4" w:space="0"/>
              <w:right w:val="single" w:color="000000" w:sz="4" w:space="0"/>
            </w:tcBorders>
            <w:vAlign w:val="center"/>
          </w:tcPr>
          <w:p>
            <w:pPr>
              <w:widowControl/>
              <w:spacing w:line="320" w:lineRule="atLeast"/>
              <w:jc w:val="center"/>
              <w:rPr>
                <w:rFonts w:eastAsia="方正仿宋简体"/>
                <w:color w:val="333333"/>
                <w:kern w:val="0"/>
                <w:sz w:val="18"/>
                <w:szCs w:val="18"/>
              </w:rPr>
            </w:pPr>
            <w:r>
              <w:rPr>
                <w:rFonts w:eastAsia="方正仿宋简体"/>
                <w:color w:val="333333"/>
                <w:kern w:val="0"/>
                <w:szCs w:val="21"/>
              </w:rPr>
              <w:t>开户代理人</w:t>
            </w:r>
            <w:r>
              <w:rPr>
                <w:rFonts w:eastAsia="方正仿宋简体"/>
                <w:color w:val="333333"/>
                <w:kern w:val="0"/>
                <w:sz w:val="18"/>
                <w:szCs w:val="18"/>
              </w:rPr>
              <w:t xml:space="preserve"> </w:t>
            </w:r>
          </w:p>
        </w:tc>
      </w:tr>
      <w:tr>
        <w:tblPrEx>
          <w:tblCellMar>
            <w:top w:w="0" w:type="dxa"/>
            <w:left w:w="108" w:type="dxa"/>
            <w:bottom w:w="0" w:type="dxa"/>
            <w:right w:w="108" w:type="dxa"/>
          </w:tblCellMar>
        </w:tblPrEx>
        <w:trPr>
          <w:jc w:val="center"/>
        </w:trPr>
        <w:tc>
          <w:tcPr>
            <w:tcW w:w="2609" w:type="dxa"/>
            <w:tcBorders>
              <w:top w:val="single" w:color="000000" w:sz="4" w:space="0"/>
              <w:left w:val="single" w:color="000000" w:sz="4" w:space="0"/>
              <w:bottom w:val="single" w:color="000000" w:sz="4" w:space="0"/>
              <w:right w:val="single" w:color="000000" w:sz="4" w:space="0"/>
            </w:tcBorders>
            <w:vAlign w:val="center"/>
          </w:tcPr>
          <w:p>
            <w:pPr>
              <w:widowControl/>
              <w:spacing w:line="320" w:lineRule="atLeast"/>
              <w:jc w:val="center"/>
              <w:rPr>
                <w:rFonts w:eastAsia="方正仿宋简体"/>
                <w:color w:val="333333"/>
                <w:kern w:val="0"/>
                <w:sz w:val="18"/>
                <w:szCs w:val="18"/>
              </w:rPr>
            </w:pPr>
            <w:r>
              <w:rPr>
                <w:rFonts w:eastAsia="方正仿宋简体"/>
                <w:color w:val="333333"/>
                <w:kern w:val="0"/>
                <w:szCs w:val="21"/>
              </w:rPr>
              <w:t>姓名</w:t>
            </w:r>
            <w:r>
              <w:rPr>
                <w:rFonts w:eastAsia="方正仿宋简体"/>
                <w:color w:val="333333"/>
                <w:kern w:val="0"/>
                <w:sz w:val="18"/>
                <w:szCs w:val="18"/>
              </w:rPr>
              <w:t xml:space="preserve"> </w:t>
            </w:r>
          </w:p>
        </w:tc>
        <w:tc>
          <w:tcPr>
            <w:tcW w:w="2976" w:type="dxa"/>
            <w:gridSpan w:val="6"/>
            <w:tcBorders>
              <w:top w:val="single" w:color="000000" w:sz="4" w:space="0"/>
              <w:left w:val="nil"/>
              <w:bottom w:val="single" w:color="000000" w:sz="4" w:space="0"/>
              <w:right w:val="single" w:color="000000" w:sz="4" w:space="0"/>
            </w:tcBorders>
            <w:vAlign w:val="center"/>
          </w:tcPr>
          <w:p>
            <w:pPr>
              <w:widowControl/>
              <w:jc w:val="left"/>
              <w:rPr>
                <w:rFonts w:eastAsia="方正仿宋简体"/>
                <w:color w:val="333333"/>
                <w:kern w:val="0"/>
                <w:sz w:val="18"/>
                <w:szCs w:val="18"/>
              </w:rPr>
            </w:pPr>
          </w:p>
        </w:tc>
        <w:tc>
          <w:tcPr>
            <w:tcW w:w="851" w:type="dxa"/>
            <w:gridSpan w:val="2"/>
            <w:tcBorders>
              <w:top w:val="single" w:color="000000" w:sz="4" w:space="0"/>
              <w:left w:val="nil"/>
              <w:bottom w:val="single" w:color="000000" w:sz="4" w:space="0"/>
              <w:right w:val="single" w:color="000000" w:sz="4" w:space="0"/>
            </w:tcBorders>
            <w:vAlign w:val="center"/>
          </w:tcPr>
          <w:p>
            <w:pPr>
              <w:widowControl/>
              <w:spacing w:line="320" w:lineRule="atLeast"/>
              <w:jc w:val="center"/>
              <w:rPr>
                <w:rFonts w:eastAsia="方正仿宋简体"/>
                <w:color w:val="333333"/>
                <w:kern w:val="0"/>
                <w:szCs w:val="21"/>
              </w:rPr>
            </w:pPr>
            <w:r>
              <w:rPr>
                <w:rFonts w:eastAsia="方正仿宋简体"/>
                <w:color w:val="333333"/>
                <w:kern w:val="0"/>
                <w:szCs w:val="21"/>
              </w:rPr>
              <w:t>联系</w:t>
            </w:r>
          </w:p>
          <w:p>
            <w:pPr>
              <w:widowControl/>
              <w:spacing w:line="320" w:lineRule="atLeast"/>
              <w:jc w:val="center"/>
              <w:rPr>
                <w:rFonts w:eastAsia="方正仿宋简体"/>
                <w:color w:val="333333"/>
                <w:kern w:val="0"/>
                <w:sz w:val="18"/>
                <w:szCs w:val="18"/>
              </w:rPr>
            </w:pPr>
            <w:r>
              <w:rPr>
                <w:rFonts w:eastAsia="方正仿宋简体"/>
                <w:color w:val="333333"/>
                <w:kern w:val="0"/>
                <w:szCs w:val="21"/>
              </w:rPr>
              <w:t>电话</w:t>
            </w:r>
            <w:r>
              <w:rPr>
                <w:rFonts w:eastAsia="方正仿宋简体"/>
                <w:color w:val="333333"/>
                <w:kern w:val="0"/>
                <w:sz w:val="18"/>
                <w:szCs w:val="18"/>
              </w:rPr>
              <w:t xml:space="preserve"> </w:t>
            </w:r>
          </w:p>
        </w:tc>
        <w:tc>
          <w:tcPr>
            <w:tcW w:w="2833" w:type="dxa"/>
            <w:gridSpan w:val="5"/>
            <w:tcBorders>
              <w:top w:val="single" w:color="000000" w:sz="4" w:space="0"/>
              <w:left w:val="nil"/>
              <w:bottom w:val="single" w:color="000000" w:sz="4" w:space="0"/>
              <w:right w:val="single" w:color="000000" w:sz="4" w:space="0"/>
            </w:tcBorders>
            <w:vAlign w:val="center"/>
          </w:tcPr>
          <w:p>
            <w:pPr>
              <w:widowControl/>
              <w:jc w:val="left"/>
              <w:rPr>
                <w:rFonts w:eastAsia="方正仿宋简体"/>
                <w:color w:val="333333"/>
                <w:kern w:val="0"/>
                <w:sz w:val="18"/>
                <w:szCs w:val="18"/>
              </w:rPr>
            </w:pPr>
          </w:p>
        </w:tc>
      </w:tr>
      <w:tr>
        <w:tblPrEx>
          <w:tblCellMar>
            <w:top w:w="0" w:type="dxa"/>
            <w:left w:w="108" w:type="dxa"/>
            <w:bottom w:w="0" w:type="dxa"/>
            <w:right w:w="108" w:type="dxa"/>
          </w:tblCellMar>
        </w:tblPrEx>
        <w:trPr>
          <w:jc w:val="center"/>
        </w:trPr>
        <w:tc>
          <w:tcPr>
            <w:tcW w:w="2609" w:type="dxa"/>
            <w:tcBorders>
              <w:top w:val="single" w:color="000000" w:sz="4" w:space="0"/>
              <w:left w:val="single" w:color="000000" w:sz="4" w:space="0"/>
              <w:bottom w:val="single" w:color="000000" w:sz="4" w:space="0"/>
              <w:right w:val="single" w:color="000000" w:sz="4" w:space="0"/>
            </w:tcBorders>
            <w:vAlign w:val="center"/>
          </w:tcPr>
          <w:p>
            <w:pPr>
              <w:widowControl/>
              <w:spacing w:line="320" w:lineRule="atLeast"/>
              <w:jc w:val="center"/>
              <w:rPr>
                <w:rFonts w:eastAsia="方正仿宋简体"/>
                <w:color w:val="333333"/>
                <w:kern w:val="0"/>
                <w:sz w:val="18"/>
                <w:szCs w:val="18"/>
              </w:rPr>
            </w:pPr>
            <w:r>
              <w:rPr>
                <w:rFonts w:eastAsia="方正仿宋简体"/>
                <w:color w:val="333333"/>
                <w:kern w:val="0"/>
                <w:szCs w:val="21"/>
              </w:rPr>
              <w:t>身份证号码</w:t>
            </w:r>
            <w:r>
              <w:rPr>
                <w:rFonts w:eastAsia="方正仿宋简体"/>
                <w:color w:val="333333"/>
                <w:kern w:val="0"/>
                <w:sz w:val="18"/>
                <w:szCs w:val="18"/>
              </w:rPr>
              <w:t xml:space="preserve"> </w:t>
            </w:r>
          </w:p>
        </w:tc>
        <w:tc>
          <w:tcPr>
            <w:tcW w:w="6660" w:type="dxa"/>
            <w:gridSpan w:val="13"/>
            <w:tcBorders>
              <w:top w:val="single" w:color="000000" w:sz="4" w:space="0"/>
              <w:left w:val="nil"/>
              <w:bottom w:val="single" w:color="000000" w:sz="4" w:space="0"/>
              <w:right w:val="single" w:color="000000" w:sz="4" w:space="0"/>
            </w:tcBorders>
            <w:vAlign w:val="center"/>
          </w:tcPr>
          <w:p>
            <w:pPr>
              <w:widowControl/>
              <w:jc w:val="left"/>
              <w:rPr>
                <w:rFonts w:eastAsia="方正仿宋简体"/>
                <w:color w:val="333333"/>
                <w:kern w:val="0"/>
                <w:sz w:val="18"/>
                <w:szCs w:val="18"/>
              </w:rPr>
            </w:pPr>
          </w:p>
        </w:tc>
      </w:tr>
      <w:tr>
        <w:tblPrEx>
          <w:tblCellMar>
            <w:top w:w="0" w:type="dxa"/>
            <w:left w:w="108" w:type="dxa"/>
            <w:bottom w:w="0" w:type="dxa"/>
            <w:right w:w="108" w:type="dxa"/>
          </w:tblCellMar>
        </w:tblPrEx>
        <w:trPr>
          <w:jc w:val="center"/>
        </w:trPr>
        <w:tc>
          <w:tcPr>
            <w:tcW w:w="2609" w:type="dxa"/>
            <w:tcBorders>
              <w:top w:val="single" w:color="000000" w:sz="4" w:space="0"/>
              <w:left w:val="single" w:color="000000" w:sz="4" w:space="0"/>
              <w:bottom w:val="single" w:color="000000" w:sz="4" w:space="0"/>
              <w:right w:val="single" w:color="000000" w:sz="4" w:space="0"/>
            </w:tcBorders>
            <w:vAlign w:val="center"/>
          </w:tcPr>
          <w:p>
            <w:pPr>
              <w:widowControl/>
              <w:spacing w:line="320" w:lineRule="atLeast"/>
              <w:jc w:val="center"/>
              <w:rPr>
                <w:rFonts w:eastAsia="方正仿宋简体"/>
                <w:color w:val="333333"/>
                <w:kern w:val="0"/>
                <w:sz w:val="18"/>
                <w:szCs w:val="18"/>
              </w:rPr>
            </w:pPr>
            <w:r>
              <w:rPr>
                <w:rFonts w:eastAsia="方正仿宋简体"/>
                <w:color w:val="333333"/>
                <w:kern w:val="0"/>
                <w:szCs w:val="21"/>
              </w:rPr>
              <w:t>联系地址</w:t>
            </w:r>
            <w:r>
              <w:rPr>
                <w:rFonts w:eastAsia="方正仿宋简体"/>
                <w:color w:val="333333"/>
                <w:kern w:val="0"/>
                <w:sz w:val="18"/>
                <w:szCs w:val="18"/>
              </w:rPr>
              <w:t xml:space="preserve"> </w:t>
            </w:r>
          </w:p>
        </w:tc>
        <w:tc>
          <w:tcPr>
            <w:tcW w:w="2976" w:type="dxa"/>
            <w:gridSpan w:val="6"/>
            <w:tcBorders>
              <w:top w:val="single" w:color="000000" w:sz="4" w:space="0"/>
              <w:left w:val="nil"/>
              <w:bottom w:val="single" w:color="000000" w:sz="4" w:space="0"/>
              <w:right w:val="single" w:color="000000" w:sz="4" w:space="0"/>
            </w:tcBorders>
            <w:vAlign w:val="center"/>
          </w:tcPr>
          <w:p>
            <w:pPr>
              <w:widowControl/>
              <w:jc w:val="left"/>
              <w:rPr>
                <w:rFonts w:eastAsia="方正仿宋简体"/>
                <w:color w:val="333333"/>
                <w:kern w:val="0"/>
                <w:sz w:val="18"/>
                <w:szCs w:val="18"/>
              </w:rPr>
            </w:pPr>
          </w:p>
        </w:tc>
        <w:tc>
          <w:tcPr>
            <w:tcW w:w="851" w:type="dxa"/>
            <w:gridSpan w:val="2"/>
            <w:tcBorders>
              <w:top w:val="single" w:color="000000" w:sz="4" w:space="0"/>
              <w:left w:val="nil"/>
              <w:bottom w:val="single" w:color="000000" w:sz="4" w:space="0"/>
              <w:right w:val="single" w:color="000000" w:sz="4" w:space="0"/>
            </w:tcBorders>
            <w:vAlign w:val="center"/>
          </w:tcPr>
          <w:p>
            <w:pPr>
              <w:widowControl/>
              <w:spacing w:line="320" w:lineRule="atLeast"/>
              <w:jc w:val="center"/>
              <w:rPr>
                <w:rFonts w:eastAsia="方正仿宋简体"/>
                <w:color w:val="333333"/>
                <w:kern w:val="0"/>
                <w:szCs w:val="21"/>
              </w:rPr>
            </w:pPr>
            <w:r>
              <w:rPr>
                <w:rFonts w:eastAsia="方正仿宋简体"/>
                <w:color w:val="333333"/>
                <w:kern w:val="0"/>
                <w:szCs w:val="21"/>
              </w:rPr>
              <w:t>邮政</w:t>
            </w:r>
          </w:p>
          <w:p>
            <w:pPr>
              <w:widowControl/>
              <w:spacing w:line="320" w:lineRule="atLeast"/>
              <w:jc w:val="center"/>
              <w:rPr>
                <w:rFonts w:eastAsia="方正仿宋简体"/>
                <w:color w:val="333333"/>
                <w:kern w:val="0"/>
                <w:sz w:val="18"/>
                <w:szCs w:val="18"/>
              </w:rPr>
            </w:pPr>
            <w:r>
              <w:rPr>
                <w:rFonts w:eastAsia="方正仿宋简体"/>
                <w:color w:val="333333"/>
                <w:kern w:val="0"/>
                <w:szCs w:val="21"/>
              </w:rPr>
              <w:t>编码</w:t>
            </w:r>
            <w:r>
              <w:rPr>
                <w:rFonts w:eastAsia="方正仿宋简体"/>
                <w:color w:val="333333"/>
                <w:kern w:val="0"/>
                <w:sz w:val="18"/>
                <w:szCs w:val="18"/>
              </w:rPr>
              <w:t xml:space="preserve"> </w:t>
            </w:r>
          </w:p>
        </w:tc>
        <w:tc>
          <w:tcPr>
            <w:tcW w:w="2833" w:type="dxa"/>
            <w:gridSpan w:val="5"/>
            <w:tcBorders>
              <w:top w:val="single" w:color="000000" w:sz="4" w:space="0"/>
              <w:left w:val="nil"/>
              <w:bottom w:val="single" w:color="000000" w:sz="4" w:space="0"/>
              <w:right w:val="single" w:color="000000" w:sz="4" w:space="0"/>
            </w:tcBorders>
            <w:vAlign w:val="center"/>
          </w:tcPr>
          <w:p>
            <w:pPr>
              <w:widowControl/>
              <w:jc w:val="left"/>
              <w:rPr>
                <w:rFonts w:eastAsia="方正仿宋简体"/>
                <w:color w:val="333333"/>
                <w:kern w:val="0"/>
                <w:sz w:val="18"/>
                <w:szCs w:val="18"/>
              </w:rPr>
            </w:pPr>
          </w:p>
        </w:tc>
      </w:tr>
      <w:tr>
        <w:tblPrEx>
          <w:tblCellMar>
            <w:top w:w="0" w:type="dxa"/>
            <w:left w:w="108" w:type="dxa"/>
            <w:bottom w:w="0" w:type="dxa"/>
            <w:right w:w="108" w:type="dxa"/>
          </w:tblCellMar>
        </w:tblPrEx>
        <w:trPr>
          <w:jc w:val="center"/>
        </w:trPr>
        <w:tc>
          <w:tcPr>
            <w:tcW w:w="9269" w:type="dxa"/>
            <w:gridSpan w:val="14"/>
            <w:tcBorders>
              <w:top w:val="single" w:color="000000" w:sz="4" w:space="0"/>
              <w:left w:val="single" w:color="000000" w:sz="4" w:space="0"/>
              <w:bottom w:val="single" w:color="000000" w:sz="4" w:space="0"/>
              <w:right w:val="single" w:color="000000" w:sz="4" w:space="0"/>
            </w:tcBorders>
            <w:vAlign w:val="center"/>
          </w:tcPr>
          <w:p>
            <w:pPr>
              <w:widowControl/>
              <w:spacing w:line="320" w:lineRule="atLeast"/>
              <w:jc w:val="center"/>
              <w:rPr>
                <w:rFonts w:eastAsia="方正仿宋简体"/>
                <w:color w:val="333333"/>
                <w:kern w:val="0"/>
                <w:sz w:val="18"/>
                <w:szCs w:val="18"/>
              </w:rPr>
            </w:pPr>
            <w:r>
              <w:rPr>
                <w:rFonts w:eastAsia="方正仿宋简体"/>
                <w:color w:val="333333"/>
                <w:kern w:val="0"/>
                <w:szCs w:val="21"/>
              </w:rPr>
              <w:t>指令下达人</w:t>
            </w:r>
            <w:r>
              <w:rPr>
                <w:rFonts w:eastAsia="方正仿宋简体"/>
                <w:color w:val="333333"/>
                <w:kern w:val="0"/>
                <w:sz w:val="18"/>
                <w:szCs w:val="18"/>
              </w:rPr>
              <w:t xml:space="preserve"> </w:t>
            </w:r>
          </w:p>
        </w:tc>
      </w:tr>
      <w:tr>
        <w:tblPrEx>
          <w:tblCellMar>
            <w:top w:w="0" w:type="dxa"/>
            <w:left w:w="108" w:type="dxa"/>
            <w:bottom w:w="0" w:type="dxa"/>
            <w:right w:w="108" w:type="dxa"/>
          </w:tblCellMar>
        </w:tblPrEx>
        <w:trPr>
          <w:jc w:val="center"/>
        </w:trPr>
        <w:tc>
          <w:tcPr>
            <w:tcW w:w="2609" w:type="dxa"/>
            <w:tcBorders>
              <w:top w:val="single" w:color="000000" w:sz="4" w:space="0"/>
              <w:left w:val="single" w:color="000000" w:sz="4" w:space="0"/>
              <w:bottom w:val="single" w:color="000000" w:sz="4" w:space="0"/>
              <w:right w:val="single" w:color="000000" w:sz="4" w:space="0"/>
            </w:tcBorders>
            <w:vAlign w:val="center"/>
          </w:tcPr>
          <w:p>
            <w:pPr>
              <w:widowControl/>
              <w:spacing w:line="320" w:lineRule="atLeast"/>
              <w:jc w:val="center"/>
              <w:rPr>
                <w:rFonts w:eastAsia="方正仿宋简体"/>
                <w:color w:val="333333"/>
                <w:kern w:val="0"/>
                <w:sz w:val="18"/>
                <w:szCs w:val="18"/>
              </w:rPr>
            </w:pPr>
            <w:r>
              <w:rPr>
                <w:rFonts w:eastAsia="方正仿宋简体"/>
                <w:color w:val="333333"/>
                <w:kern w:val="0"/>
                <w:szCs w:val="21"/>
              </w:rPr>
              <w:t>姓名</w:t>
            </w:r>
            <w:r>
              <w:rPr>
                <w:rFonts w:eastAsia="方正仿宋简体"/>
                <w:color w:val="333333"/>
                <w:kern w:val="0"/>
                <w:sz w:val="18"/>
                <w:szCs w:val="18"/>
              </w:rPr>
              <w:t xml:space="preserve"> </w:t>
            </w:r>
          </w:p>
        </w:tc>
        <w:tc>
          <w:tcPr>
            <w:tcW w:w="2976" w:type="dxa"/>
            <w:gridSpan w:val="6"/>
            <w:tcBorders>
              <w:top w:val="single" w:color="000000" w:sz="4" w:space="0"/>
              <w:left w:val="nil"/>
              <w:bottom w:val="single" w:color="000000" w:sz="4" w:space="0"/>
              <w:right w:val="single" w:color="000000" w:sz="4" w:space="0"/>
            </w:tcBorders>
            <w:vAlign w:val="center"/>
          </w:tcPr>
          <w:p>
            <w:pPr>
              <w:widowControl/>
              <w:jc w:val="left"/>
              <w:rPr>
                <w:rFonts w:eastAsia="方正仿宋简体"/>
                <w:color w:val="333333"/>
                <w:kern w:val="0"/>
                <w:sz w:val="18"/>
                <w:szCs w:val="18"/>
              </w:rPr>
            </w:pPr>
          </w:p>
        </w:tc>
        <w:tc>
          <w:tcPr>
            <w:tcW w:w="851" w:type="dxa"/>
            <w:gridSpan w:val="2"/>
            <w:tcBorders>
              <w:top w:val="single" w:color="000000" w:sz="4" w:space="0"/>
              <w:left w:val="nil"/>
              <w:bottom w:val="single" w:color="000000" w:sz="4" w:space="0"/>
              <w:right w:val="single" w:color="000000" w:sz="4" w:space="0"/>
            </w:tcBorders>
            <w:vAlign w:val="center"/>
          </w:tcPr>
          <w:p>
            <w:pPr>
              <w:widowControl/>
              <w:spacing w:line="320" w:lineRule="atLeast"/>
              <w:jc w:val="center"/>
              <w:rPr>
                <w:rFonts w:eastAsia="方正仿宋简体"/>
                <w:color w:val="333333"/>
                <w:kern w:val="0"/>
                <w:szCs w:val="21"/>
              </w:rPr>
            </w:pPr>
            <w:r>
              <w:rPr>
                <w:rFonts w:eastAsia="方正仿宋简体"/>
                <w:color w:val="333333"/>
                <w:kern w:val="0"/>
                <w:szCs w:val="21"/>
              </w:rPr>
              <w:t>联系</w:t>
            </w:r>
          </w:p>
          <w:p>
            <w:pPr>
              <w:widowControl/>
              <w:spacing w:line="320" w:lineRule="atLeast"/>
              <w:jc w:val="center"/>
              <w:rPr>
                <w:rFonts w:eastAsia="方正仿宋简体"/>
                <w:color w:val="333333"/>
                <w:kern w:val="0"/>
                <w:sz w:val="18"/>
                <w:szCs w:val="18"/>
              </w:rPr>
            </w:pPr>
            <w:r>
              <w:rPr>
                <w:rFonts w:eastAsia="方正仿宋简体"/>
                <w:color w:val="333333"/>
                <w:kern w:val="0"/>
                <w:szCs w:val="21"/>
              </w:rPr>
              <w:t>电话</w:t>
            </w:r>
            <w:r>
              <w:rPr>
                <w:rFonts w:eastAsia="方正仿宋简体"/>
                <w:color w:val="333333"/>
                <w:kern w:val="0"/>
                <w:sz w:val="18"/>
                <w:szCs w:val="18"/>
              </w:rPr>
              <w:t xml:space="preserve"> </w:t>
            </w:r>
          </w:p>
        </w:tc>
        <w:tc>
          <w:tcPr>
            <w:tcW w:w="2833" w:type="dxa"/>
            <w:gridSpan w:val="5"/>
            <w:tcBorders>
              <w:top w:val="single" w:color="000000" w:sz="4" w:space="0"/>
              <w:left w:val="nil"/>
              <w:bottom w:val="single" w:color="000000" w:sz="4" w:space="0"/>
              <w:right w:val="single" w:color="000000" w:sz="4" w:space="0"/>
            </w:tcBorders>
            <w:vAlign w:val="center"/>
          </w:tcPr>
          <w:p>
            <w:pPr>
              <w:widowControl/>
              <w:jc w:val="left"/>
              <w:rPr>
                <w:rFonts w:eastAsia="方正仿宋简体"/>
                <w:color w:val="333333"/>
                <w:kern w:val="0"/>
                <w:sz w:val="18"/>
                <w:szCs w:val="18"/>
              </w:rPr>
            </w:pPr>
          </w:p>
        </w:tc>
      </w:tr>
      <w:tr>
        <w:tblPrEx>
          <w:tblCellMar>
            <w:top w:w="0" w:type="dxa"/>
            <w:left w:w="108" w:type="dxa"/>
            <w:bottom w:w="0" w:type="dxa"/>
            <w:right w:w="108" w:type="dxa"/>
          </w:tblCellMar>
        </w:tblPrEx>
        <w:trPr>
          <w:jc w:val="center"/>
        </w:trPr>
        <w:tc>
          <w:tcPr>
            <w:tcW w:w="2609" w:type="dxa"/>
            <w:tcBorders>
              <w:top w:val="single" w:color="000000" w:sz="4" w:space="0"/>
              <w:left w:val="single" w:color="000000" w:sz="4" w:space="0"/>
              <w:bottom w:val="single" w:color="000000" w:sz="4" w:space="0"/>
              <w:right w:val="single" w:color="000000" w:sz="4" w:space="0"/>
            </w:tcBorders>
            <w:vAlign w:val="center"/>
          </w:tcPr>
          <w:p>
            <w:pPr>
              <w:widowControl/>
              <w:spacing w:line="320" w:lineRule="atLeast"/>
              <w:jc w:val="center"/>
              <w:rPr>
                <w:rFonts w:eastAsia="方正仿宋简体"/>
                <w:color w:val="333333"/>
                <w:kern w:val="0"/>
                <w:sz w:val="18"/>
                <w:szCs w:val="18"/>
              </w:rPr>
            </w:pPr>
            <w:r>
              <w:rPr>
                <w:rFonts w:eastAsia="方正仿宋简体"/>
                <w:color w:val="333333"/>
                <w:kern w:val="0"/>
                <w:szCs w:val="21"/>
              </w:rPr>
              <w:t>证件类型及号码</w:t>
            </w:r>
            <w:r>
              <w:rPr>
                <w:rFonts w:eastAsia="方正仿宋简体"/>
                <w:color w:val="333333"/>
                <w:kern w:val="0"/>
                <w:sz w:val="18"/>
                <w:szCs w:val="18"/>
              </w:rPr>
              <w:t xml:space="preserve"> </w:t>
            </w:r>
          </w:p>
        </w:tc>
        <w:tc>
          <w:tcPr>
            <w:tcW w:w="6660" w:type="dxa"/>
            <w:gridSpan w:val="13"/>
            <w:tcBorders>
              <w:top w:val="single" w:color="000000" w:sz="4" w:space="0"/>
              <w:left w:val="nil"/>
              <w:bottom w:val="single" w:color="000000" w:sz="4" w:space="0"/>
              <w:right w:val="single" w:color="000000" w:sz="4" w:space="0"/>
            </w:tcBorders>
            <w:vAlign w:val="center"/>
          </w:tcPr>
          <w:p>
            <w:pPr>
              <w:widowControl/>
              <w:jc w:val="left"/>
              <w:rPr>
                <w:rFonts w:eastAsia="方正仿宋简体"/>
                <w:color w:val="333333"/>
                <w:kern w:val="0"/>
                <w:sz w:val="18"/>
                <w:szCs w:val="18"/>
              </w:rPr>
            </w:pPr>
          </w:p>
        </w:tc>
      </w:tr>
      <w:tr>
        <w:tblPrEx>
          <w:tblCellMar>
            <w:top w:w="0" w:type="dxa"/>
            <w:left w:w="108" w:type="dxa"/>
            <w:bottom w:w="0" w:type="dxa"/>
            <w:right w:w="108" w:type="dxa"/>
          </w:tblCellMar>
        </w:tblPrEx>
        <w:trPr>
          <w:jc w:val="center"/>
        </w:trPr>
        <w:tc>
          <w:tcPr>
            <w:tcW w:w="2609" w:type="dxa"/>
            <w:tcBorders>
              <w:top w:val="single" w:color="000000" w:sz="4" w:space="0"/>
              <w:left w:val="single" w:color="000000" w:sz="4" w:space="0"/>
              <w:bottom w:val="single" w:color="000000" w:sz="4" w:space="0"/>
              <w:right w:val="single" w:color="000000" w:sz="4" w:space="0"/>
            </w:tcBorders>
            <w:vAlign w:val="center"/>
          </w:tcPr>
          <w:p>
            <w:pPr>
              <w:widowControl/>
              <w:spacing w:line="320" w:lineRule="atLeast"/>
              <w:jc w:val="center"/>
              <w:rPr>
                <w:rFonts w:eastAsia="方正仿宋简体"/>
                <w:color w:val="333333"/>
                <w:kern w:val="0"/>
                <w:sz w:val="18"/>
                <w:szCs w:val="18"/>
              </w:rPr>
            </w:pPr>
            <w:r>
              <w:rPr>
                <w:rFonts w:eastAsia="方正仿宋简体"/>
                <w:color w:val="333333"/>
                <w:kern w:val="0"/>
                <w:szCs w:val="21"/>
              </w:rPr>
              <w:t>联系地址</w:t>
            </w:r>
            <w:r>
              <w:rPr>
                <w:rFonts w:eastAsia="方正仿宋简体"/>
                <w:color w:val="333333"/>
                <w:kern w:val="0"/>
                <w:sz w:val="18"/>
                <w:szCs w:val="18"/>
              </w:rPr>
              <w:t xml:space="preserve"> </w:t>
            </w:r>
          </w:p>
        </w:tc>
        <w:tc>
          <w:tcPr>
            <w:tcW w:w="2976" w:type="dxa"/>
            <w:gridSpan w:val="6"/>
            <w:tcBorders>
              <w:top w:val="single" w:color="000000" w:sz="4" w:space="0"/>
              <w:left w:val="nil"/>
              <w:bottom w:val="single" w:color="000000" w:sz="4" w:space="0"/>
              <w:right w:val="single" w:color="000000" w:sz="4" w:space="0"/>
            </w:tcBorders>
            <w:vAlign w:val="center"/>
          </w:tcPr>
          <w:p>
            <w:pPr>
              <w:widowControl/>
              <w:jc w:val="left"/>
              <w:rPr>
                <w:rFonts w:eastAsia="方正仿宋简体"/>
                <w:color w:val="333333"/>
                <w:kern w:val="0"/>
                <w:sz w:val="18"/>
                <w:szCs w:val="18"/>
              </w:rPr>
            </w:pPr>
          </w:p>
        </w:tc>
        <w:tc>
          <w:tcPr>
            <w:tcW w:w="851" w:type="dxa"/>
            <w:gridSpan w:val="2"/>
            <w:tcBorders>
              <w:top w:val="single" w:color="000000" w:sz="4" w:space="0"/>
              <w:left w:val="nil"/>
              <w:bottom w:val="single" w:color="000000" w:sz="4" w:space="0"/>
              <w:right w:val="single" w:color="000000" w:sz="4" w:space="0"/>
            </w:tcBorders>
            <w:vAlign w:val="center"/>
          </w:tcPr>
          <w:p>
            <w:pPr>
              <w:widowControl/>
              <w:spacing w:line="320" w:lineRule="atLeast"/>
              <w:jc w:val="center"/>
              <w:rPr>
                <w:rFonts w:eastAsia="方正仿宋简体"/>
                <w:color w:val="333333"/>
                <w:kern w:val="0"/>
                <w:szCs w:val="21"/>
              </w:rPr>
            </w:pPr>
            <w:r>
              <w:rPr>
                <w:rFonts w:eastAsia="方正仿宋简体"/>
                <w:color w:val="333333"/>
                <w:kern w:val="0"/>
                <w:szCs w:val="21"/>
              </w:rPr>
              <w:t>邮政</w:t>
            </w:r>
          </w:p>
          <w:p>
            <w:pPr>
              <w:widowControl/>
              <w:spacing w:line="320" w:lineRule="atLeast"/>
              <w:jc w:val="center"/>
              <w:rPr>
                <w:rFonts w:eastAsia="方正仿宋简体"/>
                <w:color w:val="333333"/>
                <w:kern w:val="0"/>
                <w:sz w:val="18"/>
                <w:szCs w:val="18"/>
              </w:rPr>
            </w:pPr>
            <w:r>
              <w:rPr>
                <w:rFonts w:eastAsia="方正仿宋简体"/>
                <w:color w:val="333333"/>
                <w:kern w:val="0"/>
                <w:szCs w:val="21"/>
              </w:rPr>
              <w:t>编码</w:t>
            </w:r>
            <w:r>
              <w:rPr>
                <w:rFonts w:eastAsia="方正仿宋简体"/>
                <w:color w:val="333333"/>
                <w:kern w:val="0"/>
                <w:sz w:val="18"/>
                <w:szCs w:val="18"/>
              </w:rPr>
              <w:t xml:space="preserve"> </w:t>
            </w:r>
          </w:p>
        </w:tc>
        <w:tc>
          <w:tcPr>
            <w:tcW w:w="2833" w:type="dxa"/>
            <w:gridSpan w:val="5"/>
            <w:tcBorders>
              <w:top w:val="single" w:color="000000" w:sz="4" w:space="0"/>
              <w:left w:val="nil"/>
              <w:bottom w:val="single" w:color="000000" w:sz="4" w:space="0"/>
              <w:right w:val="single" w:color="000000" w:sz="4" w:space="0"/>
            </w:tcBorders>
            <w:vAlign w:val="center"/>
          </w:tcPr>
          <w:p>
            <w:pPr>
              <w:widowControl/>
              <w:jc w:val="left"/>
              <w:rPr>
                <w:rFonts w:eastAsia="方正仿宋简体"/>
                <w:color w:val="333333"/>
                <w:kern w:val="0"/>
                <w:sz w:val="18"/>
                <w:szCs w:val="18"/>
              </w:rPr>
            </w:pPr>
          </w:p>
        </w:tc>
      </w:tr>
      <w:tr>
        <w:tblPrEx>
          <w:tblCellMar>
            <w:top w:w="0" w:type="dxa"/>
            <w:left w:w="108" w:type="dxa"/>
            <w:bottom w:w="0" w:type="dxa"/>
            <w:right w:w="108" w:type="dxa"/>
          </w:tblCellMar>
        </w:tblPrEx>
        <w:trPr>
          <w:jc w:val="center"/>
        </w:trPr>
        <w:tc>
          <w:tcPr>
            <w:tcW w:w="9269" w:type="dxa"/>
            <w:gridSpan w:val="14"/>
            <w:tcBorders>
              <w:top w:val="single" w:color="000000" w:sz="4" w:space="0"/>
              <w:left w:val="single" w:color="000000" w:sz="4" w:space="0"/>
              <w:bottom w:val="single" w:color="000000" w:sz="4" w:space="0"/>
              <w:right w:val="single" w:color="000000" w:sz="4" w:space="0"/>
            </w:tcBorders>
            <w:vAlign w:val="center"/>
          </w:tcPr>
          <w:p>
            <w:pPr>
              <w:widowControl/>
              <w:spacing w:line="320" w:lineRule="atLeast"/>
              <w:jc w:val="center"/>
              <w:rPr>
                <w:rFonts w:eastAsia="方正仿宋简体"/>
                <w:color w:val="333333"/>
                <w:kern w:val="0"/>
                <w:sz w:val="18"/>
                <w:szCs w:val="18"/>
              </w:rPr>
            </w:pPr>
            <w:r>
              <w:rPr>
                <w:rFonts w:eastAsia="方正仿宋简体"/>
                <w:color w:val="333333"/>
                <w:kern w:val="0"/>
                <w:szCs w:val="21"/>
              </w:rPr>
              <w:t>资金调拨人</w:t>
            </w:r>
            <w:r>
              <w:rPr>
                <w:rFonts w:eastAsia="方正仿宋简体"/>
                <w:color w:val="333333"/>
                <w:kern w:val="0"/>
                <w:sz w:val="18"/>
                <w:szCs w:val="18"/>
              </w:rPr>
              <w:t xml:space="preserve"> </w:t>
            </w:r>
          </w:p>
        </w:tc>
      </w:tr>
      <w:tr>
        <w:tblPrEx>
          <w:tblCellMar>
            <w:top w:w="0" w:type="dxa"/>
            <w:left w:w="108" w:type="dxa"/>
            <w:bottom w:w="0" w:type="dxa"/>
            <w:right w:w="108" w:type="dxa"/>
          </w:tblCellMar>
        </w:tblPrEx>
        <w:trPr>
          <w:jc w:val="center"/>
        </w:trPr>
        <w:tc>
          <w:tcPr>
            <w:tcW w:w="2609" w:type="dxa"/>
            <w:tcBorders>
              <w:top w:val="single" w:color="000000" w:sz="4" w:space="0"/>
              <w:left w:val="single" w:color="000000" w:sz="4" w:space="0"/>
              <w:bottom w:val="single" w:color="000000" w:sz="4" w:space="0"/>
              <w:right w:val="single" w:color="000000" w:sz="4" w:space="0"/>
            </w:tcBorders>
            <w:vAlign w:val="center"/>
          </w:tcPr>
          <w:p>
            <w:pPr>
              <w:widowControl/>
              <w:spacing w:line="320" w:lineRule="atLeast"/>
              <w:jc w:val="center"/>
              <w:rPr>
                <w:rFonts w:eastAsia="方正仿宋简体"/>
                <w:color w:val="333333"/>
                <w:kern w:val="0"/>
                <w:sz w:val="18"/>
                <w:szCs w:val="18"/>
              </w:rPr>
            </w:pPr>
            <w:r>
              <w:rPr>
                <w:rFonts w:eastAsia="方正仿宋简体"/>
                <w:color w:val="333333"/>
                <w:kern w:val="0"/>
                <w:szCs w:val="21"/>
              </w:rPr>
              <w:t>姓名</w:t>
            </w:r>
            <w:r>
              <w:rPr>
                <w:rFonts w:eastAsia="方正仿宋简体"/>
                <w:color w:val="333333"/>
                <w:kern w:val="0"/>
                <w:sz w:val="18"/>
                <w:szCs w:val="18"/>
              </w:rPr>
              <w:t xml:space="preserve"> </w:t>
            </w:r>
          </w:p>
        </w:tc>
        <w:tc>
          <w:tcPr>
            <w:tcW w:w="2976" w:type="dxa"/>
            <w:gridSpan w:val="6"/>
            <w:tcBorders>
              <w:top w:val="single" w:color="000000" w:sz="4" w:space="0"/>
              <w:left w:val="nil"/>
              <w:bottom w:val="single" w:color="000000" w:sz="4" w:space="0"/>
              <w:right w:val="single" w:color="000000" w:sz="4" w:space="0"/>
            </w:tcBorders>
            <w:vAlign w:val="center"/>
          </w:tcPr>
          <w:p>
            <w:pPr>
              <w:widowControl/>
              <w:jc w:val="left"/>
              <w:rPr>
                <w:rFonts w:eastAsia="方正仿宋简体"/>
                <w:color w:val="333333"/>
                <w:kern w:val="0"/>
                <w:sz w:val="18"/>
                <w:szCs w:val="18"/>
              </w:rPr>
            </w:pPr>
          </w:p>
        </w:tc>
        <w:tc>
          <w:tcPr>
            <w:tcW w:w="851" w:type="dxa"/>
            <w:gridSpan w:val="2"/>
            <w:tcBorders>
              <w:top w:val="single" w:color="000000" w:sz="4" w:space="0"/>
              <w:left w:val="nil"/>
              <w:bottom w:val="single" w:color="000000" w:sz="4" w:space="0"/>
              <w:right w:val="single" w:color="000000" w:sz="4" w:space="0"/>
            </w:tcBorders>
            <w:vAlign w:val="center"/>
          </w:tcPr>
          <w:p>
            <w:pPr>
              <w:widowControl/>
              <w:spacing w:line="320" w:lineRule="atLeast"/>
              <w:jc w:val="center"/>
              <w:rPr>
                <w:rFonts w:eastAsia="方正仿宋简体"/>
                <w:color w:val="333333"/>
                <w:kern w:val="0"/>
                <w:szCs w:val="21"/>
              </w:rPr>
            </w:pPr>
            <w:r>
              <w:rPr>
                <w:rFonts w:eastAsia="方正仿宋简体"/>
                <w:color w:val="333333"/>
                <w:kern w:val="0"/>
                <w:szCs w:val="21"/>
              </w:rPr>
              <w:t>联系</w:t>
            </w:r>
          </w:p>
          <w:p>
            <w:pPr>
              <w:widowControl/>
              <w:spacing w:line="320" w:lineRule="atLeast"/>
              <w:jc w:val="center"/>
              <w:rPr>
                <w:rFonts w:eastAsia="方正仿宋简体"/>
                <w:color w:val="333333"/>
                <w:kern w:val="0"/>
                <w:sz w:val="18"/>
                <w:szCs w:val="18"/>
              </w:rPr>
            </w:pPr>
            <w:r>
              <w:rPr>
                <w:rFonts w:eastAsia="方正仿宋简体"/>
                <w:color w:val="333333"/>
                <w:kern w:val="0"/>
                <w:szCs w:val="21"/>
              </w:rPr>
              <w:t>电话</w:t>
            </w:r>
            <w:r>
              <w:rPr>
                <w:rFonts w:eastAsia="方正仿宋简体"/>
                <w:color w:val="333333"/>
                <w:kern w:val="0"/>
                <w:sz w:val="18"/>
                <w:szCs w:val="18"/>
              </w:rPr>
              <w:t xml:space="preserve"> </w:t>
            </w:r>
          </w:p>
        </w:tc>
        <w:tc>
          <w:tcPr>
            <w:tcW w:w="2833" w:type="dxa"/>
            <w:gridSpan w:val="5"/>
            <w:tcBorders>
              <w:top w:val="single" w:color="000000" w:sz="4" w:space="0"/>
              <w:left w:val="nil"/>
              <w:bottom w:val="single" w:color="000000" w:sz="4" w:space="0"/>
              <w:right w:val="single" w:color="000000" w:sz="4" w:space="0"/>
            </w:tcBorders>
            <w:vAlign w:val="center"/>
          </w:tcPr>
          <w:p>
            <w:pPr>
              <w:widowControl/>
              <w:jc w:val="left"/>
              <w:rPr>
                <w:rFonts w:eastAsia="方正仿宋简体"/>
                <w:color w:val="333333"/>
                <w:kern w:val="0"/>
                <w:sz w:val="18"/>
                <w:szCs w:val="18"/>
              </w:rPr>
            </w:pPr>
          </w:p>
        </w:tc>
      </w:tr>
      <w:tr>
        <w:tblPrEx>
          <w:tblCellMar>
            <w:top w:w="0" w:type="dxa"/>
            <w:left w:w="108" w:type="dxa"/>
            <w:bottom w:w="0" w:type="dxa"/>
            <w:right w:w="108" w:type="dxa"/>
          </w:tblCellMar>
        </w:tblPrEx>
        <w:trPr>
          <w:jc w:val="center"/>
        </w:trPr>
        <w:tc>
          <w:tcPr>
            <w:tcW w:w="2609" w:type="dxa"/>
            <w:tcBorders>
              <w:top w:val="single" w:color="000000" w:sz="4" w:space="0"/>
              <w:left w:val="single" w:color="000000" w:sz="4" w:space="0"/>
              <w:bottom w:val="single" w:color="000000" w:sz="4" w:space="0"/>
              <w:right w:val="single" w:color="000000" w:sz="4" w:space="0"/>
            </w:tcBorders>
            <w:vAlign w:val="center"/>
          </w:tcPr>
          <w:p>
            <w:pPr>
              <w:widowControl/>
              <w:spacing w:line="320" w:lineRule="atLeast"/>
              <w:jc w:val="center"/>
              <w:rPr>
                <w:rFonts w:eastAsia="方正仿宋简体"/>
                <w:color w:val="333333"/>
                <w:kern w:val="0"/>
                <w:sz w:val="18"/>
                <w:szCs w:val="18"/>
              </w:rPr>
            </w:pPr>
            <w:r>
              <w:rPr>
                <w:rFonts w:eastAsia="方正仿宋简体"/>
                <w:color w:val="333333"/>
                <w:kern w:val="0"/>
                <w:szCs w:val="21"/>
              </w:rPr>
              <w:t>证件类型及号码</w:t>
            </w:r>
            <w:r>
              <w:rPr>
                <w:rFonts w:eastAsia="方正仿宋简体"/>
                <w:color w:val="333333"/>
                <w:kern w:val="0"/>
                <w:sz w:val="18"/>
                <w:szCs w:val="18"/>
              </w:rPr>
              <w:t xml:space="preserve"> </w:t>
            </w:r>
          </w:p>
        </w:tc>
        <w:tc>
          <w:tcPr>
            <w:tcW w:w="6660" w:type="dxa"/>
            <w:gridSpan w:val="13"/>
            <w:tcBorders>
              <w:top w:val="single" w:color="000000" w:sz="4" w:space="0"/>
              <w:left w:val="nil"/>
              <w:bottom w:val="single" w:color="000000" w:sz="4" w:space="0"/>
              <w:right w:val="single" w:color="000000" w:sz="4" w:space="0"/>
            </w:tcBorders>
            <w:vAlign w:val="center"/>
          </w:tcPr>
          <w:p>
            <w:pPr>
              <w:widowControl/>
              <w:jc w:val="left"/>
              <w:rPr>
                <w:rFonts w:eastAsia="方正仿宋简体"/>
                <w:color w:val="333333"/>
                <w:kern w:val="0"/>
                <w:sz w:val="18"/>
                <w:szCs w:val="18"/>
              </w:rPr>
            </w:pPr>
          </w:p>
        </w:tc>
      </w:tr>
      <w:tr>
        <w:tblPrEx>
          <w:tblCellMar>
            <w:top w:w="0" w:type="dxa"/>
            <w:left w:w="108" w:type="dxa"/>
            <w:bottom w:w="0" w:type="dxa"/>
            <w:right w:w="108" w:type="dxa"/>
          </w:tblCellMar>
        </w:tblPrEx>
        <w:trPr>
          <w:jc w:val="center"/>
        </w:trPr>
        <w:tc>
          <w:tcPr>
            <w:tcW w:w="2609" w:type="dxa"/>
            <w:tcBorders>
              <w:top w:val="single" w:color="000000" w:sz="4" w:space="0"/>
              <w:left w:val="single" w:color="000000" w:sz="4" w:space="0"/>
              <w:bottom w:val="single" w:color="000000" w:sz="4" w:space="0"/>
              <w:right w:val="single" w:color="000000" w:sz="4" w:space="0"/>
            </w:tcBorders>
            <w:vAlign w:val="center"/>
          </w:tcPr>
          <w:p>
            <w:pPr>
              <w:widowControl/>
              <w:spacing w:line="320" w:lineRule="atLeast"/>
              <w:jc w:val="center"/>
              <w:rPr>
                <w:rFonts w:eastAsia="方正仿宋简体"/>
                <w:color w:val="333333"/>
                <w:kern w:val="0"/>
                <w:sz w:val="18"/>
                <w:szCs w:val="18"/>
              </w:rPr>
            </w:pPr>
            <w:r>
              <w:rPr>
                <w:rFonts w:eastAsia="方正仿宋简体"/>
                <w:color w:val="333333"/>
                <w:kern w:val="0"/>
                <w:szCs w:val="21"/>
              </w:rPr>
              <w:t>联系地址</w:t>
            </w:r>
            <w:r>
              <w:rPr>
                <w:rFonts w:eastAsia="方正仿宋简体"/>
                <w:color w:val="333333"/>
                <w:kern w:val="0"/>
                <w:sz w:val="18"/>
                <w:szCs w:val="18"/>
              </w:rPr>
              <w:t xml:space="preserve"> </w:t>
            </w:r>
          </w:p>
        </w:tc>
        <w:tc>
          <w:tcPr>
            <w:tcW w:w="2976" w:type="dxa"/>
            <w:gridSpan w:val="6"/>
            <w:tcBorders>
              <w:top w:val="single" w:color="000000" w:sz="4" w:space="0"/>
              <w:left w:val="nil"/>
              <w:bottom w:val="single" w:color="000000" w:sz="4" w:space="0"/>
              <w:right w:val="single" w:color="000000" w:sz="4" w:space="0"/>
            </w:tcBorders>
            <w:vAlign w:val="center"/>
          </w:tcPr>
          <w:p>
            <w:pPr>
              <w:widowControl/>
              <w:jc w:val="left"/>
              <w:rPr>
                <w:rFonts w:eastAsia="方正仿宋简体"/>
                <w:color w:val="333333"/>
                <w:kern w:val="0"/>
                <w:sz w:val="18"/>
                <w:szCs w:val="18"/>
              </w:rPr>
            </w:pPr>
          </w:p>
        </w:tc>
        <w:tc>
          <w:tcPr>
            <w:tcW w:w="851" w:type="dxa"/>
            <w:gridSpan w:val="2"/>
            <w:tcBorders>
              <w:top w:val="single" w:color="000000" w:sz="4" w:space="0"/>
              <w:left w:val="nil"/>
              <w:bottom w:val="single" w:color="000000" w:sz="4" w:space="0"/>
              <w:right w:val="single" w:color="000000" w:sz="4" w:space="0"/>
            </w:tcBorders>
            <w:vAlign w:val="center"/>
          </w:tcPr>
          <w:p>
            <w:pPr>
              <w:widowControl/>
              <w:spacing w:line="320" w:lineRule="atLeast"/>
              <w:jc w:val="center"/>
              <w:rPr>
                <w:rFonts w:eastAsia="方正仿宋简体"/>
                <w:color w:val="333333"/>
                <w:kern w:val="0"/>
                <w:szCs w:val="21"/>
              </w:rPr>
            </w:pPr>
            <w:r>
              <w:rPr>
                <w:rFonts w:eastAsia="方正仿宋简体"/>
                <w:color w:val="333333"/>
                <w:kern w:val="0"/>
                <w:szCs w:val="21"/>
              </w:rPr>
              <w:t>邮政</w:t>
            </w:r>
          </w:p>
          <w:p>
            <w:pPr>
              <w:widowControl/>
              <w:spacing w:line="320" w:lineRule="atLeast"/>
              <w:jc w:val="center"/>
              <w:rPr>
                <w:rFonts w:eastAsia="方正仿宋简体"/>
                <w:color w:val="333333"/>
                <w:kern w:val="0"/>
                <w:sz w:val="18"/>
                <w:szCs w:val="18"/>
              </w:rPr>
            </w:pPr>
            <w:r>
              <w:rPr>
                <w:rFonts w:eastAsia="方正仿宋简体"/>
                <w:color w:val="333333"/>
                <w:kern w:val="0"/>
                <w:szCs w:val="21"/>
              </w:rPr>
              <w:t>编码</w:t>
            </w:r>
            <w:r>
              <w:rPr>
                <w:rFonts w:eastAsia="方正仿宋简体"/>
                <w:color w:val="333333"/>
                <w:kern w:val="0"/>
                <w:sz w:val="18"/>
                <w:szCs w:val="18"/>
              </w:rPr>
              <w:t xml:space="preserve"> </w:t>
            </w:r>
          </w:p>
        </w:tc>
        <w:tc>
          <w:tcPr>
            <w:tcW w:w="2833" w:type="dxa"/>
            <w:gridSpan w:val="5"/>
            <w:tcBorders>
              <w:top w:val="single" w:color="000000" w:sz="4" w:space="0"/>
              <w:left w:val="nil"/>
              <w:bottom w:val="single" w:color="000000" w:sz="4" w:space="0"/>
              <w:right w:val="single" w:color="000000" w:sz="4" w:space="0"/>
            </w:tcBorders>
            <w:vAlign w:val="center"/>
          </w:tcPr>
          <w:p>
            <w:pPr>
              <w:widowControl/>
              <w:jc w:val="left"/>
              <w:rPr>
                <w:rFonts w:eastAsia="方正仿宋简体"/>
                <w:color w:val="333333"/>
                <w:kern w:val="0"/>
                <w:sz w:val="18"/>
                <w:szCs w:val="18"/>
              </w:rPr>
            </w:pPr>
          </w:p>
        </w:tc>
      </w:tr>
      <w:tr>
        <w:tblPrEx>
          <w:tblCellMar>
            <w:top w:w="0" w:type="dxa"/>
            <w:left w:w="108" w:type="dxa"/>
            <w:bottom w:w="0" w:type="dxa"/>
            <w:right w:w="108" w:type="dxa"/>
          </w:tblCellMar>
        </w:tblPrEx>
        <w:trPr>
          <w:jc w:val="center"/>
        </w:trPr>
        <w:tc>
          <w:tcPr>
            <w:tcW w:w="9269" w:type="dxa"/>
            <w:gridSpan w:val="14"/>
            <w:tcBorders>
              <w:top w:val="single" w:color="000000" w:sz="4" w:space="0"/>
              <w:left w:val="single" w:color="000000" w:sz="4" w:space="0"/>
              <w:bottom w:val="single" w:color="000000" w:sz="4" w:space="0"/>
              <w:right w:val="single" w:color="000000" w:sz="4" w:space="0"/>
            </w:tcBorders>
            <w:vAlign w:val="center"/>
          </w:tcPr>
          <w:p>
            <w:pPr>
              <w:widowControl/>
              <w:spacing w:line="320" w:lineRule="atLeast"/>
              <w:jc w:val="center"/>
              <w:rPr>
                <w:rFonts w:eastAsia="方正仿宋简体"/>
                <w:color w:val="333333"/>
                <w:kern w:val="0"/>
                <w:sz w:val="18"/>
                <w:szCs w:val="18"/>
              </w:rPr>
            </w:pPr>
            <w:r>
              <w:rPr>
                <w:rFonts w:eastAsia="方正仿宋简体"/>
                <w:color w:val="333333"/>
                <w:kern w:val="0"/>
                <w:szCs w:val="21"/>
              </w:rPr>
              <w:t>结算单确认人</w:t>
            </w:r>
            <w:r>
              <w:rPr>
                <w:rFonts w:eastAsia="方正仿宋简体"/>
                <w:color w:val="333333"/>
                <w:kern w:val="0"/>
                <w:sz w:val="18"/>
                <w:szCs w:val="18"/>
              </w:rPr>
              <w:t xml:space="preserve"> </w:t>
            </w:r>
          </w:p>
        </w:tc>
      </w:tr>
      <w:tr>
        <w:tblPrEx>
          <w:tblCellMar>
            <w:top w:w="0" w:type="dxa"/>
            <w:left w:w="108" w:type="dxa"/>
            <w:bottom w:w="0" w:type="dxa"/>
            <w:right w:w="108" w:type="dxa"/>
          </w:tblCellMar>
        </w:tblPrEx>
        <w:trPr>
          <w:jc w:val="center"/>
        </w:trPr>
        <w:tc>
          <w:tcPr>
            <w:tcW w:w="2609" w:type="dxa"/>
            <w:tcBorders>
              <w:top w:val="single" w:color="000000" w:sz="4" w:space="0"/>
              <w:left w:val="single" w:color="000000" w:sz="4" w:space="0"/>
              <w:bottom w:val="single" w:color="000000" w:sz="4" w:space="0"/>
              <w:right w:val="single" w:color="000000" w:sz="4" w:space="0"/>
            </w:tcBorders>
            <w:vAlign w:val="center"/>
          </w:tcPr>
          <w:p>
            <w:pPr>
              <w:widowControl/>
              <w:spacing w:line="320" w:lineRule="atLeast"/>
              <w:jc w:val="center"/>
              <w:rPr>
                <w:rFonts w:eastAsia="方正仿宋简体"/>
                <w:color w:val="333333"/>
                <w:kern w:val="0"/>
                <w:sz w:val="18"/>
                <w:szCs w:val="18"/>
              </w:rPr>
            </w:pPr>
            <w:r>
              <w:rPr>
                <w:rFonts w:eastAsia="方正仿宋简体"/>
                <w:color w:val="333333"/>
                <w:kern w:val="0"/>
                <w:szCs w:val="21"/>
              </w:rPr>
              <w:t>姓名</w:t>
            </w:r>
            <w:r>
              <w:rPr>
                <w:rFonts w:eastAsia="方正仿宋简体"/>
                <w:color w:val="333333"/>
                <w:kern w:val="0"/>
                <w:sz w:val="18"/>
                <w:szCs w:val="18"/>
              </w:rPr>
              <w:t xml:space="preserve"> </w:t>
            </w:r>
          </w:p>
        </w:tc>
        <w:tc>
          <w:tcPr>
            <w:tcW w:w="2976" w:type="dxa"/>
            <w:gridSpan w:val="6"/>
            <w:tcBorders>
              <w:top w:val="single" w:color="000000" w:sz="4" w:space="0"/>
              <w:left w:val="nil"/>
              <w:bottom w:val="single" w:color="000000" w:sz="4" w:space="0"/>
              <w:right w:val="single" w:color="000000" w:sz="4" w:space="0"/>
            </w:tcBorders>
            <w:vAlign w:val="center"/>
          </w:tcPr>
          <w:p>
            <w:pPr>
              <w:widowControl/>
              <w:jc w:val="left"/>
              <w:rPr>
                <w:rFonts w:eastAsia="方正仿宋简体"/>
                <w:color w:val="333333"/>
                <w:kern w:val="0"/>
                <w:sz w:val="18"/>
                <w:szCs w:val="18"/>
              </w:rPr>
            </w:pPr>
          </w:p>
        </w:tc>
        <w:tc>
          <w:tcPr>
            <w:tcW w:w="851" w:type="dxa"/>
            <w:gridSpan w:val="2"/>
            <w:tcBorders>
              <w:top w:val="single" w:color="000000" w:sz="4" w:space="0"/>
              <w:left w:val="nil"/>
              <w:bottom w:val="single" w:color="000000" w:sz="4" w:space="0"/>
              <w:right w:val="single" w:color="000000" w:sz="4" w:space="0"/>
            </w:tcBorders>
            <w:vAlign w:val="center"/>
          </w:tcPr>
          <w:p>
            <w:pPr>
              <w:widowControl/>
              <w:spacing w:line="320" w:lineRule="atLeast"/>
              <w:jc w:val="center"/>
              <w:rPr>
                <w:rFonts w:eastAsia="方正仿宋简体"/>
                <w:color w:val="333333"/>
                <w:kern w:val="0"/>
                <w:szCs w:val="21"/>
              </w:rPr>
            </w:pPr>
            <w:r>
              <w:rPr>
                <w:rFonts w:eastAsia="方正仿宋简体"/>
                <w:color w:val="333333"/>
                <w:kern w:val="0"/>
                <w:szCs w:val="21"/>
              </w:rPr>
              <w:t>联系</w:t>
            </w:r>
          </w:p>
          <w:p>
            <w:pPr>
              <w:widowControl/>
              <w:spacing w:line="320" w:lineRule="atLeast"/>
              <w:jc w:val="center"/>
              <w:rPr>
                <w:rFonts w:eastAsia="方正仿宋简体"/>
                <w:color w:val="333333"/>
                <w:kern w:val="0"/>
                <w:sz w:val="18"/>
                <w:szCs w:val="18"/>
              </w:rPr>
            </w:pPr>
            <w:r>
              <w:rPr>
                <w:rFonts w:eastAsia="方正仿宋简体"/>
                <w:color w:val="333333"/>
                <w:kern w:val="0"/>
                <w:szCs w:val="21"/>
              </w:rPr>
              <w:t>电话</w:t>
            </w:r>
            <w:r>
              <w:rPr>
                <w:rFonts w:eastAsia="方正仿宋简体"/>
                <w:color w:val="333333"/>
                <w:kern w:val="0"/>
                <w:sz w:val="18"/>
                <w:szCs w:val="18"/>
              </w:rPr>
              <w:t xml:space="preserve"> </w:t>
            </w:r>
          </w:p>
        </w:tc>
        <w:tc>
          <w:tcPr>
            <w:tcW w:w="2833" w:type="dxa"/>
            <w:gridSpan w:val="5"/>
            <w:tcBorders>
              <w:top w:val="single" w:color="000000" w:sz="4" w:space="0"/>
              <w:left w:val="nil"/>
              <w:bottom w:val="single" w:color="000000" w:sz="4" w:space="0"/>
              <w:right w:val="single" w:color="000000" w:sz="4" w:space="0"/>
            </w:tcBorders>
            <w:vAlign w:val="center"/>
          </w:tcPr>
          <w:p>
            <w:pPr>
              <w:widowControl/>
              <w:jc w:val="left"/>
              <w:rPr>
                <w:rFonts w:eastAsia="方正仿宋简体"/>
                <w:color w:val="333333"/>
                <w:kern w:val="0"/>
                <w:sz w:val="18"/>
                <w:szCs w:val="18"/>
              </w:rPr>
            </w:pPr>
          </w:p>
        </w:tc>
      </w:tr>
      <w:tr>
        <w:tblPrEx>
          <w:tblCellMar>
            <w:top w:w="0" w:type="dxa"/>
            <w:left w:w="108" w:type="dxa"/>
            <w:bottom w:w="0" w:type="dxa"/>
            <w:right w:w="108" w:type="dxa"/>
          </w:tblCellMar>
        </w:tblPrEx>
        <w:trPr>
          <w:jc w:val="center"/>
        </w:trPr>
        <w:tc>
          <w:tcPr>
            <w:tcW w:w="2609" w:type="dxa"/>
            <w:tcBorders>
              <w:top w:val="single" w:color="000000" w:sz="4" w:space="0"/>
              <w:left w:val="single" w:color="000000" w:sz="4" w:space="0"/>
              <w:bottom w:val="single" w:color="000000" w:sz="4" w:space="0"/>
              <w:right w:val="single" w:color="000000" w:sz="4" w:space="0"/>
            </w:tcBorders>
            <w:vAlign w:val="center"/>
          </w:tcPr>
          <w:p>
            <w:pPr>
              <w:widowControl/>
              <w:spacing w:line="320" w:lineRule="atLeast"/>
              <w:jc w:val="center"/>
              <w:rPr>
                <w:rFonts w:eastAsia="方正仿宋简体"/>
                <w:color w:val="333333"/>
                <w:kern w:val="0"/>
                <w:sz w:val="18"/>
                <w:szCs w:val="18"/>
              </w:rPr>
            </w:pPr>
            <w:r>
              <w:rPr>
                <w:rFonts w:eastAsia="方正仿宋简体"/>
                <w:color w:val="333333"/>
                <w:kern w:val="0"/>
                <w:szCs w:val="21"/>
              </w:rPr>
              <w:t>证件类型及号码</w:t>
            </w:r>
            <w:r>
              <w:rPr>
                <w:rFonts w:eastAsia="方正仿宋简体"/>
                <w:color w:val="333333"/>
                <w:kern w:val="0"/>
                <w:sz w:val="18"/>
                <w:szCs w:val="18"/>
              </w:rPr>
              <w:t xml:space="preserve"> </w:t>
            </w:r>
          </w:p>
        </w:tc>
        <w:tc>
          <w:tcPr>
            <w:tcW w:w="6660" w:type="dxa"/>
            <w:gridSpan w:val="13"/>
            <w:tcBorders>
              <w:top w:val="single" w:color="000000" w:sz="4" w:space="0"/>
              <w:left w:val="nil"/>
              <w:bottom w:val="single" w:color="000000" w:sz="4" w:space="0"/>
              <w:right w:val="single" w:color="000000" w:sz="4" w:space="0"/>
            </w:tcBorders>
            <w:vAlign w:val="center"/>
          </w:tcPr>
          <w:p>
            <w:pPr>
              <w:widowControl/>
              <w:jc w:val="left"/>
              <w:rPr>
                <w:rFonts w:eastAsia="方正仿宋简体"/>
                <w:color w:val="333333"/>
                <w:kern w:val="0"/>
                <w:sz w:val="18"/>
                <w:szCs w:val="18"/>
              </w:rPr>
            </w:pPr>
          </w:p>
        </w:tc>
      </w:tr>
      <w:tr>
        <w:tblPrEx>
          <w:tblCellMar>
            <w:top w:w="0" w:type="dxa"/>
            <w:left w:w="108" w:type="dxa"/>
            <w:bottom w:w="0" w:type="dxa"/>
            <w:right w:w="108" w:type="dxa"/>
          </w:tblCellMar>
        </w:tblPrEx>
        <w:trPr>
          <w:jc w:val="center"/>
        </w:trPr>
        <w:tc>
          <w:tcPr>
            <w:tcW w:w="2609" w:type="dxa"/>
            <w:tcBorders>
              <w:top w:val="single" w:color="000000" w:sz="4" w:space="0"/>
              <w:left w:val="single" w:color="000000" w:sz="4" w:space="0"/>
              <w:bottom w:val="single" w:color="000000" w:sz="4" w:space="0"/>
              <w:right w:val="single" w:color="000000" w:sz="4" w:space="0"/>
            </w:tcBorders>
          </w:tcPr>
          <w:p>
            <w:pPr>
              <w:widowControl/>
              <w:spacing w:line="320" w:lineRule="atLeast"/>
              <w:jc w:val="center"/>
              <w:rPr>
                <w:rFonts w:eastAsia="方正仿宋简体"/>
                <w:color w:val="333333"/>
                <w:kern w:val="0"/>
                <w:sz w:val="18"/>
                <w:szCs w:val="18"/>
              </w:rPr>
            </w:pPr>
            <w:r>
              <w:rPr>
                <w:rFonts w:eastAsia="方正仿宋简体"/>
                <w:color w:val="333333"/>
                <w:kern w:val="0"/>
                <w:szCs w:val="21"/>
              </w:rPr>
              <w:t>联系地址</w:t>
            </w:r>
            <w:r>
              <w:rPr>
                <w:rFonts w:eastAsia="方正仿宋简体"/>
                <w:color w:val="333333"/>
                <w:kern w:val="0"/>
                <w:sz w:val="18"/>
                <w:szCs w:val="18"/>
              </w:rPr>
              <w:t xml:space="preserve"> </w:t>
            </w:r>
          </w:p>
        </w:tc>
        <w:tc>
          <w:tcPr>
            <w:tcW w:w="2976" w:type="dxa"/>
            <w:gridSpan w:val="6"/>
            <w:tcBorders>
              <w:top w:val="single" w:color="000000" w:sz="4" w:space="0"/>
              <w:left w:val="nil"/>
              <w:bottom w:val="single" w:color="000000" w:sz="4" w:space="0"/>
              <w:right w:val="single" w:color="000000" w:sz="4" w:space="0"/>
            </w:tcBorders>
          </w:tcPr>
          <w:p>
            <w:pPr>
              <w:widowControl/>
              <w:jc w:val="left"/>
              <w:rPr>
                <w:rFonts w:eastAsia="方正仿宋简体"/>
                <w:color w:val="333333"/>
                <w:kern w:val="0"/>
                <w:sz w:val="18"/>
                <w:szCs w:val="18"/>
              </w:rPr>
            </w:pPr>
          </w:p>
        </w:tc>
        <w:tc>
          <w:tcPr>
            <w:tcW w:w="851" w:type="dxa"/>
            <w:gridSpan w:val="2"/>
            <w:tcBorders>
              <w:top w:val="single" w:color="000000" w:sz="4" w:space="0"/>
              <w:left w:val="nil"/>
              <w:bottom w:val="single" w:color="000000" w:sz="4" w:space="0"/>
              <w:right w:val="single" w:color="000000" w:sz="4" w:space="0"/>
            </w:tcBorders>
            <w:vAlign w:val="center"/>
          </w:tcPr>
          <w:p>
            <w:pPr>
              <w:widowControl/>
              <w:spacing w:line="320" w:lineRule="atLeast"/>
              <w:jc w:val="center"/>
              <w:rPr>
                <w:rFonts w:eastAsia="方正仿宋简体"/>
                <w:color w:val="333333"/>
                <w:kern w:val="0"/>
                <w:szCs w:val="21"/>
              </w:rPr>
            </w:pPr>
            <w:r>
              <w:rPr>
                <w:rFonts w:eastAsia="方正仿宋简体"/>
                <w:color w:val="333333"/>
                <w:kern w:val="0"/>
                <w:szCs w:val="21"/>
              </w:rPr>
              <w:t>邮政</w:t>
            </w:r>
          </w:p>
          <w:p>
            <w:pPr>
              <w:widowControl/>
              <w:spacing w:line="320" w:lineRule="atLeast"/>
              <w:jc w:val="center"/>
              <w:rPr>
                <w:rFonts w:eastAsia="方正仿宋简体"/>
                <w:color w:val="333333"/>
                <w:kern w:val="0"/>
                <w:sz w:val="18"/>
                <w:szCs w:val="18"/>
              </w:rPr>
            </w:pPr>
            <w:r>
              <w:rPr>
                <w:rFonts w:eastAsia="方正仿宋简体"/>
                <w:color w:val="333333"/>
                <w:kern w:val="0"/>
                <w:szCs w:val="21"/>
              </w:rPr>
              <w:t>编码</w:t>
            </w:r>
            <w:r>
              <w:rPr>
                <w:rFonts w:eastAsia="方正仿宋简体"/>
                <w:color w:val="333333"/>
                <w:kern w:val="0"/>
                <w:sz w:val="18"/>
                <w:szCs w:val="18"/>
              </w:rPr>
              <w:t xml:space="preserve"> </w:t>
            </w:r>
          </w:p>
        </w:tc>
        <w:tc>
          <w:tcPr>
            <w:tcW w:w="2833" w:type="dxa"/>
            <w:gridSpan w:val="5"/>
            <w:tcBorders>
              <w:top w:val="single" w:color="000000" w:sz="4" w:space="0"/>
              <w:left w:val="nil"/>
              <w:bottom w:val="single" w:color="000000" w:sz="4" w:space="0"/>
              <w:right w:val="single" w:color="000000" w:sz="4" w:space="0"/>
            </w:tcBorders>
          </w:tcPr>
          <w:p>
            <w:pPr>
              <w:widowControl/>
              <w:jc w:val="left"/>
              <w:rPr>
                <w:rFonts w:eastAsia="方正仿宋简体"/>
                <w:color w:val="333333"/>
                <w:kern w:val="0"/>
                <w:sz w:val="18"/>
                <w:szCs w:val="18"/>
              </w:rPr>
            </w:pPr>
          </w:p>
        </w:tc>
      </w:tr>
      <w:tr>
        <w:tblPrEx>
          <w:tblCellMar>
            <w:top w:w="0" w:type="dxa"/>
            <w:left w:w="108" w:type="dxa"/>
            <w:bottom w:w="0" w:type="dxa"/>
            <w:right w:w="108" w:type="dxa"/>
          </w:tblCellMar>
        </w:tblPrEx>
        <w:trPr>
          <w:jc w:val="center"/>
        </w:trPr>
        <w:tc>
          <w:tcPr>
            <w:tcW w:w="9269" w:type="dxa"/>
            <w:gridSpan w:val="14"/>
            <w:tcBorders>
              <w:top w:val="single" w:color="000000" w:sz="4" w:space="0"/>
              <w:left w:val="single" w:color="000000" w:sz="4" w:space="0"/>
              <w:bottom w:val="single" w:color="000000" w:sz="4" w:space="0"/>
              <w:right w:val="single" w:color="000000" w:sz="4" w:space="0"/>
            </w:tcBorders>
            <w:vAlign w:val="center"/>
          </w:tcPr>
          <w:p>
            <w:pPr>
              <w:widowControl/>
              <w:spacing w:line="320" w:lineRule="atLeast"/>
              <w:jc w:val="center"/>
              <w:rPr>
                <w:rFonts w:eastAsia="方正仿宋简体"/>
                <w:color w:val="333333"/>
                <w:kern w:val="0"/>
                <w:sz w:val="18"/>
                <w:szCs w:val="18"/>
              </w:rPr>
            </w:pPr>
            <w:r>
              <w:rPr>
                <w:rFonts w:eastAsia="方正仿宋简体"/>
                <w:color w:val="333333"/>
                <w:kern w:val="0"/>
                <w:szCs w:val="21"/>
              </w:rPr>
              <w:t>客户/投资者期权银行结算账户</w:t>
            </w:r>
            <w:r>
              <w:rPr>
                <w:rFonts w:eastAsia="方正仿宋简体"/>
                <w:color w:val="333333"/>
                <w:kern w:val="0"/>
                <w:sz w:val="18"/>
                <w:szCs w:val="18"/>
              </w:rPr>
              <w:t xml:space="preserve"> </w:t>
            </w:r>
          </w:p>
        </w:tc>
      </w:tr>
      <w:tr>
        <w:tblPrEx>
          <w:tblCellMar>
            <w:top w:w="0" w:type="dxa"/>
            <w:left w:w="108" w:type="dxa"/>
            <w:bottom w:w="0" w:type="dxa"/>
            <w:right w:w="108" w:type="dxa"/>
          </w:tblCellMar>
        </w:tblPrEx>
        <w:trPr>
          <w:trHeight w:val="1112" w:hRule="atLeast"/>
          <w:jc w:val="center"/>
        </w:trPr>
        <w:tc>
          <w:tcPr>
            <w:tcW w:w="2609" w:type="dxa"/>
            <w:tcBorders>
              <w:top w:val="single" w:color="000000" w:sz="4" w:space="0"/>
              <w:left w:val="single" w:color="000000" w:sz="4" w:space="0"/>
              <w:bottom w:val="single" w:color="000000" w:sz="4" w:space="0"/>
              <w:right w:val="single" w:color="000000" w:sz="4" w:space="0"/>
            </w:tcBorders>
            <w:vAlign w:val="center"/>
          </w:tcPr>
          <w:p>
            <w:pPr>
              <w:widowControl/>
              <w:spacing w:line="320" w:lineRule="atLeast"/>
              <w:jc w:val="center"/>
              <w:rPr>
                <w:rFonts w:eastAsia="方正仿宋简体"/>
                <w:color w:val="333333"/>
                <w:kern w:val="0"/>
                <w:sz w:val="18"/>
                <w:szCs w:val="18"/>
              </w:rPr>
            </w:pPr>
            <w:r>
              <w:rPr>
                <w:rFonts w:eastAsia="方正仿宋简体"/>
                <w:color w:val="333333"/>
                <w:kern w:val="0"/>
                <w:szCs w:val="21"/>
              </w:rPr>
              <w:t>户名</w:t>
            </w:r>
            <w:r>
              <w:rPr>
                <w:rFonts w:eastAsia="方正仿宋简体"/>
                <w:color w:val="333333"/>
                <w:kern w:val="0"/>
                <w:sz w:val="18"/>
                <w:szCs w:val="18"/>
              </w:rPr>
              <w:t xml:space="preserve"> </w:t>
            </w:r>
          </w:p>
          <w:p>
            <w:pPr>
              <w:widowControl/>
              <w:spacing w:line="320" w:lineRule="atLeast"/>
              <w:jc w:val="center"/>
              <w:rPr>
                <w:rFonts w:eastAsia="方正仿宋简体"/>
                <w:color w:val="333333"/>
                <w:kern w:val="0"/>
                <w:sz w:val="18"/>
                <w:szCs w:val="18"/>
              </w:rPr>
            </w:pPr>
            <w:r>
              <w:rPr>
                <w:rFonts w:eastAsia="方正仿宋简体"/>
                <w:color w:val="333333"/>
                <w:kern w:val="0"/>
                <w:szCs w:val="21"/>
              </w:rPr>
              <w:t>（全称）</w:t>
            </w:r>
            <w:r>
              <w:rPr>
                <w:rFonts w:eastAsia="方正仿宋简体"/>
                <w:color w:val="333333"/>
                <w:kern w:val="0"/>
                <w:sz w:val="18"/>
                <w:szCs w:val="18"/>
              </w:rPr>
              <w:t xml:space="preserve"> </w:t>
            </w:r>
          </w:p>
        </w:tc>
        <w:tc>
          <w:tcPr>
            <w:tcW w:w="1430" w:type="dxa"/>
            <w:gridSpan w:val="2"/>
            <w:tcBorders>
              <w:top w:val="single" w:color="000000" w:sz="4" w:space="0"/>
              <w:left w:val="nil"/>
              <w:bottom w:val="single" w:color="000000" w:sz="4" w:space="0"/>
              <w:right w:val="single" w:color="000000" w:sz="4" w:space="0"/>
            </w:tcBorders>
            <w:vAlign w:val="center"/>
          </w:tcPr>
          <w:p>
            <w:pPr>
              <w:widowControl/>
              <w:spacing w:line="320" w:lineRule="atLeast"/>
              <w:jc w:val="left"/>
              <w:rPr>
                <w:rFonts w:eastAsia="方正仿宋简体"/>
                <w:color w:val="333333"/>
                <w:kern w:val="0"/>
                <w:sz w:val="18"/>
                <w:szCs w:val="18"/>
              </w:rPr>
            </w:pPr>
            <w:r>
              <w:rPr>
                <w:rFonts w:eastAsia="方正仿宋简体"/>
                <w:color w:val="333333"/>
                <w:kern w:val="0"/>
                <w:szCs w:val="21"/>
              </w:rPr>
              <w:t>期权保证金结算银行名称（写明具体开户网点）</w:t>
            </w:r>
            <w:r>
              <w:rPr>
                <w:rFonts w:eastAsia="方正仿宋简体"/>
                <w:color w:val="333333"/>
                <w:kern w:val="0"/>
                <w:sz w:val="18"/>
                <w:szCs w:val="18"/>
              </w:rPr>
              <w:t xml:space="preserve"> </w:t>
            </w:r>
          </w:p>
        </w:tc>
        <w:tc>
          <w:tcPr>
            <w:tcW w:w="1213" w:type="dxa"/>
            <w:gridSpan w:val="3"/>
            <w:tcBorders>
              <w:top w:val="single" w:color="000000" w:sz="4" w:space="0"/>
              <w:left w:val="nil"/>
              <w:bottom w:val="single" w:color="000000" w:sz="4" w:space="0"/>
              <w:right w:val="single" w:color="000000" w:sz="4" w:space="0"/>
            </w:tcBorders>
            <w:vAlign w:val="center"/>
          </w:tcPr>
          <w:p>
            <w:pPr>
              <w:widowControl/>
              <w:spacing w:line="320" w:lineRule="atLeast"/>
              <w:jc w:val="center"/>
              <w:rPr>
                <w:rFonts w:eastAsia="方正仿宋简体"/>
                <w:color w:val="333333"/>
                <w:kern w:val="0"/>
                <w:sz w:val="18"/>
                <w:szCs w:val="18"/>
              </w:rPr>
            </w:pPr>
            <w:r>
              <w:rPr>
                <w:rFonts w:eastAsia="方正仿宋简体"/>
                <w:color w:val="333333"/>
                <w:kern w:val="0"/>
                <w:szCs w:val="21"/>
              </w:rPr>
              <w:t>投资者期权银行结算账户账号</w:t>
            </w:r>
            <w:r>
              <w:rPr>
                <w:rFonts w:eastAsia="方正仿宋简体"/>
                <w:color w:val="333333"/>
                <w:kern w:val="0"/>
                <w:sz w:val="18"/>
                <w:szCs w:val="18"/>
              </w:rPr>
              <w:t xml:space="preserve"> </w:t>
            </w:r>
          </w:p>
        </w:tc>
        <w:tc>
          <w:tcPr>
            <w:tcW w:w="1281" w:type="dxa"/>
            <w:gridSpan w:val="4"/>
            <w:tcBorders>
              <w:top w:val="single" w:color="000000" w:sz="4" w:space="0"/>
              <w:left w:val="nil"/>
              <w:bottom w:val="single" w:color="000000" w:sz="4" w:space="0"/>
              <w:right w:val="single" w:color="000000" w:sz="4" w:space="0"/>
            </w:tcBorders>
            <w:vAlign w:val="center"/>
          </w:tcPr>
          <w:p>
            <w:pPr>
              <w:widowControl/>
              <w:spacing w:line="320" w:lineRule="atLeast"/>
              <w:jc w:val="center"/>
              <w:rPr>
                <w:rFonts w:eastAsia="方正仿宋简体"/>
                <w:color w:val="333333"/>
                <w:kern w:val="0"/>
                <w:sz w:val="18"/>
                <w:szCs w:val="18"/>
              </w:rPr>
            </w:pPr>
            <w:r>
              <w:rPr>
                <w:rFonts w:eastAsia="方正仿宋简体"/>
                <w:color w:val="333333"/>
                <w:kern w:val="0"/>
                <w:szCs w:val="21"/>
              </w:rPr>
              <w:t>此账户是否开通银衍转账（Y/N）</w:t>
            </w:r>
            <w:r>
              <w:rPr>
                <w:rFonts w:eastAsia="方正仿宋简体"/>
                <w:color w:val="333333"/>
                <w:kern w:val="0"/>
                <w:sz w:val="18"/>
                <w:szCs w:val="18"/>
              </w:rPr>
              <w:t xml:space="preserve"> </w:t>
            </w:r>
          </w:p>
        </w:tc>
        <w:tc>
          <w:tcPr>
            <w:tcW w:w="2736" w:type="dxa"/>
            <w:gridSpan w:val="4"/>
            <w:tcBorders>
              <w:top w:val="single" w:color="000000" w:sz="4" w:space="0"/>
              <w:left w:val="nil"/>
              <w:bottom w:val="single" w:color="000000" w:sz="4" w:space="0"/>
              <w:right w:val="single" w:color="auto" w:sz="4" w:space="0"/>
            </w:tcBorders>
            <w:vAlign w:val="center"/>
          </w:tcPr>
          <w:p>
            <w:pPr>
              <w:widowControl/>
              <w:jc w:val="left"/>
              <w:rPr>
                <w:rFonts w:eastAsia="方正仿宋简体"/>
                <w:kern w:val="0"/>
                <w:sz w:val="20"/>
              </w:rPr>
            </w:pPr>
            <w:r>
              <w:rPr>
                <w:rFonts w:eastAsia="方正仿宋简体"/>
                <w:color w:val="333333"/>
                <w:kern w:val="0"/>
                <w:szCs w:val="21"/>
              </w:rPr>
              <w:t>此账户是否开通网上银行（Y/N）</w:t>
            </w:r>
            <w:r>
              <w:rPr>
                <w:rFonts w:eastAsia="方正仿宋简体"/>
                <w:color w:val="333333"/>
                <w:kern w:val="0"/>
                <w:sz w:val="18"/>
                <w:szCs w:val="18"/>
              </w:rPr>
              <w:t xml:space="preserve"> </w:t>
            </w:r>
          </w:p>
        </w:tc>
      </w:tr>
      <w:tr>
        <w:tblPrEx>
          <w:tblCellMar>
            <w:top w:w="0" w:type="dxa"/>
            <w:left w:w="108" w:type="dxa"/>
            <w:bottom w:w="0" w:type="dxa"/>
            <w:right w:w="108" w:type="dxa"/>
          </w:tblCellMar>
        </w:tblPrEx>
        <w:trPr>
          <w:jc w:val="center"/>
        </w:trPr>
        <w:tc>
          <w:tcPr>
            <w:tcW w:w="2609" w:type="dxa"/>
            <w:tcBorders>
              <w:top w:val="single" w:color="000000" w:sz="4" w:space="0"/>
              <w:left w:val="single" w:color="000000" w:sz="4" w:space="0"/>
              <w:bottom w:val="single" w:color="000000" w:sz="4" w:space="0"/>
              <w:right w:val="single" w:color="000000" w:sz="4" w:space="0"/>
            </w:tcBorders>
            <w:vAlign w:val="center"/>
          </w:tcPr>
          <w:p>
            <w:pPr>
              <w:widowControl/>
              <w:jc w:val="left"/>
              <w:rPr>
                <w:rFonts w:eastAsia="方正仿宋简体"/>
                <w:color w:val="333333"/>
                <w:kern w:val="0"/>
                <w:sz w:val="18"/>
                <w:szCs w:val="18"/>
              </w:rPr>
            </w:pPr>
          </w:p>
        </w:tc>
        <w:tc>
          <w:tcPr>
            <w:tcW w:w="1430" w:type="dxa"/>
            <w:gridSpan w:val="2"/>
            <w:tcBorders>
              <w:top w:val="single" w:color="000000" w:sz="4" w:space="0"/>
              <w:left w:val="nil"/>
              <w:bottom w:val="single" w:color="000000" w:sz="4" w:space="0"/>
              <w:right w:val="single" w:color="000000" w:sz="4" w:space="0"/>
            </w:tcBorders>
            <w:vAlign w:val="center"/>
          </w:tcPr>
          <w:p>
            <w:pPr>
              <w:widowControl/>
              <w:jc w:val="left"/>
              <w:rPr>
                <w:rFonts w:eastAsia="方正仿宋简体"/>
                <w:color w:val="333333"/>
                <w:kern w:val="0"/>
                <w:sz w:val="18"/>
                <w:szCs w:val="18"/>
              </w:rPr>
            </w:pPr>
          </w:p>
        </w:tc>
        <w:tc>
          <w:tcPr>
            <w:tcW w:w="1213" w:type="dxa"/>
            <w:gridSpan w:val="3"/>
            <w:tcBorders>
              <w:top w:val="single" w:color="000000" w:sz="4" w:space="0"/>
              <w:left w:val="nil"/>
              <w:bottom w:val="single" w:color="000000" w:sz="4" w:space="0"/>
              <w:right w:val="single" w:color="000000" w:sz="4" w:space="0"/>
            </w:tcBorders>
            <w:vAlign w:val="center"/>
          </w:tcPr>
          <w:p>
            <w:pPr>
              <w:widowControl/>
              <w:jc w:val="left"/>
              <w:rPr>
                <w:rFonts w:eastAsia="方正仿宋简体"/>
                <w:color w:val="333333"/>
                <w:kern w:val="0"/>
                <w:sz w:val="18"/>
                <w:szCs w:val="18"/>
              </w:rPr>
            </w:pPr>
          </w:p>
        </w:tc>
        <w:tc>
          <w:tcPr>
            <w:tcW w:w="1281" w:type="dxa"/>
            <w:gridSpan w:val="4"/>
            <w:tcBorders>
              <w:top w:val="single" w:color="000000" w:sz="4" w:space="0"/>
              <w:left w:val="nil"/>
              <w:bottom w:val="single" w:color="000000" w:sz="4" w:space="0"/>
              <w:right w:val="single" w:color="000000" w:sz="4" w:space="0"/>
            </w:tcBorders>
            <w:vAlign w:val="center"/>
          </w:tcPr>
          <w:p>
            <w:pPr>
              <w:widowControl/>
              <w:jc w:val="left"/>
              <w:rPr>
                <w:rFonts w:eastAsia="方正仿宋简体"/>
                <w:color w:val="333333"/>
                <w:kern w:val="0"/>
                <w:sz w:val="18"/>
                <w:szCs w:val="18"/>
              </w:rPr>
            </w:pPr>
          </w:p>
        </w:tc>
        <w:tc>
          <w:tcPr>
            <w:tcW w:w="2736" w:type="dxa"/>
            <w:gridSpan w:val="4"/>
            <w:tcBorders>
              <w:top w:val="single" w:color="000000" w:sz="4" w:space="0"/>
              <w:left w:val="nil"/>
              <w:bottom w:val="single" w:color="000000" w:sz="4" w:space="0"/>
              <w:right w:val="single" w:color="auto" w:sz="4" w:space="0"/>
            </w:tcBorders>
            <w:vAlign w:val="center"/>
          </w:tcPr>
          <w:p>
            <w:pPr>
              <w:widowControl/>
              <w:jc w:val="left"/>
              <w:rPr>
                <w:rFonts w:eastAsia="方正仿宋简体"/>
                <w:kern w:val="0"/>
                <w:sz w:val="20"/>
              </w:rPr>
            </w:pPr>
          </w:p>
        </w:tc>
      </w:tr>
      <w:tr>
        <w:tblPrEx>
          <w:tblCellMar>
            <w:top w:w="0" w:type="dxa"/>
            <w:left w:w="108" w:type="dxa"/>
            <w:bottom w:w="0" w:type="dxa"/>
            <w:right w:w="108" w:type="dxa"/>
          </w:tblCellMar>
        </w:tblPrEx>
        <w:trPr>
          <w:jc w:val="center"/>
        </w:trPr>
        <w:tc>
          <w:tcPr>
            <w:tcW w:w="2609" w:type="dxa"/>
            <w:tcBorders>
              <w:top w:val="single" w:color="000000" w:sz="4" w:space="0"/>
              <w:left w:val="single" w:color="000000" w:sz="4" w:space="0"/>
              <w:bottom w:val="single" w:color="000000" w:sz="4" w:space="0"/>
              <w:right w:val="single" w:color="000000" w:sz="4" w:space="0"/>
            </w:tcBorders>
            <w:vAlign w:val="center"/>
          </w:tcPr>
          <w:p>
            <w:pPr>
              <w:widowControl/>
              <w:jc w:val="left"/>
              <w:rPr>
                <w:rFonts w:eastAsia="方正仿宋简体"/>
                <w:color w:val="333333"/>
                <w:kern w:val="0"/>
                <w:sz w:val="18"/>
                <w:szCs w:val="18"/>
              </w:rPr>
            </w:pPr>
          </w:p>
        </w:tc>
        <w:tc>
          <w:tcPr>
            <w:tcW w:w="1430" w:type="dxa"/>
            <w:gridSpan w:val="2"/>
            <w:tcBorders>
              <w:top w:val="single" w:color="000000" w:sz="4" w:space="0"/>
              <w:left w:val="nil"/>
              <w:bottom w:val="single" w:color="000000" w:sz="4" w:space="0"/>
              <w:right w:val="single" w:color="000000" w:sz="4" w:space="0"/>
            </w:tcBorders>
            <w:vAlign w:val="center"/>
          </w:tcPr>
          <w:p>
            <w:pPr>
              <w:widowControl/>
              <w:jc w:val="left"/>
              <w:rPr>
                <w:rFonts w:eastAsia="方正仿宋简体"/>
                <w:color w:val="333333"/>
                <w:kern w:val="0"/>
                <w:sz w:val="18"/>
                <w:szCs w:val="18"/>
              </w:rPr>
            </w:pPr>
          </w:p>
        </w:tc>
        <w:tc>
          <w:tcPr>
            <w:tcW w:w="1213" w:type="dxa"/>
            <w:gridSpan w:val="3"/>
            <w:tcBorders>
              <w:top w:val="single" w:color="000000" w:sz="4" w:space="0"/>
              <w:left w:val="nil"/>
              <w:bottom w:val="single" w:color="000000" w:sz="4" w:space="0"/>
              <w:right w:val="single" w:color="000000" w:sz="4" w:space="0"/>
            </w:tcBorders>
            <w:vAlign w:val="center"/>
          </w:tcPr>
          <w:p>
            <w:pPr>
              <w:widowControl/>
              <w:jc w:val="left"/>
              <w:rPr>
                <w:rFonts w:eastAsia="方正仿宋简体"/>
                <w:color w:val="333333"/>
                <w:kern w:val="0"/>
                <w:sz w:val="18"/>
                <w:szCs w:val="18"/>
              </w:rPr>
            </w:pPr>
          </w:p>
        </w:tc>
        <w:tc>
          <w:tcPr>
            <w:tcW w:w="1281" w:type="dxa"/>
            <w:gridSpan w:val="4"/>
            <w:tcBorders>
              <w:top w:val="single" w:color="000000" w:sz="4" w:space="0"/>
              <w:left w:val="nil"/>
              <w:bottom w:val="single" w:color="000000" w:sz="4" w:space="0"/>
              <w:right w:val="single" w:color="000000" w:sz="4" w:space="0"/>
            </w:tcBorders>
            <w:vAlign w:val="center"/>
          </w:tcPr>
          <w:p>
            <w:pPr>
              <w:widowControl/>
              <w:jc w:val="left"/>
              <w:rPr>
                <w:rFonts w:eastAsia="方正仿宋简体"/>
                <w:color w:val="333333"/>
                <w:kern w:val="0"/>
                <w:sz w:val="18"/>
                <w:szCs w:val="18"/>
              </w:rPr>
            </w:pPr>
          </w:p>
        </w:tc>
        <w:tc>
          <w:tcPr>
            <w:tcW w:w="2736" w:type="dxa"/>
            <w:gridSpan w:val="4"/>
            <w:tcBorders>
              <w:top w:val="single" w:color="000000" w:sz="4" w:space="0"/>
              <w:left w:val="nil"/>
              <w:bottom w:val="single" w:color="000000" w:sz="4" w:space="0"/>
              <w:right w:val="single" w:color="auto" w:sz="4" w:space="0"/>
            </w:tcBorders>
            <w:vAlign w:val="center"/>
          </w:tcPr>
          <w:p>
            <w:pPr>
              <w:widowControl/>
              <w:jc w:val="left"/>
              <w:rPr>
                <w:rFonts w:eastAsia="方正仿宋简体"/>
                <w:kern w:val="0"/>
                <w:sz w:val="20"/>
              </w:rPr>
            </w:pPr>
          </w:p>
        </w:tc>
      </w:tr>
      <w:tr>
        <w:tblPrEx>
          <w:tblCellMar>
            <w:top w:w="0" w:type="dxa"/>
            <w:left w:w="108" w:type="dxa"/>
            <w:bottom w:w="0" w:type="dxa"/>
            <w:right w:w="108" w:type="dxa"/>
          </w:tblCellMar>
        </w:tblPrEx>
        <w:trPr>
          <w:trHeight w:val="658" w:hRule="atLeast"/>
          <w:jc w:val="center"/>
        </w:trPr>
        <w:tc>
          <w:tcPr>
            <w:tcW w:w="9269" w:type="dxa"/>
            <w:gridSpan w:val="14"/>
            <w:tcBorders>
              <w:top w:val="single" w:color="000000" w:sz="4" w:space="0"/>
              <w:left w:val="single" w:color="000000" w:sz="4" w:space="0"/>
              <w:bottom w:val="single" w:color="000000" w:sz="4" w:space="0"/>
              <w:right w:val="single" w:color="auto" w:sz="4" w:space="0"/>
            </w:tcBorders>
            <w:vAlign w:val="center"/>
          </w:tcPr>
          <w:p>
            <w:pPr>
              <w:widowControl/>
              <w:jc w:val="left"/>
              <w:rPr>
                <w:rFonts w:eastAsia="方正仿宋简体"/>
                <w:kern w:val="0"/>
                <w:sz w:val="20"/>
              </w:rPr>
            </w:pPr>
            <w:r>
              <w:rPr>
                <w:rFonts w:eastAsia="方正仿宋简体"/>
                <w:color w:val="333333"/>
                <w:kern w:val="0"/>
                <w:szCs w:val="21"/>
              </w:rPr>
              <w:t>声明：以上为本机构登记的用于股票期权交易出入金的期货结算账户，本机构在期权经营机构的出入金均通过以上账户办理。</w:t>
            </w:r>
            <w:r>
              <w:rPr>
                <w:rFonts w:eastAsia="方正仿宋简体"/>
                <w:color w:val="333333"/>
                <w:kern w:val="0"/>
                <w:sz w:val="18"/>
                <w:szCs w:val="18"/>
              </w:rPr>
              <w:t xml:space="preserve"> </w:t>
            </w:r>
          </w:p>
        </w:tc>
      </w:tr>
      <w:tr>
        <w:tblPrEx>
          <w:tblCellMar>
            <w:top w:w="0" w:type="dxa"/>
            <w:left w:w="108" w:type="dxa"/>
            <w:bottom w:w="0" w:type="dxa"/>
            <w:right w:w="108" w:type="dxa"/>
          </w:tblCellMar>
        </w:tblPrEx>
        <w:trPr>
          <w:jc w:val="center"/>
        </w:trPr>
        <w:tc>
          <w:tcPr>
            <w:tcW w:w="9269" w:type="dxa"/>
            <w:gridSpan w:val="14"/>
            <w:tcBorders>
              <w:top w:val="single" w:color="000000" w:sz="4" w:space="0"/>
              <w:left w:val="single" w:color="000000" w:sz="4" w:space="0"/>
              <w:bottom w:val="single" w:color="000000" w:sz="4" w:space="0"/>
              <w:right w:val="single" w:color="auto" w:sz="4" w:space="0"/>
            </w:tcBorders>
            <w:vAlign w:val="center"/>
          </w:tcPr>
          <w:p>
            <w:pPr>
              <w:widowControl/>
              <w:spacing w:line="320" w:lineRule="atLeast"/>
              <w:jc w:val="left"/>
              <w:rPr>
                <w:rFonts w:eastAsia="方正仿宋简体"/>
                <w:color w:val="333333"/>
                <w:kern w:val="0"/>
                <w:sz w:val="18"/>
                <w:szCs w:val="18"/>
              </w:rPr>
            </w:pPr>
            <w:r>
              <w:rPr>
                <w:rFonts w:eastAsia="方正仿宋简体"/>
                <w:color w:val="333333"/>
                <w:kern w:val="0"/>
                <w:szCs w:val="21"/>
              </w:rPr>
              <w:t xml:space="preserve">    本机构有能力承担因参与股票期权交易而产生的风险，并保证参与股票期权交易资金来源的合法性和所提供资料的真实性，承诺遵守深交所及中国结算的各项业务规则，自愿承担期权交易结果。</w:t>
            </w:r>
            <w:r>
              <w:rPr>
                <w:rFonts w:eastAsia="方正仿宋简体"/>
                <w:color w:val="333333"/>
                <w:kern w:val="0"/>
                <w:sz w:val="18"/>
                <w:szCs w:val="18"/>
              </w:rPr>
              <w:t xml:space="preserve"> </w:t>
            </w:r>
          </w:p>
          <w:p>
            <w:pPr>
              <w:widowControl/>
              <w:spacing w:line="320" w:lineRule="atLeast"/>
              <w:jc w:val="left"/>
              <w:rPr>
                <w:rFonts w:eastAsia="方正仿宋简体"/>
                <w:color w:val="333333"/>
                <w:kern w:val="0"/>
                <w:szCs w:val="21"/>
              </w:rPr>
            </w:pPr>
          </w:p>
          <w:p>
            <w:pPr>
              <w:widowControl/>
              <w:spacing w:line="320" w:lineRule="atLeast"/>
              <w:jc w:val="left"/>
              <w:rPr>
                <w:rFonts w:eastAsia="方正仿宋简体"/>
                <w:color w:val="333333"/>
                <w:kern w:val="0"/>
                <w:szCs w:val="21"/>
              </w:rPr>
            </w:pPr>
            <w:r>
              <w:rPr>
                <w:rFonts w:eastAsia="方正仿宋简体"/>
                <w:color w:val="333333"/>
                <w:kern w:val="0"/>
                <w:szCs w:val="21"/>
              </w:rPr>
              <w:t xml:space="preserve">申请单位盖章：                 法定代表人（负责人）/开户代理人签字：       </w:t>
            </w:r>
          </w:p>
          <w:p>
            <w:pPr>
              <w:widowControl/>
              <w:spacing w:line="320" w:lineRule="atLeast"/>
              <w:jc w:val="left"/>
              <w:rPr>
                <w:rFonts w:eastAsia="方正仿宋简体"/>
                <w:color w:val="333333"/>
                <w:kern w:val="0"/>
                <w:szCs w:val="21"/>
              </w:rPr>
            </w:pPr>
          </w:p>
          <w:p>
            <w:pPr>
              <w:widowControl/>
              <w:spacing w:line="320" w:lineRule="atLeast"/>
              <w:jc w:val="left"/>
              <w:rPr>
                <w:rFonts w:eastAsia="方正仿宋简体"/>
                <w:color w:val="333333"/>
                <w:kern w:val="0"/>
                <w:sz w:val="18"/>
                <w:szCs w:val="18"/>
              </w:rPr>
            </w:pPr>
            <w:r>
              <w:rPr>
                <w:rFonts w:eastAsia="方正仿宋简体"/>
                <w:color w:val="333333"/>
                <w:kern w:val="0"/>
                <w:szCs w:val="21"/>
              </w:rPr>
              <w:t xml:space="preserve">                                                            申请日期：    年  月  日</w:t>
            </w:r>
            <w:r>
              <w:rPr>
                <w:rFonts w:eastAsia="方正仿宋简体"/>
                <w:color w:val="333333"/>
                <w:kern w:val="0"/>
                <w:sz w:val="18"/>
                <w:szCs w:val="18"/>
              </w:rPr>
              <w:t xml:space="preserve"> </w:t>
            </w:r>
          </w:p>
        </w:tc>
      </w:tr>
    </w:tbl>
    <w:p>
      <w:pPr>
        <w:widowControl/>
        <w:shd w:val="clear" w:color="auto" w:fill="FFFFFF"/>
        <w:spacing w:line="560" w:lineRule="atLeast"/>
        <w:ind w:firstLine="600"/>
        <w:jc w:val="left"/>
        <w:rPr>
          <w:rFonts w:eastAsia="方正仿宋简体"/>
          <w:color w:val="000000"/>
          <w:spacing w:val="-6"/>
          <w:kern w:val="0"/>
          <w:sz w:val="30"/>
          <w:szCs w:val="30"/>
        </w:rPr>
      </w:pPr>
      <w:r>
        <w:rPr>
          <w:rFonts w:eastAsia="方正仿宋简体"/>
          <w:color w:val="000000"/>
          <w:spacing w:val="-6"/>
          <w:kern w:val="0"/>
          <w:sz w:val="30"/>
          <w:szCs w:val="30"/>
        </w:rPr>
        <w:t xml:space="preserve">说明： </w:t>
      </w:r>
    </w:p>
    <w:p>
      <w:pPr>
        <w:widowControl/>
        <w:shd w:val="clear" w:color="auto" w:fill="FFFFFF"/>
        <w:spacing w:line="560" w:lineRule="atLeast"/>
        <w:ind w:firstLine="600"/>
        <w:jc w:val="left"/>
        <w:rPr>
          <w:rFonts w:eastAsia="方正仿宋简体"/>
          <w:color w:val="000000"/>
          <w:spacing w:val="-6"/>
          <w:kern w:val="0"/>
          <w:sz w:val="30"/>
          <w:szCs w:val="30"/>
        </w:rPr>
      </w:pPr>
      <w:r>
        <w:rPr>
          <w:rFonts w:eastAsia="方正仿宋简体"/>
          <w:color w:val="000000"/>
          <w:spacing w:val="-6"/>
          <w:kern w:val="0"/>
          <w:sz w:val="30"/>
          <w:szCs w:val="30"/>
        </w:rPr>
        <w:t xml:space="preserve">1．机构客户开立账户必须提供相关证明文件，并保证证明文件的真实性。法人或其他经济组织客户开户，必须提供具有中国法人资格或其他经济组织资格的合法证件原件及与原件相一致的复印件（包括加载统一社会信用代码的营业执照、法人代表证明等，并加盖公章）； </w:t>
      </w:r>
    </w:p>
    <w:p>
      <w:pPr>
        <w:widowControl/>
        <w:shd w:val="clear" w:color="auto" w:fill="FFFFFF"/>
        <w:spacing w:line="560" w:lineRule="atLeast"/>
        <w:ind w:firstLine="600"/>
        <w:jc w:val="left"/>
        <w:rPr>
          <w:rFonts w:eastAsia="方正仿宋简体"/>
          <w:color w:val="000000"/>
          <w:spacing w:val="-6"/>
          <w:kern w:val="0"/>
          <w:sz w:val="30"/>
          <w:szCs w:val="30"/>
        </w:rPr>
      </w:pPr>
      <w:r>
        <w:rPr>
          <w:rFonts w:eastAsia="方正仿宋简体"/>
          <w:color w:val="000000"/>
          <w:spacing w:val="-6"/>
          <w:kern w:val="0"/>
          <w:sz w:val="30"/>
          <w:szCs w:val="30"/>
        </w:rPr>
        <w:t>2．机构客户明确此份申请表是客户开户必备法律文件之一，保证以上填写内容属实，并在上述填写内容发生变化时及时通知期权经营机构。</w:t>
      </w:r>
    </w:p>
    <w:p>
      <w:pPr>
        <w:rPr>
          <w:rFonts w:eastAsia="方正仿宋简体"/>
          <w:szCs w:val="24"/>
        </w:rPr>
      </w:pPr>
    </w:p>
    <w:p>
      <w:pPr>
        <w:widowControl/>
        <w:jc w:val="left"/>
        <w:rPr>
          <w:rFonts w:eastAsia="方正仿宋简体"/>
          <w:b/>
          <w:bCs/>
          <w:sz w:val="30"/>
          <w:szCs w:val="30"/>
        </w:rPr>
      </w:pPr>
    </w:p>
    <w:p>
      <w:pPr>
        <w:widowControl/>
        <w:jc w:val="left"/>
        <w:rPr>
          <w:rFonts w:eastAsia="方正仿宋简体"/>
          <w:b/>
          <w:bCs/>
          <w:sz w:val="30"/>
          <w:szCs w:val="30"/>
        </w:rPr>
      </w:pPr>
    </w:p>
    <w:p>
      <w:pPr>
        <w:widowControl/>
        <w:jc w:val="left"/>
        <w:rPr>
          <w:rFonts w:eastAsia="方正仿宋简体"/>
          <w:b/>
          <w:bCs/>
          <w:sz w:val="30"/>
          <w:szCs w:val="30"/>
        </w:rPr>
      </w:pPr>
    </w:p>
    <w:p>
      <w:pPr>
        <w:spacing w:before="240" w:after="60" w:line="360" w:lineRule="auto"/>
        <w:rPr>
          <w:rFonts w:eastAsia="方正仿宋简体"/>
          <w:b/>
          <w:bCs/>
          <w:sz w:val="30"/>
          <w:szCs w:val="30"/>
          <w:lang w:val="zh-CN" w:eastAsia="zh-CN"/>
        </w:rPr>
      </w:pPr>
      <w:r>
        <w:rPr>
          <w:rFonts w:eastAsia="方正仿宋简体"/>
          <w:b/>
          <w:bCs/>
          <w:sz w:val="30"/>
          <w:szCs w:val="30"/>
          <w:lang w:val="zh-CN" w:eastAsia="zh-CN"/>
        </w:rPr>
        <w:t>合同附件二  佣金收取标准</w:t>
      </w:r>
    </w:p>
    <w:p>
      <w:pPr>
        <w:widowControl/>
        <w:jc w:val="left"/>
        <w:rPr>
          <w:rFonts w:eastAsia="方正仿宋简体"/>
          <w:sz w:val="30"/>
          <w:szCs w:val="30"/>
        </w:rPr>
      </w:pPr>
    </w:p>
    <w:p>
      <w:pPr>
        <w:spacing w:before="240" w:after="60" w:line="360" w:lineRule="auto"/>
        <w:rPr>
          <w:rFonts w:eastAsia="方正仿宋简体"/>
          <w:b/>
          <w:bCs/>
          <w:sz w:val="30"/>
          <w:szCs w:val="30"/>
          <w:lang w:val="zh-CN" w:eastAsia="zh-CN"/>
        </w:rPr>
      </w:pPr>
      <w:r>
        <w:rPr>
          <w:rFonts w:eastAsia="方正仿宋简体"/>
          <w:b/>
          <w:bCs/>
          <w:sz w:val="30"/>
          <w:szCs w:val="30"/>
          <w:lang w:val="zh-CN" w:eastAsia="zh-CN"/>
        </w:rPr>
        <w:br w:type="page"/>
      </w:r>
      <w:r>
        <w:rPr>
          <w:rFonts w:eastAsia="方正仿宋简体"/>
          <w:b/>
          <w:bCs/>
          <w:sz w:val="30"/>
          <w:szCs w:val="30"/>
          <w:lang w:val="zh-CN" w:eastAsia="zh-CN"/>
        </w:rPr>
        <w:t>合同附件三  股票期权交易委托代理人授权书</w:t>
      </w:r>
    </w:p>
    <w:p>
      <w:pPr>
        <w:adjustRightInd w:val="0"/>
        <w:snapToGrid w:val="0"/>
        <w:spacing w:line="360" w:lineRule="auto"/>
        <w:ind w:firstLine="600" w:firstLineChars="200"/>
        <w:rPr>
          <w:rFonts w:eastAsia="方正仿宋简体"/>
          <w:sz w:val="30"/>
          <w:szCs w:val="30"/>
        </w:rPr>
      </w:pPr>
      <w:r>
        <w:rPr>
          <w:rFonts w:eastAsia="方正仿宋简体"/>
          <w:sz w:val="30"/>
          <w:szCs w:val="30"/>
        </w:rPr>
        <w:t>一、指令下达人</w:t>
      </w:r>
    </w:p>
    <w:p>
      <w:pPr>
        <w:adjustRightInd w:val="0"/>
        <w:snapToGrid w:val="0"/>
        <w:spacing w:line="360" w:lineRule="auto"/>
        <w:ind w:firstLine="600" w:firstLineChars="200"/>
        <w:rPr>
          <w:rFonts w:eastAsia="方正仿宋简体"/>
          <w:sz w:val="30"/>
          <w:szCs w:val="30"/>
        </w:rPr>
      </w:pPr>
      <w:r>
        <w:rPr>
          <w:rFonts w:eastAsia="方正仿宋简体"/>
          <w:sz w:val="30"/>
          <w:szCs w:val="30"/>
        </w:rPr>
        <w:t>代理权限：委托</w:t>
      </w:r>
      <w:r>
        <w:rPr>
          <w:rFonts w:eastAsia="方正仿宋简体"/>
          <w:sz w:val="30"/>
          <w:szCs w:val="30"/>
          <w:u w:val="single"/>
        </w:rPr>
        <w:t>　　　　</w:t>
      </w:r>
      <w:r>
        <w:rPr>
          <w:rFonts w:eastAsia="方正仿宋简体"/>
          <w:sz w:val="30"/>
          <w:szCs w:val="30"/>
        </w:rPr>
        <w:t>作为本人/单位的委托代理人，代表本人/单位下达交易及行权指令。</w:t>
      </w:r>
    </w:p>
    <w:p>
      <w:pPr>
        <w:adjustRightInd w:val="0"/>
        <w:snapToGrid w:val="0"/>
        <w:spacing w:line="360" w:lineRule="auto"/>
        <w:ind w:firstLine="600" w:firstLineChars="200"/>
        <w:rPr>
          <w:rFonts w:eastAsia="方正仿宋简体"/>
          <w:sz w:val="30"/>
          <w:szCs w:val="30"/>
        </w:rPr>
      </w:pPr>
      <w:r>
        <w:rPr>
          <w:rFonts w:eastAsia="方正仿宋简体"/>
          <w:sz w:val="30"/>
          <w:szCs w:val="30"/>
        </w:rPr>
        <w:t>授权期限：</w:t>
      </w:r>
      <w:r>
        <w:rPr>
          <w:rFonts w:eastAsia="方正仿宋简体"/>
          <w:sz w:val="30"/>
          <w:szCs w:val="30"/>
          <w:u w:val="single"/>
        </w:rPr>
        <w:t xml:space="preserve">                         </w:t>
      </w:r>
    </w:p>
    <w:p>
      <w:pPr>
        <w:adjustRightInd w:val="0"/>
        <w:snapToGrid w:val="0"/>
        <w:spacing w:line="360" w:lineRule="auto"/>
        <w:ind w:firstLine="600" w:firstLineChars="200"/>
        <w:rPr>
          <w:rFonts w:eastAsia="方正仿宋简体"/>
          <w:sz w:val="30"/>
          <w:szCs w:val="30"/>
          <w:u w:val="single"/>
        </w:rPr>
      </w:pPr>
      <w:r>
        <w:rPr>
          <w:rFonts w:eastAsia="方正仿宋简体"/>
          <w:sz w:val="30"/>
          <w:szCs w:val="30"/>
        </w:rPr>
        <w:t>委托代理人（签字留样）：</w:t>
      </w:r>
      <w:r>
        <w:rPr>
          <w:rFonts w:eastAsia="方正仿宋简体"/>
          <w:sz w:val="30"/>
          <w:szCs w:val="30"/>
          <w:u w:val="single"/>
        </w:rPr>
        <w:t xml:space="preserve">            </w:t>
      </w:r>
    </w:p>
    <w:p>
      <w:pPr>
        <w:adjustRightInd w:val="0"/>
        <w:snapToGrid w:val="0"/>
        <w:spacing w:line="360" w:lineRule="auto"/>
        <w:ind w:firstLine="600" w:firstLineChars="200"/>
        <w:rPr>
          <w:rFonts w:eastAsia="方正仿宋简体"/>
          <w:sz w:val="30"/>
          <w:szCs w:val="30"/>
        </w:rPr>
      </w:pPr>
      <w:r>
        <w:rPr>
          <w:rFonts w:eastAsia="方正仿宋简体"/>
          <w:sz w:val="30"/>
          <w:szCs w:val="30"/>
        </w:rPr>
        <w:t>证件类型：</w:t>
      </w:r>
      <w:r>
        <w:rPr>
          <w:rFonts w:eastAsia="方正仿宋简体"/>
          <w:sz w:val="30"/>
          <w:szCs w:val="30"/>
          <w:u w:val="single"/>
        </w:rPr>
        <w:t xml:space="preserve">                         </w:t>
      </w:r>
    </w:p>
    <w:p>
      <w:pPr>
        <w:adjustRightInd w:val="0"/>
        <w:snapToGrid w:val="0"/>
        <w:spacing w:line="360" w:lineRule="auto"/>
        <w:ind w:firstLine="600" w:firstLineChars="200"/>
        <w:rPr>
          <w:rFonts w:eastAsia="方正仿宋简体"/>
          <w:sz w:val="30"/>
          <w:szCs w:val="30"/>
        </w:rPr>
      </w:pPr>
      <w:r>
        <w:rPr>
          <w:rFonts w:eastAsia="方正仿宋简体"/>
          <w:sz w:val="30"/>
          <w:szCs w:val="30"/>
        </w:rPr>
        <w:t>证件号码：</w:t>
      </w:r>
      <w:r>
        <w:rPr>
          <w:rFonts w:eastAsia="方正仿宋简体"/>
          <w:sz w:val="30"/>
          <w:szCs w:val="30"/>
          <w:u w:val="single"/>
        </w:rPr>
        <w:t xml:space="preserve">                         </w:t>
      </w:r>
    </w:p>
    <w:p>
      <w:pPr>
        <w:adjustRightInd w:val="0"/>
        <w:snapToGrid w:val="0"/>
        <w:spacing w:line="360" w:lineRule="auto"/>
        <w:ind w:firstLine="600" w:firstLineChars="200"/>
        <w:rPr>
          <w:rFonts w:eastAsia="方正仿宋简体"/>
          <w:sz w:val="30"/>
          <w:szCs w:val="30"/>
        </w:rPr>
      </w:pPr>
      <w:r>
        <w:rPr>
          <w:rFonts w:eastAsia="方正仿宋简体"/>
          <w:sz w:val="30"/>
          <w:szCs w:val="30"/>
        </w:rPr>
        <w:t>二、资金调拨人</w:t>
      </w:r>
    </w:p>
    <w:p>
      <w:pPr>
        <w:adjustRightInd w:val="0"/>
        <w:snapToGrid w:val="0"/>
        <w:spacing w:line="360" w:lineRule="auto"/>
        <w:ind w:firstLine="630" w:firstLineChars="210"/>
        <w:rPr>
          <w:rFonts w:eastAsia="方正仿宋简体"/>
          <w:sz w:val="30"/>
          <w:szCs w:val="30"/>
        </w:rPr>
      </w:pPr>
      <w:r>
        <w:rPr>
          <w:rFonts w:eastAsia="方正仿宋简体"/>
          <w:sz w:val="30"/>
          <w:szCs w:val="30"/>
        </w:rPr>
        <w:t>代理权限：委托</w:t>
      </w:r>
      <w:r>
        <w:rPr>
          <w:rFonts w:eastAsia="方正仿宋简体"/>
          <w:sz w:val="30"/>
          <w:szCs w:val="30"/>
          <w:u w:val="single"/>
        </w:rPr>
        <w:t>　　　　</w:t>
      </w:r>
      <w:r>
        <w:rPr>
          <w:rFonts w:eastAsia="方正仿宋简体"/>
          <w:sz w:val="30"/>
          <w:szCs w:val="30"/>
        </w:rPr>
        <w:t xml:space="preserve">作为本人/单位的委托代理人，代表本人/单位下达资金调拨指令。   </w:t>
      </w:r>
    </w:p>
    <w:p>
      <w:pPr>
        <w:adjustRightInd w:val="0"/>
        <w:snapToGrid w:val="0"/>
        <w:spacing w:line="360" w:lineRule="auto"/>
        <w:ind w:firstLine="600" w:firstLineChars="200"/>
        <w:rPr>
          <w:rFonts w:eastAsia="方正仿宋简体"/>
          <w:sz w:val="30"/>
          <w:szCs w:val="30"/>
        </w:rPr>
      </w:pPr>
      <w:r>
        <w:rPr>
          <w:rFonts w:eastAsia="方正仿宋简体"/>
          <w:sz w:val="30"/>
          <w:szCs w:val="30"/>
        </w:rPr>
        <w:t>授权期限：</w:t>
      </w:r>
      <w:r>
        <w:rPr>
          <w:rFonts w:eastAsia="方正仿宋简体"/>
          <w:sz w:val="30"/>
          <w:szCs w:val="30"/>
          <w:u w:val="single"/>
        </w:rPr>
        <w:t xml:space="preserve">                         </w:t>
      </w:r>
    </w:p>
    <w:p>
      <w:pPr>
        <w:adjustRightInd w:val="0"/>
        <w:snapToGrid w:val="0"/>
        <w:spacing w:line="360" w:lineRule="auto"/>
        <w:ind w:firstLine="600" w:firstLineChars="200"/>
        <w:rPr>
          <w:rFonts w:eastAsia="方正仿宋简体"/>
          <w:sz w:val="30"/>
          <w:szCs w:val="30"/>
        </w:rPr>
      </w:pPr>
      <w:r>
        <w:rPr>
          <w:rFonts w:eastAsia="方正仿宋简体"/>
          <w:sz w:val="30"/>
          <w:szCs w:val="30"/>
        </w:rPr>
        <w:t>委托代理人（签字留样）：</w:t>
      </w:r>
      <w:r>
        <w:rPr>
          <w:rFonts w:eastAsia="方正仿宋简体"/>
          <w:sz w:val="30"/>
          <w:szCs w:val="30"/>
          <w:u w:val="single"/>
        </w:rPr>
        <w:t xml:space="preserve">            </w:t>
      </w:r>
    </w:p>
    <w:p>
      <w:pPr>
        <w:adjustRightInd w:val="0"/>
        <w:snapToGrid w:val="0"/>
        <w:spacing w:line="360" w:lineRule="auto"/>
        <w:ind w:firstLine="600" w:firstLineChars="200"/>
        <w:rPr>
          <w:rFonts w:eastAsia="方正仿宋简体"/>
          <w:sz w:val="30"/>
          <w:szCs w:val="30"/>
        </w:rPr>
      </w:pPr>
      <w:r>
        <w:rPr>
          <w:rFonts w:eastAsia="方正仿宋简体"/>
          <w:sz w:val="30"/>
          <w:szCs w:val="30"/>
        </w:rPr>
        <w:t>证件类型：</w:t>
      </w:r>
      <w:r>
        <w:rPr>
          <w:rFonts w:eastAsia="方正仿宋简体"/>
          <w:sz w:val="30"/>
          <w:szCs w:val="30"/>
          <w:u w:val="single"/>
        </w:rPr>
        <w:t xml:space="preserve">                         </w:t>
      </w:r>
    </w:p>
    <w:p>
      <w:pPr>
        <w:adjustRightInd w:val="0"/>
        <w:snapToGrid w:val="0"/>
        <w:spacing w:line="360" w:lineRule="auto"/>
        <w:ind w:firstLine="600" w:firstLineChars="200"/>
        <w:rPr>
          <w:rFonts w:eastAsia="方正仿宋简体"/>
          <w:sz w:val="30"/>
          <w:szCs w:val="30"/>
        </w:rPr>
      </w:pPr>
      <w:r>
        <w:rPr>
          <w:rFonts w:eastAsia="方正仿宋简体"/>
          <w:sz w:val="30"/>
          <w:szCs w:val="30"/>
        </w:rPr>
        <w:t>证件号码：</w:t>
      </w:r>
      <w:r>
        <w:rPr>
          <w:rFonts w:eastAsia="方正仿宋简体"/>
          <w:sz w:val="30"/>
          <w:szCs w:val="30"/>
          <w:u w:val="single"/>
        </w:rPr>
        <w:t xml:space="preserve">                         </w:t>
      </w:r>
    </w:p>
    <w:p>
      <w:pPr>
        <w:adjustRightInd w:val="0"/>
        <w:snapToGrid w:val="0"/>
        <w:spacing w:line="360" w:lineRule="auto"/>
        <w:ind w:firstLine="594" w:firstLineChars="198"/>
        <w:rPr>
          <w:rFonts w:eastAsia="方正仿宋简体"/>
          <w:sz w:val="30"/>
          <w:szCs w:val="30"/>
        </w:rPr>
      </w:pPr>
      <w:r>
        <w:rPr>
          <w:rFonts w:eastAsia="方正仿宋简体"/>
          <w:sz w:val="30"/>
          <w:szCs w:val="30"/>
        </w:rPr>
        <w:t>三、交易结算报告确认人</w:t>
      </w:r>
    </w:p>
    <w:p>
      <w:pPr>
        <w:adjustRightInd w:val="0"/>
        <w:snapToGrid w:val="0"/>
        <w:spacing w:line="360" w:lineRule="auto"/>
        <w:ind w:firstLine="594" w:firstLineChars="198"/>
        <w:rPr>
          <w:rFonts w:eastAsia="方正仿宋简体"/>
          <w:sz w:val="30"/>
          <w:szCs w:val="30"/>
        </w:rPr>
      </w:pPr>
      <w:r>
        <w:rPr>
          <w:rFonts w:eastAsia="方正仿宋简体"/>
          <w:sz w:val="30"/>
          <w:szCs w:val="30"/>
        </w:rPr>
        <w:t>代理权限：委托</w:t>
      </w:r>
      <w:r>
        <w:rPr>
          <w:rFonts w:eastAsia="方正仿宋简体"/>
          <w:sz w:val="30"/>
          <w:szCs w:val="30"/>
          <w:u w:val="single"/>
        </w:rPr>
        <w:t>　   　　　</w:t>
      </w:r>
      <w:r>
        <w:rPr>
          <w:rFonts w:eastAsia="方正仿宋简体"/>
          <w:sz w:val="30"/>
          <w:szCs w:val="30"/>
        </w:rPr>
        <w:t>作为本人/单位的委托代理人，代表本人/单位对交易结算结果进行确认。</w:t>
      </w:r>
    </w:p>
    <w:p>
      <w:pPr>
        <w:adjustRightInd w:val="0"/>
        <w:snapToGrid w:val="0"/>
        <w:spacing w:line="360" w:lineRule="auto"/>
        <w:ind w:firstLine="600" w:firstLineChars="200"/>
        <w:rPr>
          <w:rFonts w:eastAsia="方正仿宋简体"/>
          <w:sz w:val="30"/>
          <w:szCs w:val="30"/>
        </w:rPr>
      </w:pPr>
      <w:r>
        <w:rPr>
          <w:rFonts w:eastAsia="方正仿宋简体"/>
          <w:sz w:val="30"/>
          <w:szCs w:val="30"/>
        </w:rPr>
        <w:t>授权期限：</w:t>
      </w:r>
      <w:r>
        <w:rPr>
          <w:rFonts w:eastAsia="方正仿宋简体"/>
          <w:sz w:val="30"/>
          <w:szCs w:val="30"/>
          <w:u w:val="single"/>
        </w:rPr>
        <w:t xml:space="preserve">                         </w:t>
      </w:r>
    </w:p>
    <w:p>
      <w:pPr>
        <w:adjustRightInd w:val="0"/>
        <w:snapToGrid w:val="0"/>
        <w:spacing w:line="360" w:lineRule="auto"/>
        <w:ind w:firstLine="600" w:firstLineChars="200"/>
        <w:rPr>
          <w:rFonts w:eastAsia="方正仿宋简体"/>
          <w:sz w:val="30"/>
          <w:szCs w:val="30"/>
        </w:rPr>
      </w:pPr>
      <w:r>
        <w:rPr>
          <w:rFonts w:eastAsia="方正仿宋简体"/>
          <w:sz w:val="30"/>
          <w:szCs w:val="30"/>
        </w:rPr>
        <w:t>委托代理人（签字留样）：</w:t>
      </w:r>
      <w:r>
        <w:rPr>
          <w:rFonts w:eastAsia="方正仿宋简体"/>
          <w:sz w:val="30"/>
          <w:szCs w:val="30"/>
          <w:u w:val="single"/>
        </w:rPr>
        <w:t xml:space="preserve">            </w:t>
      </w:r>
    </w:p>
    <w:p>
      <w:pPr>
        <w:adjustRightInd w:val="0"/>
        <w:snapToGrid w:val="0"/>
        <w:spacing w:line="360" w:lineRule="auto"/>
        <w:ind w:firstLine="600" w:firstLineChars="200"/>
        <w:rPr>
          <w:rFonts w:eastAsia="方正仿宋简体"/>
          <w:sz w:val="30"/>
          <w:szCs w:val="30"/>
        </w:rPr>
      </w:pPr>
      <w:r>
        <w:rPr>
          <w:rFonts w:eastAsia="方正仿宋简体"/>
          <w:sz w:val="30"/>
          <w:szCs w:val="30"/>
        </w:rPr>
        <w:t>证件类型：</w:t>
      </w:r>
      <w:r>
        <w:rPr>
          <w:rFonts w:eastAsia="方正仿宋简体"/>
          <w:sz w:val="30"/>
          <w:szCs w:val="30"/>
          <w:u w:val="single"/>
        </w:rPr>
        <w:t xml:space="preserve">                         </w:t>
      </w:r>
    </w:p>
    <w:p>
      <w:pPr>
        <w:adjustRightInd w:val="0"/>
        <w:snapToGrid w:val="0"/>
        <w:spacing w:line="360" w:lineRule="auto"/>
        <w:ind w:firstLine="600" w:firstLineChars="200"/>
        <w:rPr>
          <w:rFonts w:eastAsia="方正仿宋简体"/>
          <w:sz w:val="30"/>
          <w:szCs w:val="30"/>
        </w:rPr>
      </w:pPr>
      <w:r>
        <w:rPr>
          <w:rFonts w:eastAsia="方正仿宋简体"/>
          <w:sz w:val="30"/>
          <w:szCs w:val="30"/>
        </w:rPr>
        <w:t>证件号码：</w:t>
      </w:r>
      <w:r>
        <w:rPr>
          <w:rFonts w:eastAsia="方正仿宋简体"/>
          <w:sz w:val="30"/>
          <w:szCs w:val="30"/>
          <w:u w:val="single"/>
        </w:rPr>
        <w:t xml:space="preserve">                         </w:t>
      </w:r>
    </w:p>
    <w:p>
      <w:pPr>
        <w:adjustRightInd w:val="0"/>
        <w:snapToGrid w:val="0"/>
        <w:spacing w:line="360" w:lineRule="auto"/>
        <w:rPr>
          <w:rFonts w:eastAsia="方正仿宋简体"/>
          <w:sz w:val="30"/>
          <w:szCs w:val="30"/>
        </w:rPr>
      </w:pPr>
    </w:p>
    <w:p>
      <w:pPr>
        <w:adjustRightInd w:val="0"/>
        <w:snapToGrid w:val="0"/>
        <w:spacing w:line="360" w:lineRule="auto"/>
        <w:rPr>
          <w:rFonts w:eastAsia="方正仿宋简体"/>
          <w:sz w:val="30"/>
          <w:szCs w:val="30"/>
        </w:rPr>
      </w:pPr>
    </w:p>
    <w:p>
      <w:pPr>
        <w:adjustRightInd w:val="0"/>
        <w:snapToGrid w:val="0"/>
        <w:spacing w:line="360" w:lineRule="auto"/>
        <w:ind w:firstLine="600" w:firstLineChars="200"/>
        <w:rPr>
          <w:rFonts w:eastAsia="方正仿宋简体"/>
          <w:sz w:val="30"/>
          <w:szCs w:val="30"/>
          <w:u w:val="single"/>
        </w:rPr>
      </w:pPr>
      <w:r>
        <w:rPr>
          <w:rFonts w:eastAsia="方正仿宋简体"/>
          <w:sz w:val="30"/>
          <w:szCs w:val="30"/>
        </w:rPr>
        <w:t>委托人：</w:t>
      </w:r>
      <w:r>
        <w:rPr>
          <w:rFonts w:eastAsia="方正仿宋简体"/>
          <w:sz w:val="30"/>
          <w:szCs w:val="30"/>
          <w:u w:val="single"/>
        </w:rPr>
        <w:t xml:space="preserve">                      </w:t>
      </w:r>
    </w:p>
    <w:p>
      <w:pPr>
        <w:adjustRightInd w:val="0"/>
        <w:snapToGrid w:val="0"/>
        <w:spacing w:line="360" w:lineRule="auto"/>
        <w:ind w:firstLine="600" w:firstLineChars="200"/>
        <w:rPr>
          <w:rFonts w:eastAsia="方正仿宋简体"/>
          <w:sz w:val="30"/>
          <w:szCs w:val="30"/>
          <w:u w:val="single"/>
        </w:rPr>
      </w:pPr>
      <w:r>
        <w:rPr>
          <w:rFonts w:eastAsia="方正仿宋简体"/>
          <w:sz w:val="30"/>
          <w:szCs w:val="30"/>
        </w:rPr>
        <w:t>（签字或盖章）：</w:t>
      </w:r>
      <w:r>
        <w:rPr>
          <w:rFonts w:eastAsia="方正仿宋简体"/>
          <w:sz w:val="30"/>
          <w:szCs w:val="30"/>
          <w:u w:val="single"/>
        </w:rPr>
        <w:t xml:space="preserve">               </w:t>
      </w:r>
    </w:p>
    <w:p>
      <w:pPr>
        <w:adjustRightInd w:val="0"/>
        <w:snapToGrid w:val="0"/>
        <w:spacing w:line="360" w:lineRule="auto"/>
        <w:ind w:firstLine="600" w:firstLineChars="200"/>
        <w:rPr>
          <w:rFonts w:eastAsia="方正仿宋简体"/>
          <w:sz w:val="30"/>
          <w:szCs w:val="30"/>
        </w:rPr>
      </w:pPr>
      <w:r>
        <w:rPr>
          <w:rFonts w:eastAsia="方正仿宋简体"/>
          <w:sz w:val="30"/>
          <w:szCs w:val="30"/>
        </w:rPr>
        <w:t>（法定代表人签章）：</w:t>
      </w:r>
      <w:r>
        <w:rPr>
          <w:rFonts w:eastAsia="方正仿宋简体"/>
          <w:sz w:val="30"/>
          <w:szCs w:val="30"/>
          <w:u w:val="single"/>
        </w:rPr>
        <w:t xml:space="preserve">           </w:t>
      </w:r>
    </w:p>
    <w:p>
      <w:pPr>
        <w:adjustRightInd w:val="0"/>
        <w:snapToGrid w:val="0"/>
        <w:spacing w:line="360" w:lineRule="auto"/>
        <w:ind w:firstLine="600" w:firstLineChars="200"/>
        <w:rPr>
          <w:rFonts w:eastAsia="方正仿宋简体"/>
          <w:sz w:val="30"/>
          <w:szCs w:val="30"/>
        </w:rPr>
      </w:pPr>
      <w:r>
        <w:rPr>
          <w:rFonts w:eastAsia="方正仿宋简体"/>
          <w:sz w:val="30"/>
          <w:szCs w:val="30"/>
        </w:rPr>
        <w:t>时间：</w:t>
      </w:r>
      <w:r>
        <w:rPr>
          <w:rFonts w:eastAsia="方正仿宋简体"/>
          <w:sz w:val="30"/>
          <w:szCs w:val="30"/>
          <w:u w:val="single"/>
        </w:rPr>
        <w:t xml:space="preserve">         </w:t>
      </w:r>
      <w:r>
        <w:rPr>
          <w:rFonts w:eastAsia="方正仿宋简体"/>
          <w:sz w:val="30"/>
          <w:szCs w:val="30"/>
        </w:rPr>
        <w:t>年</w:t>
      </w:r>
      <w:r>
        <w:rPr>
          <w:rFonts w:eastAsia="方正仿宋简体"/>
          <w:sz w:val="30"/>
          <w:szCs w:val="30"/>
          <w:u w:val="single"/>
        </w:rPr>
        <w:t xml:space="preserve">     </w:t>
      </w:r>
      <w:r>
        <w:rPr>
          <w:rFonts w:eastAsia="方正仿宋简体"/>
          <w:sz w:val="30"/>
          <w:szCs w:val="30"/>
        </w:rPr>
        <w:t>月</w:t>
      </w:r>
      <w:r>
        <w:rPr>
          <w:rFonts w:eastAsia="方正仿宋简体"/>
          <w:sz w:val="30"/>
          <w:szCs w:val="30"/>
          <w:u w:val="single"/>
        </w:rPr>
        <w:t xml:space="preserve">     </w:t>
      </w:r>
      <w:r>
        <w:rPr>
          <w:rFonts w:eastAsia="方正仿宋简体"/>
          <w:sz w:val="30"/>
          <w:szCs w:val="30"/>
        </w:rPr>
        <w:t>日</w:t>
      </w:r>
    </w:p>
    <w:p>
      <w:pPr>
        <w:adjustRightInd w:val="0"/>
        <w:spacing w:line="360" w:lineRule="auto"/>
        <w:jc w:val="left"/>
        <w:rPr>
          <w:rFonts w:eastAsia="方正仿宋简体"/>
          <w:sz w:val="30"/>
          <w:szCs w:val="30"/>
        </w:rPr>
      </w:pPr>
    </w:p>
    <w:p>
      <w:pPr>
        <w:adjustRightInd w:val="0"/>
        <w:spacing w:line="360" w:lineRule="auto"/>
        <w:jc w:val="left"/>
        <w:rPr>
          <w:rFonts w:eastAsia="方正仿宋简体"/>
          <w:sz w:val="30"/>
          <w:szCs w:val="30"/>
        </w:rPr>
      </w:pPr>
    </w:p>
    <w:p>
      <w:pPr>
        <w:adjustRightInd w:val="0"/>
        <w:spacing w:line="360" w:lineRule="auto"/>
        <w:jc w:val="left"/>
        <w:rPr>
          <w:rFonts w:eastAsia="方正仿宋简体"/>
          <w:sz w:val="30"/>
          <w:szCs w:val="30"/>
        </w:rPr>
      </w:pPr>
    </w:p>
    <w:p>
      <w:pPr>
        <w:adjustRightInd w:val="0"/>
        <w:spacing w:line="360" w:lineRule="auto"/>
        <w:jc w:val="left"/>
        <w:rPr>
          <w:rFonts w:eastAsia="方正仿宋简体"/>
          <w:sz w:val="30"/>
          <w:szCs w:val="30"/>
        </w:rPr>
      </w:pPr>
    </w:p>
    <w:p>
      <w:pPr>
        <w:adjustRightInd w:val="0"/>
        <w:spacing w:line="360" w:lineRule="auto"/>
        <w:jc w:val="left"/>
        <w:rPr>
          <w:rFonts w:eastAsia="方正仿宋简体"/>
          <w:sz w:val="30"/>
          <w:szCs w:val="30"/>
        </w:rPr>
      </w:pPr>
    </w:p>
    <w:p>
      <w:pPr>
        <w:adjustRightInd w:val="0"/>
        <w:spacing w:line="360" w:lineRule="auto"/>
        <w:jc w:val="left"/>
        <w:rPr>
          <w:rFonts w:eastAsia="方正仿宋简体"/>
          <w:sz w:val="30"/>
          <w:szCs w:val="30"/>
        </w:rPr>
      </w:pPr>
    </w:p>
    <w:p>
      <w:pPr>
        <w:adjustRightInd w:val="0"/>
        <w:spacing w:line="360" w:lineRule="auto"/>
        <w:jc w:val="left"/>
        <w:rPr>
          <w:rFonts w:eastAsia="方正仿宋简体"/>
          <w:sz w:val="30"/>
          <w:szCs w:val="30"/>
        </w:rPr>
      </w:pPr>
    </w:p>
    <w:p>
      <w:pPr>
        <w:adjustRightInd w:val="0"/>
        <w:spacing w:line="360" w:lineRule="auto"/>
        <w:jc w:val="left"/>
        <w:rPr>
          <w:rFonts w:eastAsia="方正仿宋简体"/>
          <w:sz w:val="30"/>
          <w:szCs w:val="30"/>
        </w:rPr>
      </w:pPr>
    </w:p>
    <w:p>
      <w:pPr>
        <w:spacing w:before="240" w:after="60"/>
        <w:rPr>
          <w:rFonts w:eastAsia="方正仿宋简体"/>
          <w:b/>
          <w:bCs/>
          <w:color w:val="4F81BD"/>
          <w:sz w:val="30"/>
          <w:szCs w:val="30"/>
          <w:lang w:val="zh-CN" w:eastAsia="zh-CN"/>
        </w:rPr>
      </w:pPr>
    </w:p>
    <w:p>
      <w:pPr>
        <w:widowControl/>
        <w:jc w:val="left"/>
        <w:rPr>
          <w:rFonts w:eastAsia="方正仿宋简体"/>
          <w:bCs/>
          <w:sz w:val="32"/>
          <w:szCs w:val="32"/>
        </w:rPr>
      </w:pPr>
      <w:r>
        <w:rPr>
          <w:rFonts w:eastAsia="方正仿宋简体"/>
          <w:color w:val="4F81BD"/>
          <w:sz w:val="30"/>
          <w:szCs w:val="30"/>
        </w:rPr>
        <w:br w:type="page"/>
      </w:r>
      <w:bookmarkStart w:id="276" w:name="_Toc25842069"/>
      <w:r>
        <w:rPr>
          <w:rFonts w:eastAsia="方正仿宋简体"/>
          <w:bCs/>
          <w:sz w:val="32"/>
          <w:szCs w:val="32"/>
        </w:rPr>
        <w:t>附件15：深圳证券交易所交易参与人申请书</w:t>
      </w:r>
      <w:bookmarkEnd w:id="276"/>
    </w:p>
    <w:p>
      <w:pPr>
        <w:spacing w:line="560" w:lineRule="exact"/>
        <w:ind w:firstLine="560" w:firstLineChars="200"/>
        <w:jc w:val="left"/>
        <w:rPr>
          <w:rFonts w:eastAsia="方正仿宋简体"/>
          <w:color w:val="000000"/>
          <w:sz w:val="28"/>
          <w:szCs w:val="28"/>
        </w:rPr>
      </w:pPr>
      <w:r>
        <w:rPr>
          <w:rFonts w:eastAsia="方正仿宋简体"/>
          <w:color w:val="000000"/>
          <w:sz w:val="28"/>
          <w:szCs w:val="28"/>
        </w:rPr>
        <w:t xml:space="preserve">深圳证券交易所： </w:t>
      </w:r>
    </w:p>
    <w:p>
      <w:pPr>
        <w:spacing w:line="560" w:lineRule="exact"/>
        <w:ind w:firstLine="560" w:firstLineChars="200"/>
        <w:rPr>
          <w:rFonts w:eastAsia="方正仿宋简体"/>
          <w:color w:val="000000"/>
          <w:sz w:val="28"/>
          <w:szCs w:val="28"/>
        </w:rPr>
      </w:pPr>
      <w:r>
        <w:rPr>
          <w:rFonts w:eastAsia="方正仿宋简体"/>
          <w:color w:val="000000"/>
          <w:sz w:val="28"/>
          <w:szCs w:val="28"/>
        </w:rPr>
        <w:t>我公司已取得中国证监会颁发的《经营证券期货业务许可证》，为开展期权业务，现特向贵所申请成为交易参与人，并设立相关交易单元。</w:t>
      </w:r>
    </w:p>
    <w:p>
      <w:pPr>
        <w:spacing w:line="560" w:lineRule="exact"/>
        <w:ind w:firstLine="560" w:firstLineChars="200"/>
        <w:rPr>
          <w:rFonts w:eastAsia="方正仿宋简体"/>
          <w:color w:val="000000"/>
          <w:sz w:val="28"/>
          <w:szCs w:val="28"/>
        </w:rPr>
      </w:pPr>
      <w:r>
        <w:rPr>
          <w:rFonts w:eastAsia="方正仿宋简体"/>
          <w:color w:val="000000"/>
          <w:sz w:val="28"/>
          <w:szCs w:val="28"/>
        </w:rPr>
        <w:t>我公司承诺：遵守深圳证券交易所自律规则并接受自律监管，确保申请材料真实准确完整。</w:t>
      </w:r>
    </w:p>
    <w:p>
      <w:pPr>
        <w:spacing w:line="560" w:lineRule="exact"/>
        <w:ind w:firstLine="560" w:firstLineChars="200"/>
        <w:rPr>
          <w:rFonts w:eastAsia="方正仿宋简体"/>
          <w:color w:val="000000"/>
          <w:sz w:val="28"/>
          <w:szCs w:val="28"/>
        </w:rPr>
      </w:pPr>
      <w:r>
        <w:rPr>
          <w:rFonts w:eastAsia="方正仿宋简体"/>
          <w:color w:val="000000"/>
          <w:sz w:val="28"/>
          <w:szCs w:val="28"/>
        </w:rPr>
        <w:t>特此申请</w:t>
      </w:r>
    </w:p>
    <w:p>
      <w:pPr>
        <w:spacing w:line="560" w:lineRule="exact"/>
        <w:ind w:firstLine="560" w:firstLineChars="200"/>
        <w:rPr>
          <w:rFonts w:eastAsia="方正仿宋简体"/>
          <w:sz w:val="28"/>
          <w:szCs w:val="28"/>
        </w:rPr>
      </w:pPr>
    </w:p>
    <w:p>
      <w:pPr>
        <w:spacing w:line="560" w:lineRule="exact"/>
        <w:ind w:firstLine="560" w:firstLineChars="200"/>
        <w:rPr>
          <w:rFonts w:eastAsia="方正仿宋简体"/>
          <w:sz w:val="28"/>
          <w:szCs w:val="28"/>
        </w:rPr>
      </w:pPr>
    </w:p>
    <w:p>
      <w:pPr>
        <w:spacing w:line="560" w:lineRule="exact"/>
        <w:ind w:firstLine="560" w:firstLineChars="200"/>
        <w:rPr>
          <w:rFonts w:eastAsia="方正仿宋简体"/>
          <w:sz w:val="28"/>
          <w:szCs w:val="28"/>
        </w:rPr>
      </w:pPr>
    </w:p>
    <w:p>
      <w:pPr>
        <w:spacing w:line="560" w:lineRule="exact"/>
        <w:ind w:firstLine="560" w:firstLineChars="200"/>
        <w:rPr>
          <w:rFonts w:eastAsia="方正仿宋简体"/>
          <w:sz w:val="28"/>
          <w:szCs w:val="28"/>
        </w:rPr>
      </w:pPr>
      <w:r>
        <w:rPr>
          <w:rFonts w:eastAsia="方正仿宋简体"/>
          <w:sz w:val="28"/>
          <w:szCs w:val="28"/>
        </w:rPr>
        <w:t xml:space="preserve">公司名称： </w:t>
      </w:r>
    </w:p>
    <w:p>
      <w:pPr>
        <w:spacing w:line="560" w:lineRule="exact"/>
        <w:ind w:firstLine="560" w:firstLineChars="200"/>
        <w:rPr>
          <w:rFonts w:eastAsia="方正仿宋简体"/>
          <w:sz w:val="28"/>
          <w:szCs w:val="28"/>
        </w:rPr>
      </w:pPr>
      <w:r>
        <w:rPr>
          <w:rFonts w:eastAsia="方正仿宋简体"/>
          <w:sz w:val="28"/>
          <w:szCs w:val="28"/>
        </w:rPr>
        <w:t>单位公章：</w:t>
      </w:r>
    </w:p>
    <w:p>
      <w:pPr>
        <w:spacing w:line="560" w:lineRule="exact"/>
        <w:rPr>
          <w:rFonts w:eastAsia="方正仿宋简体"/>
          <w:sz w:val="28"/>
          <w:szCs w:val="28"/>
        </w:rPr>
      </w:pPr>
    </w:p>
    <w:p>
      <w:pPr>
        <w:spacing w:line="560" w:lineRule="exact"/>
        <w:ind w:firstLine="560" w:firstLineChars="200"/>
        <w:rPr>
          <w:rFonts w:eastAsia="方正仿宋简体"/>
          <w:sz w:val="28"/>
          <w:szCs w:val="28"/>
        </w:rPr>
      </w:pPr>
      <w:r>
        <w:rPr>
          <w:rFonts w:eastAsia="方正仿宋简体"/>
          <w:sz w:val="28"/>
          <w:szCs w:val="28"/>
        </w:rPr>
        <w:t>法定代表人签字（或签章）：</w:t>
      </w:r>
    </w:p>
    <w:p>
      <w:pPr>
        <w:spacing w:line="560" w:lineRule="exact"/>
        <w:jc w:val="right"/>
        <w:rPr>
          <w:rFonts w:eastAsia="方正仿宋简体"/>
          <w:sz w:val="28"/>
          <w:szCs w:val="28"/>
        </w:rPr>
      </w:pPr>
      <w:r>
        <w:rPr>
          <w:rFonts w:eastAsia="方正仿宋简体"/>
          <w:sz w:val="28"/>
          <w:szCs w:val="28"/>
        </w:rPr>
        <w:t>______年___月___日</w:t>
      </w:r>
    </w:p>
    <w:p>
      <w:pPr>
        <w:adjustRightInd w:val="0"/>
        <w:snapToGrid w:val="0"/>
        <w:spacing w:line="360" w:lineRule="auto"/>
        <w:rPr>
          <w:rFonts w:eastAsia="方正仿宋简体"/>
          <w:color w:val="4F81BD"/>
          <w:sz w:val="30"/>
          <w:szCs w:val="30"/>
        </w:rPr>
      </w:pPr>
    </w:p>
    <w:p>
      <w:pPr>
        <w:widowControl/>
        <w:jc w:val="left"/>
        <w:rPr>
          <w:rFonts w:eastAsia="方正仿宋简体"/>
          <w:bCs/>
          <w:sz w:val="32"/>
          <w:szCs w:val="32"/>
        </w:rPr>
      </w:pPr>
      <w:r>
        <w:rPr>
          <w:rFonts w:eastAsia="方正仿宋简体"/>
          <w:sz w:val="24"/>
          <w:szCs w:val="22"/>
        </w:rPr>
        <w:br w:type="page"/>
      </w:r>
      <w:bookmarkStart w:id="277" w:name="_Toc25842070"/>
      <w:r>
        <w:rPr>
          <w:rFonts w:eastAsia="方正仿宋简体"/>
          <w:bCs/>
          <w:sz w:val="32"/>
          <w:szCs w:val="32"/>
        </w:rPr>
        <w:t>附件16：股票期权经纪业务准备情况表</w:t>
      </w:r>
      <w:bookmarkEnd w:id="277"/>
    </w:p>
    <w:tbl>
      <w:tblPr>
        <w:tblStyle w:val="37"/>
        <w:tblW w:w="8633" w:type="dxa"/>
        <w:tblInd w:w="0" w:type="dxa"/>
        <w:tblLayout w:type="autofit"/>
        <w:tblCellMar>
          <w:top w:w="0" w:type="dxa"/>
          <w:left w:w="108" w:type="dxa"/>
          <w:bottom w:w="0" w:type="dxa"/>
          <w:right w:w="108" w:type="dxa"/>
        </w:tblCellMar>
      </w:tblPr>
      <w:tblGrid>
        <w:gridCol w:w="449"/>
        <w:gridCol w:w="1360"/>
        <w:gridCol w:w="1437"/>
        <w:gridCol w:w="1445"/>
        <w:gridCol w:w="3942"/>
      </w:tblGrid>
      <w:tr>
        <w:tblPrEx>
          <w:tblCellMar>
            <w:top w:w="0" w:type="dxa"/>
            <w:left w:w="108" w:type="dxa"/>
            <w:bottom w:w="0" w:type="dxa"/>
            <w:right w:w="108" w:type="dxa"/>
          </w:tblCellMar>
        </w:tblPrEx>
        <w:trPr>
          <w:trHeight w:val="860" w:hRule="atLeast"/>
          <w:tblHeader/>
        </w:trPr>
        <w:tc>
          <w:tcPr>
            <w:tcW w:w="449"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320" w:lineRule="exact"/>
              <w:jc w:val="center"/>
              <w:rPr>
                <w:rFonts w:eastAsia="方正仿宋简体"/>
                <w:b/>
                <w:bCs/>
                <w:kern w:val="0"/>
                <w:sz w:val="18"/>
                <w:szCs w:val="18"/>
              </w:rPr>
            </w:pPr>
            <w:r>
              <w:rPr>
                <w:rFonts w:eastAsia="方正仿宋简体"/>
                <w:b/>
                <w:bCs/>
                <w:kern w:val="0"/>
                <w:sz w:val="18"/>
                <w:szCs w:val="18"/>
              </w:rPr>
              <w:t>序号</w:t>
            </w:r>
          </w:p>
        </w:tc>
        <w:tc>
          <w:tcPr>
            <w:tcW w:w="1360" w:type="dxa"/>
            <w:tcBorders>
              <w:top w:val="single" w:color="auto" w:sz="4" w:space="0"/>
              <w:left w:val="nil"/>
              <w:bottom w:val="single" w:color="auto" w:sz="4" w:space="0"/>
              <w:right w:val="single" w:color="auto" w:sz="4" w:space="0"/>
            </w:tcBorders>
            <w:shd w:val="clear" w:color="auto" w:fill="auto"/>
            <w:noWrap/>
            <w:vAlign w:val="center"/>
          </w:tcPr>
          <w:p>
            <w:pPr>
              <w:widowControl/>
              <w:spacing w:line="320" w:lineRule="exact"/>
              <w:jc w:val="center"/>
              <w:rPr>
                <w:rFonts w:eastAsia="方正仿宋简体"/>
                <w:b/>
                <w:bCs/>
                <w:kern w:val="0"/>
                <w:sz w:val="18"/>
                <w:szCs w:val="18"/>
              </w:rPr>
            </w:pPr>
            <w:r>
              <w:rPr>
                <w:rFonts w:eastAsia="方正仿宋简体"/>
                <w:b/>
                <w:bCs/>
                <w:kern w:val="0"/>
                <w:sz w:val="18"/>
                <w:szCs w:val="18"/>
              </w:rPr>
              <w:t>类别</w:t>
            </w:r>
          </w:p>
        </w:tc>
        <w:tc>
          <w:tcPr>
            <w:tcW w:w="1437" w:type="dxa"/>
            <w:tcBorders>
              <w:top w:val="single" w:color="auto" w:sz="4" w:space="0"/>
              <w:left w:val="nil"/>
              <w:bottom w:val="single" w:color="auto" w:sz="4" w:space="0"/>
              <w:right w:val="single" w:color="auto" w:sz="4" w:space="0"/>
            </w:tcBorders>
            <w:shd w:val="clear" w:color="auto" w:fill="auto"/>
            <w:vAlign w:val="center"/>
          </w:tcPr>
          <w:p>
            <w:pPr>
              <w:widowControl/>
              <w:spacing w:line="320" w:lineRule="exact"/>
              <w:jc w:val="center"/>
              <w:rPr>
                <w:rFonts w:eastAsia="方正仿宋简体"/>
                <w:b/>
                <w:bCs/>
                <w:kern w:val="0"/>
                <w:sz w:val="18"/>
                <w:szCs w:val="18"/>
              </w:rPr>
            </w:pPr>
            <w:r>
              <w:rPr>
                <w:rFonts w:eastAsia="方正仿宋简体"/>
                <w:b/>
                <w:bCs/>
                <w:kern w:val="0"/>
                <w:sz w:val="18"/>
                <w:szCs w:val="18"/>
              </w:rPr>
              <w:t>项目</w:t>
            </w:r>
          </w:p>
        </w:tc>
        <w:tc>
          <w:tcPr>
            <w:tcW w:w="5387" w:type="dxa"/>
            <w:gridSpan w:val="2"/>
            <w:tcBorders>
              <w:top w:val="single" w:color="auto" w:sz="4" w:space="0"/>
              <w:left w:val="nil"/>
              <w:bottom w:val="single" w:color="auto" w:sz="4" w:space="0"/>
              <w:right w:val="single" w:color="auto" w:sz="4" w:space="0"/>
            </w:tcBorders>
            <w:shd w:val="clear" w:color="auto" w:fill="auto"/>
            <w:vAlign w:val="center"/>
          </w:tcPr>
          <w:p>
            <w:pPr>
              <w:widowControl/>
              <w:spacing w:line="320" w:lineRule="exact"/>
              <w:jc w:val="center"/>
              <w:rPr>
                <w:rFonts w:eastAsia="方正仿宋简体"/>
                <w:b/>
                <w:bCs/>
                <w:kern w:val="0"/>
                <w:sz w:val="18"/>
                <w:szCs w:val="18"/>
              </w:rPr>
            </w:pPr>
            <w:r>
              <w:rPr>
                <w:rFonts w:eastAsia="方正仿宋简体"/>
                <w:b/>
                <w:bCs/>
                <w:kern w:val="0"/>
                <w:sz w:val="18"/>
                <w:szCs w:val="18"/>
              </w:rPr>
              <w:t>主要内容</w:t>
            </w:r>
          </w:p>
        </w:tc>
      </w:tr>
      <w:tr>
        <w:tblPrEx>
          <w:tblCellMar>
            <w:top w:w="0" w:type="dxa"/>
            <w:left w:w="108" w:type="dxa"/>
            <w:bottom w:w="0" w:type="dxa"/>
            <w:right w:w="108" w:type="dxa"/>
          </w:tblCellMar>
        </w:tblPrEx>
        <w:trPr>
          <w:trHeight w:val="480" w:hRule="atLeast"/>
        </w:trPr>
        <w:tc>
          <w:tcPr>
            <w:tcW w:w="449" w:type="dxa"/>
            <w:tcBorders>
              <w:top w:val="nil"/>
              <w:left w:val="single" w:color="auto" w:sz="4" w:space="0"/>
              <w:bottom w:val="single" w:color="auto" w:sz="4" w:space="0"/>
              <w:right w:val="single" w:color="auto" w:sz="4" w:space="0"/>
            </w:tcBorders>
            <w:shd w:val="clear" w:color="auto" w:fill="auto"/>
            <w:noWrap/>
            <w:vAlign w:val="center"/>
          </w:tcPr>
          <w:p>
            <w:pPr>
              <w:widowControl/>
              <w:spacing w:line="320" w:lineRule="exact"/>
              <w:jc w:val="center"/>
              <w:rPr>
                <w:rFonts w:eastAsia="方正仿宋简体"/>
                <w:kern w:val="0"/>
                <w:sz w:val="18"/>
                <w:szCs w:val="18"/>
              </w:rPr>
            </w:pPr>
            <w:r>
              <w:rPr>
                <w:rFonts w:eastAsia="方正仿宋简体"/>
                <w:kern w:val="0"/>
                <w:sz w:val="18"/>
                <w:szCs w:val="18"/>
              </w:rPr>
              <w:t>1</w:t>
            </w:r>
          </w:p>
        </w:tc>
        <w:tc>
          <w:tcPr>
            <w:tcW w:w="1360" w:type="dxa"/>
            <w:vMerge w:val="restart"/>
            <w:tcBorders>
              <w:top w:val="nil"/>
              <w:left w:val="single" w:color="auto" w:sz="4" w:space="0"/>
              <w:right w:val="single" w:color="auto" w:sz="4" w:space="0"/>
            </w:tcBorders>
            <w:shd w:val="clear" w:color="auto" w:fill="auto"/>
            <w:vAlign w:val="center"/>
          </w:tcPr>
          <w:p>
            <w:pPr>
              <w:widowControl/>
              <w:spacing w:line="320" w:lineRule="exact"/>
              <w:jc w:val="center"/>
              <w:rPr>
                <w:rFonts w:eastAsia="方正仿宋简体"/>
                <w:kern w:val="0"/>
                <w:sz w:val="18"/>
                <w:szCs w:val="18"/>
              </w:rPr>
            </w:pPr>
            <w:r>
              <w:rPr>
                <w:rFonts w:eastAsia="方正仿宋简体"/>
                <w:kern w:val="0"/>
                <w:sz w:val="18"/>
                <w:szCs w:val="18"/>
              </w:rPr>
              <w:t>一、基本要求</w:t>
            </w:r>
          </w:p>
        </w:tc>
        <w:tc>
          <w:tcPr>
            <w:tcW w:w="1437" w:type="dxa"/>
            <w:tcBorders>
              <w:top w:val="nil"/>
              <w:left w:val="nil"/>
              <w:bottom w:val="single" w:color="auto" w:sz="4" w:space="0"/>
              <w:right w:val="single" w:color="auto" w:sz="4" w:space="0"/>
            </w:tcBorders>
            <w:shd w:val="clear" w:color="auto" w:fill="auto"/>
            <w:vAlign w:val="center"/>
          </w:tcPr>
          <w:p>
            <w:pPr>
              <w:widowControl/>
              <w:spacing w:line="320" w:lineRule="exact"/>
              <w:jc w:val="center"/>
              <w:rPr>
                <w:rFonts w:eastAsia="方正仿宋简体"/>
                <w:kern w:val="0"/>
                <w:sz w:val="18"/>
                <w:szCs w:val="18"/>
              </w:rPr>
            </w:pPr>
            <w:r>
              <w:rPr>
                <w:rFonts w:eastAsia="方正仿宋简体"/>
                <w:kern w:val="0"/>
                <w:sz w:val="18"/>
                <w:szCs w:val="18"/>
              </w:rPr>
              <w:t>（一）业务方案</w:t>
            </w:r>
          </w:p>
        </w:tc>
        <w:tc>
          <w:tcPr>
            <w:tcW w:w="5387" w:type="dxa"/>
            <w:gridSpan w:val="2"/>
            <w:tcBorders>
              <w:top w:val="nil"/>
              <w:left w:val="nil"/>
              <w:bottom w:val="single" w:color="auto" w:sz="4" w:space="0"/>
              <w:right w:val="single" w:color="auto" w:sz="4" w:space="0"/>
            </w:tcBorders>
            <w:shd w:val="clear" w:color="auto" w:fill="auto"/>
            <w:vAlign w:val="center"/>
          </w:tcPr>
          <w:p>
            <w:pPr>
              <w:widowControl/>
              <w:spacing w:line="320" w:lineRule="exact"/>
              <w:rPr>
                <w:rFonts w:eastAsia="方正仿宋简体"/>
                <w:kern w:val="0"/>
                <w:sz w:val="18"/>
                <w:szCs w:val="18"/>
              </w:rPr>
            </w:pPr>
            <w:r>
              <w:rPr>
                <w:rFonts w:eastAsia="方正仿宋简体"/>
                <w:kern w:val="0"/>
                <w:sz w:val="18"/>
                <w:szCs w:val="18"/>
              </w:rPr>
              <w:t>根据深交所最新股票期权业务规则，完成公司交易、结算、风控业务方案</w:t>
            </w:r>
          </w:p>
        </w:tc>
      </w:tr>
      <w:tr>
        <w:tblPrEx>
          <w:tblCellMar>
            <w:top w:w="0" w:type="dxa"/>
            <w:left w:w="108" w:type="dxa"/>
            <w:bottom w:w="0" w:type="dxa"/>
            <w:right w:w="108" w:type="dxa"/>
          </w:tblCellMar>
        </w:tblPrEx>
        <w:trPr>
          <w:trHeight w:val="280" w:hRule="atLeast"/>
        </w:trPr>
        <w:tc>
          <w:tcPr>
            <w:tcW w:w="449" w:type="dxa"/>
            <w:tcBorders>
              <w:top w:val="nil"/>
              <w:left w:val="single" w:color="auto" w:sz="4" w:space="0"/>
              <w:bottom w:val="single" w:color="auto" w:sz="4" w:space="0"/>
              <w:right w:val="single" w:color="auto" w:sz="4" w:space="0"/>
            </w:tcBorders>
            <w:shd w:val="clear" w:color="auto" w:fill="auto"/>
            <w:noWrap/>
            <w:vAlign w:val="center"/>
          </w:tcPr>
          <w:p>
            <w:pPr>
              <w:widowControl/>
              <w:spacing w:line="320" w:lineRule="exact"/>
              <w:jc w:val="center"/>
              <w:rPr>
                <w:rFonts w:eastAsia="方正仿宋简体"/>
                <w:kern w:val="0"/>
                <w:sz w:val="18"/>
                <w:szCs w:val="18"/>
              </w:rPr>
            </w:pPr>
            <w:r>
              <w:rPr>
                <w:rFonts w:eastAsia="方正仿宋简体"/>
                <w:kern w:val="0"/>
                <w:sz w:val="18"/>
                <w:szCs w:val="18"/>
              </w:rPr>
              <w:t>2</w:t>
            </w:r>
          </w:p>
        </w:tc>
        <w:tc>
          <w:tcPr>
            <w:tcW w:w="1360" w:type="dxa"/>
            <w:vMerge w:val="continue"/>
            <w:tcBorders>
              <w:left w:val="single" w:color="auto" w:sz="4" w:space="0"/>
              <w:right w:val="single" w:color="auto" w:sz="4" w:space="0"/>
            </w:tcBorders>
            <w:vAlign w:val="center"/>
          </w:tcPr>
          <w:p>
            <w:pPr>
              <w:widowControl/>
              <w:spacing w:line="320" w:lineRule="exact"/>
              <w:jc w:val="center"/>
              <w:rPr>
                <w:rFonts w:eastAsia="方正仿宋简体"/>
                <w:kern w:val="0"/>
                <w:sz w:val="18"/>
                <w:szCs w:val="18"/>
              </w:rPr>
            </w:pPr>
          </w:p>
        </w:tc>
        <w:tc>
          <w:tcPr>
            <w:tcW w:w="1437" w:type="dxa"/>
            <w:vMerge w:val="restart"/>
            <w:tcBorders>
              <w:top w:val="nil"/>
              <w:left w:val="single" w:color="auto" w:sz="4" w:space="0"/>
              <w:bottom w:val="single" w:color="auto" w:sz="4" w:space="0"/>
              <w:right w:val="single" w:color="auto" w:sz="4" w:space="0"/>
            </w:tcBorders>
            <w:shd w:val="clear" w:color="auto" w:fill="auto"/>
            <w:vAlign w:val="center"/>
          </w:tcPr>
          <w:p>
            <w:pPr>
              <w:widowControl/>
              <w:spacing w:line="320" w:lineRule="exact"/>
              <w:jc w:val="center"/>
              <w:rPr>
                <w:rFonts w:eastAsia="方正仿宋简体"/>
                <w:kern w:val="0"/>
                <w:sz w:val="18"/>
                <w:szCs w:val="18"/>
              </w:rPr>
            </w:pPr>
            <w:r>
              <w:rPr>
                <w:rFonts w:eastAsia="方正仿宋简体"/>
                <w:kern w:val="0"/>
                <w:sz w:val="18"/>
                <w:szCs w:val="18"/>
              </w:rPr>
              <w:t>（二）运作团队</w:t>
            </w:r>
          </w:p>
        </w:tc>
        <w:tc>
          <w:tcPr>
            <w:tcW w:w="5387" w:type="dxa"/>
            <w:gridSpan w:val="2"/>
            <w:tcBorders>
              <w:top w:val="nil"/>
              <w:left w:val="nil"/>
              <w:bottom w:val="single" w:color="auto" w:sz="4" w:space="0"/>
              <w:right w:val="single" w:color="auto" w:sz="4" w:space="0"/>
            </w:tcBorders>
            <w:shd w:val="clear" w:color="auto" w:fill="auto"/>
            <w:vAlign w:val="center"/>
          </w:tcPr>
          <w:p>
            <w:pPr>
              <w:widowControl/>
              <w:spacing w:line="320" w:lineRule="exact"/>
              <w:rPr>
                <w:rFonts w:eastAsia="方正仿宋简体"/>
                <w:kern w:val="0"/>
                <w:sz w:val="18"/>
                <w:szCs w:val="18"/>
              </w:rPr>
            </w:pPr>
            <w:r>
              <w:rPr>
                <w:rFonts w:eastAsia="方正仿宋简体"/>
                <w:kern w:val="0"/>
                <w:sz w:val="18"/>
                <w:szCs w:val="18"/>
              </w:rPr>
              <w:t>设立独立的股票期权经纪业务部门</w:t>
            </w:r>
          </w:p>
        </w:tc>
      </w:tr>
      <w:tr>
        <w:tblPrEx>
          <w:tblCellMar>
            <w:top w:w="0" w:type="dxa"/>
            <w:left w:w="108" w:type="dxa"/>
            <w:bottom w:w="0" w:type="dxa"/>
            <w:right w:w="108" w:type="dxa"/>
          </w:tblCellMar>
        </w:tblPrEx>
        <w:trPr>
          <w:trHeight w:val="280" w:hRule="atLeast"/>
        </w:trPr>
        <w:tc>
          <w:tcPr>
            <w:tcW w:w="449" w:type="dxa"/>
            <w:tcBorders>
              <w:top w:val="nil"/>
              <w:left w:val="single" w:color="auto" w:sz="4" w:space="0"/>
              <w:bottom w:val="single" w:color="auto" w:sz="4" w:space="0"/>
              <w:right w:val="single" w:color="auto" w:sz="4" w:space="0"/>
            </w:tcBorders>
            <w:shd w:val="clear" w:color="auto" w:fill="auto"/>
            <w:noWrap/>
            <w:vAlign w:val="center"/>
          </w:tcPr>
          <w:p>
            <w:pPr>
              <w:widowControl/>
              <w:spacing w:line="320" w:lineRule="exact"/>
              <w:jc w:val="center"/>
              <w:rPr>
                <w:rFonts w:eastAsia="方正仿宋简体"/>
                <w:kern w:val="0"/>
                <w:sz w:val="18"/>
                <w:szCs w:val="18"/>
              </w:rPr>
            </w:pPr>
            <w:r>
              <w:rPr>
                <w:rFonts w:eastAsia="方正仿宋简体"/>
                <w:kern w:val="0"/>
                <w:sz w:val="18"/>
                <w:szCs w:val="18"/>
              </w:rPr>
              <w:t>3</w:t>
            </w:r>
          </w:p>
        </w:tc>
        <w:tc>
          <w:tcPr>
            <w:tcW w:w="1360" w:type="dxa"/>
            <w:vMerge w:val="continue"/>
            <w:tcBorders>
              <w:left w:val="single" w:color="auto" w:sz="4" w:space="0"/>
              <w:right w:val="single" w:color="auto" w:sz="4" w:space="0"/>
            </w:tcBorders>
            <w:vAlign w:val="center"/>
          </w:tcPr>
          <w:p>
            <w:pPr>
              <w:widowControl/>
              <w:spacing w:line="320" w:lineRule="exact"/>
              <w:jc w:val="center"/>
              <w:rPr>
                <w:rFonts w:eastAsia="方正仿宋简体"/>
                <w:kern w:val="0"/>
                <w:sz w:val="18"/>
                <w:szCs w:val="18"/>
              </w:rPr>
            </w:pPr>
          </w:p>
        </w:tc>
        <w:tc>
          <w:tcPr>
            <w:tcW w:w="1437" w:type="dxa"/>
            <w:vMerge w:val="continue"/>
            <w:tcBorders>
              <w:top w:val="nil"/>
              <w:left w:val="single" w:color="auto" w:sz="4" w:space="0"/>
              <w:bottom w:val="single" w:color="auto" w:sz="4" w:space="0"/>
              <w:right w:val="single" w:color="auto" w:sz="4" w:space="0"/>
            </w:tcBorders>
            <w:vAlign w:val="center"/>
          </w:tcPr>
          <w:p>
            <w:pPr>
              <w:widowControl/>
              <w:spacing w:line="320" w:lineRule="exact"/>
              <w:jc w:val="center"/>
              <w:rPr>
                <w:rFonts w:eastAsia="方正仿宋简体"/>
                <w:kern w:val="0"/>
                <w:sz w:val="18"/>
                <w:szCs w:val="18"/>
              </w:rPr>
            </w:pPr>
          </w:p>
        </w:tc>
        <w:tc>
          <w:tcPr>
            <w:tcW w:w="5387" w:type="dxa"/>
            <w:gridSpan w:val="2"/>
            <w:tcBorders>
              <w:top w:val="nil"/>
              <w:left w:val="nil"/>
              <w:bottom w:val="single" w:color="auto" w:sz="4" w:space="0"/>
              <w:right w:val="single" w:color="auto" w:sz="4" w:space="0"/>
            </w:tcBorders>
            <w:shd w:val="clear" w:color="auto" w:fill="auto"/>
            <w:vAlign w:val="center"/>
          </w:tcPr>
          <w:p>
            <w:pPr>
              <w:widowControl/>
              <w:spacing w:line="320" w:lineRule="exact"/>
              <w:rPr>
                <w:rFonts w:eastAsia="方正仿宋简体"/>
                <w:kern w:val="0"/>
                <w:sz w:val="18"/>
                <w:szCs w:val="18"/>
              </w:rPr>
            </w:pPr>
            <w:r>
              <w:rPr>
                <w:rFonts w:eastAsia="方正仿宋简体"/>
                <w:kern w:val="0"/>
                <w:sz w:val="18"/>
                <w:szCs w:val="18"/>
              </w:rPr>
              <w:t>确定了具体岗位和工作职责</w:t>
            </w:r>
          </w:p>
        </w:tc>
      </w:tr>
      <w:tr>
        <w:tblPrEx>
          <w:tblCellMar>
            <w:top w:w="0" w:type="dxa"/>
            <w:left w:w="108" w:type="dxa"/>
            <w:bottom w:w="0" w:type="dxa"/>
            <w:right w:w="108" w:type="dxa"/>
          </w:tblCellMar>
        </w:tblPrEx>
        <w:trPr>
          <w:trHeight w:val="720" w:hRule="atLeast"/>
        </w:trPr>
        <w:tc>
          <w:tcPr>
            <w:tcW w:w="449" w:type="dxa"/>
            <w:tcBorders>
              <w:top w:val="nil"/>
              <w:left w:val="single" w:color="auto" w:sz="4" w:space="0"/>
              <w:bottom w:val="single" w:color="auto" w:sz="4" w:space="0"/>
              <w:right w:val="single" w:color="auto" w:sz="4" w:space="0"/>
            </w:tcBorders>
            <w:shd w:val="clear" w:color="auto" w:fill="auto"/>
            <w:noWrap/>
            <w:vAlign w:val="center"/>
          </w:tcPr>
          <w:p>
            <w:pPr>
              <w:widowControl/>
              <w:spacing w:line="320" w:lineRule="exact"/>
              <w:jc w:val="center"/>
              <w:rPr>
                <w:rFonts w:eastAsia="方正仿宋简体"/>
                <w:kern w:val="0"/>
                <w:sz w:val="18"/>
                <w:szCs w:val="18"/>
              </w:rPr>
            </w:pPr>
            <w:r>
              <w:rPr>
                <w:rFonts w:eastAsia="方正仿宋简体"/>
                <w:kern w:val="0"/>
                <w:sz w:val="18"/>
                <w:szCs w:val="18"/>
              </w:rPr>
              <w:t>4</w:t>
            </w:r>
          </w:p>
        </w:tc>
        <w:tc>
          <w:tcPr>
            <w:tcW w:w="1360" w:type="dxa"/>
            <w:vMerge w:val="continue"/>
            <w:tcBorders>
              <w:left w:val="single" w:color="auto" w:sz="4" w:space="0"/>
              <w:right w:val="single" w:color="auto" w:sz="4" w:space="0"/>
            </w:tcBorders>
            <w:vAlign w:val="center"/>
          </w:tcPr>
          <w:p>
            <w:pPr>
              <w:widowControl/>
              <w:spacing w:line="320" w:lineRule="exact"/>
              <w:jc w:val="center"/>
              <w:rPr>
                <w:rFonts w:eastAsia="方正仿宋简体"/>
                <w:kern w:val="0"/>
                <w:sz w:val="18"/>
                <w:szCs w:val="18"/>
              </w:rPr>
            </w:pPr>
          </w:p>
        </w:tc>
        <w:tc>
          <w:tcPr>
            <w:tcW w:w="1437" w:type="dxa"/>
            <w:vMerge w:val="continue"/>
            <w:tcBorders>
              <w:top w:val="nil"/>
              <w:left w:val="single" w:color="auto" w:sz="4" w:space="0"/>
              <w:bottom w:val="single" w:color="auto" w:sz="4" w:space="0"/>
              <w:right w:val="single" w:color="auto" w:sz="4" w:space="0"/>
            </w:tcBorders>
            <w:vAlign w:val="center"/>
          </w:tcPr>
          <w:p>
            <w:pPr>
              <w:widowControl/>
              <w:spacing w:line="320" w:lineRule="exact"/>
              <w:jc w:val="center"/>
              <w:rPr>
                <w:rFonts w:eastAsia="方正仿宋简体"/>
                <w:kern w:val="0"/>
                <w:sz w:val="18"/>
                <w:szCs w:val="18"/>
              </w:rPr>
            </w:pPr>
          </w:p>
        </w:tc>
        <w:tc>
          <w:tcPr>
            <w:tcW w:w="5387" w:type="dxa"/>
            <w:gridSpan w:val="2"/>
            <w:tcBorders>
              <w:top w:val="nil"/>
              <w:left w:val="nil"/>
              <w:bottom w:val="single" w:color="auto" w:sz="4" w:space="0"/>
              <w:right w:val="single" w:color="auto" w:sz="4" w:space="0"/>
            </w:tcBorders>
            <w:shd w:val="clear" w:color="auto" w:fill="auto"/>
            <w:vAlign w:val="center"/>
          </w:tcPr>
          <w:p>
            <w:pPr>
              <w:widowControl/>
              <w:spacing w:line="320" w:lineRule="exact"/>
              <w:rPr>
                <w:rFonts w:eastAsia="方正仿宋简体"/>
                <w:kern w:val="0"/>
                <w:sz w:val="18"/>
                <w:szCs w:val="18"/>
              </w:rPr>
            </w:pPr>
            <w:r>
              <w:rPr>
                <w:rFonts w:eastAsia="方正仿宋简体"/>
                <w:kern w:val="0"/>
                <w:sz w:val="18"/>
                <w:szCs w:val="18"/>
              </w:rPr>
              <w:t>交易运行、结算、风控、投资者教育、技术等岗位已经配备了相关人员；相关人员均已完成培训，熟悉期权业务知识</w:t>
            </w:r>
          </w:p>
        </w:tc>
      </w:tr>
      <w:tr>
        <w:tblPrEx>
          <w:tblCellMar>
            <w:top w:w="0" w:type="dxa"/>
            <w:left w:w="108" w:type="dxa"/>
            <w:bottom w:w="0" w:type="dxa"/>
            <w:right w:w="108" w:type="dxa"/>
          </w:tblCellMar>
        </w:tblPrEx>
        <w:trPr>
          <w:trHeight w:val="480" w:hRule="atLeast"/>
        </w:trPr>
        <w:tc>
          <w:tcPr>
            <w:tcW w:w="449" w:type="dxa"/>
            <w:tcBorders>
              <w:top w:val="nil"/>
              <w:left w:val="single" w:color="auto" w:sz="4" w:space="0"/>
              <w:bottom w:val="single" w:color="auto" w:sz="4" w:space="0"/>
              <w:right w:val="single" w:color="auto" w:sz="4" w:space="0"/>
            </w:tcBorders>
            <w:shd w:val="clear" w:color="auto" w:fill="auto"/>
            <w:noWrap/>
            <w:vAlign w:val="center"/>
          </w:tcPr>
          <w:p>
            <w:pPr>
              <w:widowControl/>
              <w:spacing w:line="320" w:lineRule="exact"/>
              <w:jc w:val="center"/>
              <w:rPr>
                <w:rFonts w:eastAsia="方正仿宋简体"/>
                <w:kern w:val="0"/>
                <w:sz w:val="18"/>
                <w:szCs w:val="18"/>
              </w:rPr>
            </w:pPr>
            <w:r>
              <w:rPr>
                <w:rFonts w:eastAsia="方正仿宋简体"/>
                <w:kern w:val="0"/>
                <w:sz w:val="18"/>
                <w:szCs w:val="18"/>
              </w:rPr>
              <w:t>5</w:t>
            </w:r>
          </w:p>
        </w:tc>
        <w:tc>
          <w:tcPr>
            <w:tcW w:w="1360" w:type="dxa"/>
            <w:vMerge w:val="continue"/>
            <w:tcBorders>
              <w:left w:val="single" w:color="auto" w:sz="4" w:space="0"/>
              <w:right w:val="single" w:color="auto" w:sz="4" w:space="0"/>
            </w:tcBorders>
            <w:vAlign w:val="center"/>
          </w:tcPr>
          <w:p>
            <w:pPr>
              <w:widowControl/>
              <w:spacing w:line="320" w:lineRule="exact"/>
              <w:jc w:val="center"/>
              <w:rPr>
                <w:rFonts w:eastAsia="方正仿宋简体"/>
                <w:kern w:val="0"/>
                <w:sz w:val="18"/>
                <w:szCs w:val="18"/>
              </w:rPr>
            </w:pPr>
          </w:p>
        </w:tc>
        <w:tc>
          <w:tcPr>
            <w:tcW w:w="1437" w:type="dxa"/>
            <w:vMerge w:val="restart"/>
            <w:tcBorders>
              <w:top w:val="nil"/>
              <w:left w:val="single" w:color="auto" w:sz="4" w:space="0"/>
              <w:bottom w:val="single" w:color="auto" w:sz="4" w:space="0"/>
              <w:right w:val="single" w:color="auto" w:sz="4" w:space="0"/>
            </w:tcBorders>
            <w:shd w:val="clear" w:color="auto" w:fill="auto"/>
            <w:vAlign w:val="center"/>
          </w:tcPr>
          <w:p>
            <w:pPr>
              <w:widowControl/>
              <w:spacing w:line="320" w:lineRule="exact"/>
              <w:jc w:val="center"/>
              <w:rPr>
                <w:rFonts w:eastAsia="方正仿宋简体"/>
                <w:kern w:val="0"/>
                <w:sz w:val="18"/>
                <w:szCs w:val="18"/>
              </w:rPr>
            </w:pPr>
            <w:r>
              <w:rPr>
                <w:rFonts w:eastAsia="方正仿宋简体"/>
                <w:kern w:val="0"/>
                <w:sz w:val="18"/>
                <w:szCs w:val="18"/>
              </w:rPr>
              <w:t>（三）制度流程</w:t>
            </w:r>
          </w:p>
        </w:tc>
        <w:tc>
          <w:tcPr>
            <w:tcW w:w="5387" w:type="dxa"/>
            <w:gridSpan w:val="2"/>
            <w:tcBorders>
              <w:top w:val="nil"/>
              <w:left w:val="nil"/>
              <w:bottom w:val="single" w:color="auto" w:sz="4" w:space="0"/>
              <w:right w:val="single" w:color="auto" w:sz="4" w:space="0"/>
            </w:tcBorders>
            <w:shd w:val="clear" w:color="auto" w:fill="auto"/>
            <w:vAlign w:val="center"/>
          </w:tcPr>
          <w:p>
            <w:pPr>
              <w:widowControl/>
              <w:spacing w:line="320" w:lineRule="exact"/>
              <w:rPr>
                <w:rFonts w:eastAsia="方正仿宋简体"/>
                <w:kern w:val="0"/>
                <w:sz w:val="18"/>
                <w:szCs w:val="18"/>
              </w:rPr>
            </w:pPr>
            <w:r>
              <w:rPr>
                <w:rFonts w:eastAsia="方正仿宋简体"/>
                <w:kern w:val="0"/>
                <w:sz w:val="18"/>
                <w:szCs w:val="18"/>
              </w:rPr>
              <w:t>根据最新制度，制定了期权业务经纪业务制度与流程</w:t>
            </w:r>
          </w:p>
        </w:tc>
      </w:tr>
      <w:tr>
        <w:tblPrEx>
          <w:tblCellMar>
            <w:top w:w="0" w:type="dxa"/>
            <w:left w:w="108" w:type="dxa"/>
            <w:bottom w:w="0" w:type="dxa"/>
            <w:right w:w="108" w:type="dxa"/>
          </w:tblCellMar>
        </w:tblPrEx>
        <w:trPr>
          <w:trHeight w:val="480" w:hRule="atLeast"/>
        </w:trPr>
        <w:tc>
          <w:tcPr>
            <w:tcW w:w="449" w:type="dxa"/>
            <w:tcBorders>
              <w:top w:val="nil"/>
              <w:left w:val="single" w:color="auto" w:sz="4" w:space="0"/>
              <w:bottom w:val="single" w:color="auto" w:sz="4" w:space="0"/>
              <w:right w:val="single" w:color="auto" w:sz="4" w:space="0"/>
            </w:tcBorders>
            <w:shd w:val="clear" w:color="auto" w:fill="auto"/>
            <w:noWrap/>
            <w:vAlign w:val="center"/>
          </w:tcPr>
          <w:p>
            <w:pPr>
              <w:widowControl/>
              <w:spacing w:line="320" w:lineRule="exact"/>
              <w:jc w:val="center"/>
              <w:rPr>
                <w:rFonts w:eastAsia="方正仿宋简体"/>
                <w:kern w:val="0"/>
                <w:sz w:val="18"/>
                <w:szCs w:val="18"/>
              </w:rPr>
            </w:pPr>
            <w:r>
              <w:rPr>
                <w:rFonts w:eastAsia="方正仿宋简体"/>
                <w:kern w:val="0"/>
                <w:sz w:val="18"/>
                <w:szCs w:val="18"/>
              </w:rPr>
              <w:t>6</w:t>
            </w:r>
          </w:p>
        </w:tc>
        <w:tc>
          <w:tcPr>
            <w:tcW w:w="1360" w:type="dxa"/>
            <w:vMerge w:val="continue"/>
            <w:tcBorders>
              <w:left w:val="single" w:color="auto" w:sz="4" w:space="0"/>
              <w:right w:val="single" w:color="auto" w:sz="4" w:space="0"/>
            </w:tcBorders>
            <w:vAlign w:val="center"/>
          </w:tcPr>
          <w:p>
            <w:pPr>
              <w:widowControl/>
              <w:spacing w:line="320" w:lineRule="exact"/>
              <w:jc w:val="center"/>
              <w:rPr>
                <w:rFonts w:eastAsia="方正仿宋简体"/>
                <w:kern w:val="0"/>
                <w:sz w:val="18"/>
                <w:szCs w:val="18"/>
              </w:rPr>
            </w:pPr>
          </w:p>
        </w:tc>
        <w:tc>
          <w:tcPr>
            <w:tcW w:w="1437" w:type="dxa"/>
            <w:vMerge w:val="continue"/>
            <w:tcBorders>
              <w:top w:val="nil"/>
              <w:left w:val="single" w:color="auto" w:sz="4" w:space="0"/>
              <w:bottom w:val="single" w:color="auto" w:sz="4" w:space="0"/>
              <w:right w:val="single" w:color="auto" w:sz="4" w:space="0"/>
            </w:tcBorders>
            <w:vAlign w:val="center"/>
          </w:tcPr>
          <w:p>
            <w:pPr>
              <w:widowControl/>
              <w:spacing w:line="320" w:lineRule="exact"/>
              <w:jc w:val="center"/>
              <w:rPr>
                <w:rFonts w:eastAsia="方正仿宋简体"/>
                <w:kern w:val="0"/>
                <w:sz w:val="18"/>
                <w:szCs w:val="18"/>
              </w:rPr>
            </w:pPr>
          </w:p>
        </w:tc>
        <w:tc>
          <w:tcPr>
            <w:tcW w:w="5387" w:type="dxa"/>
            <w:gridSpan w:val="2"/>
            <w:tcBorders>
              <w:top w:val="nil"/>
              <w:left w:val="nil"/>
              <w:bottom w:val="single" w:color="auto" w:sz="4" w:space="0"/>
              <w:right w:val="single" w:color="auto" w:sz="4" w:space="0"/>
            </w:tcBorders>
            <w:shd w:val="clear" w:color="auto" w:fill="auto"/>
            <w:vAlign w:val="center"/>
          </w:tcPr>
          <w:p>
            <w:pPr>
              <w:widowControl/>
              <w:spacing w:line="320" w:lineRule="exact"/>
              <w:rPr>
                <w:rFonts w:eastAsia="方正仿宋简体"/>
                <w:kern w:val="0"/>
                <w:sz w:val="18"/>
                <w:szCs w:val="18"/>
              </w:rPr>
            </w:pPr>
            <w:r>
              <w:rPr>
                <w:rFonts w:eastAsia="方正仿宋简体"/>
                <w:kern w:val="0"/>
                <w:sz w:val="18"/>
                <w:szCs w:val="18"/>
              </w:rPr>
              <w:t>根据最新制度，制定了期权业务保证金管理方面的制度与流程</w:t>
            </w:r>
          </w:p>
        </w:tc>
      </w:tr>
      <w:tr>
        <w:tblPrEx>
          <w:tblCellMar>
            <w:top w:w="0" w:type="dxa"/>
            <w:left w:w="108" w:type="dxa"/>
            <w:bottom w:w="0" w:type="dxa"/>
            <w:right w:w="108" w:type="dxa"/>
          </w:tblCellMar>
        </w:tblPrEx>
        <w:trPr>
          <w:trHeight w:val="480" w:hRule="atLeast"/>
        </w:trPr>
        <w:tc>
          <w:tcPr>
            <w:tcW w:w="449" w:type="dxa"/>
            <w:tcBorders>
              <w:top w:val="nil"/>
              <w:left w:val="single" w:color="auto" w:sz="4" w:space="0"/>
              <w:bottom w:val="single" w:color="auto" w:sz="4" w:space="0"/>
              <w:right w:val="single" w:color="auto" w:sz="4" w:space="0"/>
            </w:tcBorders>
            <w:shd w:val="clear" w:color="auto" w:fill="auto"/>
            <w:noWrap/>
            <w:vAlign w:val="center"/>
          </w:tcPr>
          <w:p>
            <w:pPr>
              <w:widowControl/>
              <w:spacing w:line="320" w:lineRule="exact"/>
              <w:jc w:val="center"/>
              <w:rPr>
                <w:rFonts w:eastAsia="方正仿宋简体"/>
                <w:kern w:val="0"/>
                <w:sz w:val="18"/>
                <w:szCs w:val="18"/>
              </w:rPr>
            </w:pPr>
            <w:r>
              <w:rPr>
                <w:rFonts w:eastAsia="方正仿宋简体"/>
                <w:kern w:val="0"/>
                <w:sz w:val="18"/>
                <w:szCs w:val="18"/>
              </w:rPr>
              <w:t>7</w:t>
            </w:r>
          </w:p>
        </w:tc>
        <w:tc>
          <w:tcPr>
            <w:tcW w:w="1360" w:type="dxa"/>
            <w:vMerge w:val="continue"/>
            <w:tcBorders>
              <w:left w:val="single" w:color="auto" w:sz="4" w:space="0"/>
              <w:right w:val="single" w:color="auto" w:sz="4" w:space="0"/>
            </w:tcBorders>
            <w:vAlign w:val="center"/>
          </w:tcPr>
          <w:p>
            <w:pPr>
              <w:widowControl/>
              <w:spacing w:line="320" w:lineRule="exact"/>
              <w:jc w:val="center"/>
              <w:rPr>
                <w:rFonts w:eastAsia="方正仿宋简体"/>
                <w:kern w:val="0"/>
                <w:sz w:val="18"/>
                <w:szCs w:val="18"/>
              </w:rPr>
            </w:pPr>
          </w:p>
        </w:tc>
        <w:tc>
          <w:tcPr>
            <w:tcW w:w="1437" w:type="dxa"/>
            <w:vMerge w:val="continue"/>
            <w:tcBorders>
              <w:top w:val="nil"/>
              <w:left w:val="single" w:color="auto" w:sz="4" w:space="0"/>
              <w:bottom w:val="single" w:color="auto" w:sz="4" w:space="0"/>
              <w:right w:val="single" w:color="auto" w:sz="4" w:space="0"/>
            </w:tcBorders>
            <w:vAlign w:val="center"/>
          </w:tcPr>
          <w:p>
            <w:pPr>
              <w:widowControl/>
              <w:spacing w:line="320" w:lineRule="exact"/>
              <w:jc w:val="center"/>
              <w:rPr>
                <w:rFonts w:eastAsia="方正仿宋简体"/>
                <w:kern w:val="0"/>
                <w:sz w:val="18"/>
                <w:szCs w:val="18"/>
              </w:rPr>
            </w:pPr>
          </w:p>
        </w:tc>
        <w:tc>
          <w:tcPr>
            <w:tcW w:w="5387" w:type="dxa"/>
            <w:gridSpan w:val="2"/>
            <w:tcBorders>
              <w:top w:val="nil"/>
              <w:left w:val="nil"/>
              <w:bottom w:val="single" w:color="auto" w:sz="4" w:space="0"/>
              <w:right w:val="single" w:color="auto" w:sz="4" w:space="0"/>
            </w:tcBorders>
            <w:shd w:val="clear" w:color="auto" w:fill="auto"/>
            <w:vAlign w:val="center"/>
          </w:tcPr>
          <w:p>
            <w:pPr>
              <w:widowControl/>
              <w:spacing w:line="320" w:lineRule="exact"/>
              <w:rPr>
                <w:rFonts w:eastAsia="方正仿宋简体"/>
                <w:kern w:val="0"/>
                <w:sz w:val="18"/>
                <w:szCs w:val="18"/>
              </w:rPr>
            </w:pPr>
            <w:r>
              <w:rPr>
                <w:rFonts w:eastAsia="方正仿宋简体"/>
                <w:kern w:val="0"/>
                <w:sz w:val="18"/>
                <w:szCs w:val="18"/>
              </w:rPr>
              <w:t>根据最新制度，制定了期权业务登记结算方面的制度与流程</w:t>
            </w:r>
          </w:p>
        </w:tc>
      </w:tr>
      <w:tr>
        <w:tblPrEx>
          <w:tblCellMar>
            <w:top w:w="0" w:type="dxa"/>
            <w:left w:w="108" w:type="dxa"/>
            <w:bottom w:w="0" w:type="dxa"/>
            <w:right w:w="108" w:type="dxa"/>
          </w:tblCellMar>
        </w:tblPrEx>
        <w:trPr>
          <w:trHeight w:val="230" w:hRule="atLeast"/>
        </w:trPr>
        <w:tc>
          <w:tcPr>
            <w:tcW w:w="449" w:type="dxa"/>
            <w:vMerge w:val="restart"/>
            <w:tcBorders>
              <w:top w:val="nil"/>
              <w:left w:val="single" w:color="auto" w:sz="4" w:space="0"/>
              <w:right w:val="single" w:color="auto" w:sz="4" w:space="0"/>
            </w:tcBorders>
            <w:shd w:val="clear" w:color="auto" w:fill="auto"/>
            <w:noWrap/>
            <w:vAlign w:val="center"/>
          </w:tcPr>
          <w:p>
            <w:pPr>
              <w:widowControl/>
              <w:spacing w:line="320" w:lineRule="exact"/>
              <w:jc w:val="center"/>
              <w:rPr>
                <w:rFonts w:eastAsia="方正仿宋简体"/>
                <w:kern w:val="0"/>
                <w:sz w:val="18"/>
                <w:szCs w:val="18"/>
              </w:rPr>
            </w:pPr>
            <w:r>
              <w:rPr>
                <w:rFonts w:eastAsia="方正仿宋简体"/>
                <w:kern w:val="0"/>
                <w:sz w:val="18"/>
                <w:szCs w:val="18"/>
              </w:rPr>
              <w:t>8</w:t>
            </w:r>
          </w:p>
        </w:tc>
        <w:tc>
          <w:tcPr>
            <w:tcW w:w="1360" w:type="dxa"/>
            <w:vMerge w:val="continue"/>
            <w:tcBorders>
              <w:left w:val="single" w:color="auto" w:sz="4" w:space="0"/>
              <w:right w:val="single" w:color="auto" w:sz="4" w:space="0"/>
            </w:tcBorders>
            <w:vAlign w:val="center"/>
          </w:tcPr>
          <w:p>
            <w:pPr>
              <w:widowControl/>
              <w:spacing w:line="320" w:lineRule="exact"/>
              <w:jc w:val="center"/>
              <w:rPr>
                <w:rFonts w:eastAsia="方正仿宋简体"/>
                <w:kern w:val="0"/>
                <w:sz w:val="18"/>
                <w:szCs w:val="18"/>
              </w:rPr>
            </w:pPr>
          </w:p>
        </w:tc>
        <w:tc>
          <w:tcPr>
            <w:tcW w:w="1437" w:type="dxa"/>
            <w:vMerge w:val="continue"/>
            <w:tcBorders>
              <w:top w:val="nil"/>
              <w:left w:val="single" w:color="auto" w:sz="4" w:space="0"/>
              <w:bottom w:val="single" w:color="auto" w:sz="4" w:space="0"/>
              <w:right w:val="single" w:color="auto" w:sz="4" w:space="0"/>
            </w:tcBorders>
            <w:vAlign w:val="center"/>
          </w:tcPr>
          <w:p>
            <w:pPr>
              <w:widowControl/>
              <w:spacing w:line="320" w:lineRule="exact"/>
              <w:jc w:val="center"/>
              <w:rPr>
                <w:rFonts w:eastAsia="方正仿宋简体"/>
                <w:kern w:val="0"/>
                <w:sz w:val="18"/>
                <w:szCs w:val="18"/>
              </w:rPr>
            </w:pPr>
          </w:p>
        </w:tc>
        <w:tc>
          <w:tcPr>
            <w:tcW w:w="5387" w:type="dxa"/>
            <w:gridSpan w:val="2"/>
            <w:tcBorders>
              <w:top w:val="nil"/>
              <w:left w:val="nil"/>
              <w:bottom w:val="single" w:color="auto" w:sz="4" w:space="0"/>
              <w:right w:val="single" w:color="auto" w:sz="4" w:space="0"/>
            </w:tcBorders>
            <w:shd w:val="clear" w:color="auto" w:fill="auto"/>
            <w:vAlign w:val="center"/>
          </w:tcPr>
          <w:p>
            <w:pPr>
              <w:widowControl/>
              <w:spacing w:line="320" w:lineRule="exact"/>
              <w:rPr>
                <w:rFonts w:eastAsia="方正仿宋简体"/>
                <w:kern w:val="0"/>
                <w:sz w:val="18"/>
                <w:szCs w:val="18"/>
              </w:rPr>
            </w:pPr>
            <w:r>
              <w:rPr>
                <w:rFonts w:eastAsia="方正仿宋简体"/>
                <w:kern w:val="0"/>
                <w:sz w:val="18"/>
                <w:szCs w:val="18"/>
              </w:rPr>
              <w:t>根据最新制度，制定了期权业务风险控制方面的制度与流程</w:t>
            </w:r>
          </w:p>
        </w:tc>
      </w:tr>
      <w:tr>
        <w:tblPrEx>
          <w:tblCellMar>
            <w:top w:w="0" w:type="dxa"/>
            <w:left w:w="108" w:type="dxa"/>
            <w:bottom w:w="0" w:type="dxa"/>
            <w:right w:w="108" w:type="dxa"/>
          </w:tblCellMar>
        </w:tblPrEx>
        <w:trPr>
          <w:trHeight w:val="238" w:hRule="atLeast"/>
        </w:trPr>
        <w:tc>
          <w:tcPr>
            <w:tcW w:w="449" w:type="dxa"/>
            <w:vMerge w:val="continue"/>
            <w:tcBorders>
              <w:left w:val="single" w:color="auto" w:sz="4" w:space="0"/>
              <w:bottom w:val="single" w:color="auto" w:sz="4" w:space="0"/>
              <w:right w:val="single" w:color="auto" w:sz="4" w:space="0"/>
            </w:tcBorders>
            <w:shd w:val="clear" w:color="auto" w:fill="auto"/>
            <w:noWrap/>
            <w:vAlign w:val="center"/>
          </w:tcPr>
          <w:p>
            <w:pPr>
              <w:widowControl/>
              <w:spacing w:line="320" w:lineRule="exact"/>
              <w:jc w:val="center"/>
              <w:rPr>
                <w:rFonts w:eastAsia="方正仿宋简体"/>
                <w:kern w:val="0"/>
                <w:sz w:val="18"/>
                <w:szCs w:val="18"/>
              </w:rPr>
            </w:pPr>
          </w:p>
        </w:tc>
        <w:tc>
          <w:tcPr>
            <w:tcW w:w="1360" w:type="dxa"/>
            <w:vMerge w:val="continue"/>
            <w:tcBorders>
              <w:left w:val="single" w:color="auto" w:sz="4" w:space="0"/>
              <w:bottom w:val="single" w:color="auto" w:sz="4" w:space="0"/>
              <w:right w:val="single" w:color="auto" w:sz="4" w:space="0"/>
            </w:tcBorders>
            <w:vAlign w:val="center"/>
          </w:tcPr>
          <w:p>
            <w:pPr>
              <w:widowControl/>
              <w:spacing w:line="320" w:lineRule="exact"/>
              <w:jc w:val="center"/>
              <w:rPr>
                <w:rFonts w:eastAsia="方正仿宋简体"/>
                <w:kern w:val="0"/>
                <w:sz w:val="18"/>
                <w:szCs w:val="18"/>
              </w:rPr>
            </w:pPr>
          </w:p>
        </w:tc>
        <w:tc>
          <w:tcPr>
            <w:tcW w:w="1437"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eastAsia="方正仿宋简体"/>
                <w:kern w:val="0"/>
                <w:sz w:val="18"/>
                <w:szCs w:val="18"/>
              </w:rPr>
            </w:pPr>
            <w:r>
              <w:rPr>
                <w:rFonts w:eastAsia="方正仿宋简体"/>
                <w:kern w:val="0"/>
                <w:sz w:val="18"/>
                <w:szCs w:val="18"/>
              </w:rPr>
              <w:t>（四）业务合规</w:t>
            </w:r>
          </w:p>
        </w:tc>
        <w:tc>
          <w:tcPr>
            <w:tcW w:w="5387" w:type="dxa"/>
            <w:gridSpan w:val="2"/>
            <w:tcBorders>
              <w:top w:val="single" w:color="auto" w:sz="4" w:space="0"/>
              <w:left w:val="nil"/>
              <w:bottom w:val="single" w:color="auto" w:sz="4" w:space="0"/>
              <w:right w:val="single" w:color="auto" w:sz="4" w:space="0"/>
            </w:tcBorders>
            <w:shd w:val="clear" w:color="auto" w:fill="auto"/>
            <w:vAlign w:val="center"/>
          </w:tcPr>
          <w:p>
            <w:pPr>
              <w:spacing w:line="320" w:lineRule="exact"/>
              <w:rPr>
                <w:rFonts w:eastAsia="方正仿宋简体"/>
                <w:kern w:val="0"/>
                <w:sz w:val="18"/>
                <w:szCs w:val="18"/>
              </w:rPr>
            </w:pPr>
            <w:r>
              <w:rPr>
                <w:rFonts w:eastAsia="方正仿宋简体"/>
                <w:kern w:val="0"/>
                <w:sz w:val="18"/>
                <w:szCs w:val="18"/>
              </w:rPr>
              <w:t>股票期权业务未收到自律监管措施、纪律处分，或收到自律监管措施、纪律处分的事项已完成整改</w:t>
            </w:r>
          </w:p>
        </w:tc>
      </w:tr>
      <w:tr>
        <w:tblPrEx>
          <w:tblCellMar>
            <w:top w:w="0" w:type="dxa"/>
            <w:left w:w="108" w:type="dxa"/>
            <w:bottom w:w="0" w:type="dxa"/>
            <w:right w:w="108" w:type="dxa"/>
          </w:tblCellMar>
        </w:tblPrEx>
        <w:trPr>
          <w:trHeight w:val="480" w:hRule="atLeast"/>
        </w:trPr>
        <w:tc>
          <w:tcPr>
            <w:tcW w:w="449" w:type="dxa"/>
            <w:tcBorders>
              <w:top w:val="nil"/>
              <w:left w:val="single" w:color="auto" w:sz="4" w:space="0"/>
              <w:bottom w:val="single" w:color="auto" w:sz="4" w:space="0"/>
              <w:right w:val="single" w:color="auto" w:sz="4" w:space="0"/>
            </w:tcBorders>
            <w:shd w:val="clear" w:color="auto" w:fill="auto"/>
            <w:noWrap/>
            <w:vAlign w:val="center"/>
          </w:tcPr>
          <w:p>
            <w:pPr>
              <w:widowControl/>
              <w:spacing w:line="320" w:lineRule="exact"/>
              <w:jc w:val="center"/>
              <w:rPr>
                <w:rFonts w:eastAsia="方正仿宋简体"/>
                <w:kern w:val="0"/>
                <w:sz w:val="18"/>
                <w:szCs w:val="18"/>
              </w:rPr>
            </w:pPr>
            <w:r>
              <w:rPr>
                <w:rFonts w:eastAsia="方正仿宋简体"/>
                <w:kern w:val="0"/>
                <w:sz w:val="18"/>
                <w:szCs w:val="18"/>
              </w:rPr>
              <w:t>9</w:t>
            </w:r>
          </w:p>
        </w:tc>
        <w:tc>
          <w:tcPr>
            <w:tcW w:w="1360" w:type="dxa"/>
            <w:vMerge w:val="restart"/>
            <w:tcBorders>
              <w:top w:val="nil"/>
              <w:left w:val="single" w:color="auto" w:sz="4" w:space="0"/>
              <w:bottom w:val="single" w:color="auto" w:sz="4" w:space="0"/>
              <w:right w:val="single" w:color="auto" w:sz="4" w:space="0"/>
            </w:tcBorders>
            <w:shd w:val="clear" w:color="auto" w:fill="auto"/>
            <w:noWrap/>
            <w:vAlign w:val="center"/>
          </w:tcPr>
          <w:p>
            <w:pPr>
              <w:widowControl/>
              <w:spacing w:line="320" w:lineRule="exact"/>
              <w:jc w:val="center"/>
              <w:rPr>
                <w:rFonts w:eastAsia="方正仿宋简体"/>
                <w:kern w:val="0"/>
                <w:sz w:val="18"/>
                <w:szCs w:val="18"/>
              </w:rPr>
            </w:pPr>
            <w:r>
              <w:rPr>
                <w:rFonts w:eastAsia="方正仿宋简体"/>
                <w:kern w:val="0"/>
                <w:sz w:val="18"/>
                <w:szCs w:val="18"/>
              </w:rPr>
              <w:t>二、技术</w:t>
            </w:r>
          </w:p>
        </w:tc>
        <w:tc>
          <w:tcPr>
            <w:tcW w:w="1437" w:type="dxa"/>
            <w:tcBorders>
              <w:top w:val="nil"/>
              <w:left w:val="nil"/>
              <w:bottom w:val="single" w:color="auto" w:sz="4" w:space="0"/>
              <w:right w:val="single" w:color="auto" w:sz="4" w:space="0"/>
            </w:tcBorders>
            <w:shd w:val="clear" w:color="auto" w:fill="auto"/>
            <w:vAlign w:val="center"/>
          </w:tcPr>
          <w:p>
            <w:pPr>
              <w:widowControl/>
              <w:spacing w:line="320" w:lineRule="exact"/>
              <w:jc w:val="center"/>
              <w:rPr>
                <w:rFonts w:eastAsia="方正仿宋简体"/>
                <w:kern w:val="0"/>
                <w:sz w:val="18"/>
                <w:szCs w:val="18"/>
              </w:rPr>
            </w:pPr>
            <w:r>
              <w:rPr>
                <w:rFonts w:eastAsia="方正仿宋简体"/>
                <w:kern w:val="0"/>
                <w:sz w:val="18"/>
                <w:szCs w:val="18"/>
              </w:rPr>
              <w:t>（一）技术规划</w:t>
            </w:r>
          </w:p>
        </w:tc>
        <w:tc>
          <w:tcPr>
            <w:tcW w:w="5387" w:type="dxa"/>
            <w:gridSpan w:val="2"/>
            <w:tcBorders>
              <w:top w:val="nil"/>
              <w:left w:val="nil"/>
              <w:bottom w:val="single" w:color="auto" w:sz="4" w:space="0"/>
              <w:right w:val="single" w:color="auto" w:sz="4" w:space="0"/>
            </w:tcBorders>
            <w:shd w:val="clear" w:color="auto" w:fill="auto"/>
            <w:vAlign w:val="center"/>
          </w:tcPr>
          <w:p>
            <w:pPr>
              <w:widowControl/>
              <w:spacing w:line="320" w:lineRule="exact"/>
              <w:rPr>
                <w:rFonts w:eastAsia="方正仿宋简体"/>
                <w:kern w:val="0"/>
                <w:sz w:val="18"/>
                <w:szCs w:val="18"/>
              </w:rPr>
            </w:pPr>
            <w:r>
              <w:rPr>
                <w:rFonts w:eastAsia="方正仿宋简体"/>
                <w:kern w:val="0"/>
                <w:sz w:val="18"/>
                <w:szCs w:val="18"/>
              </w:rPr>
              <w:t>制定期权系统的技术规划，包括系统的建设目标、容量及可靠性要求</w:t>
            </w:r>
          </w:p>
        </w:tc>
      </w:tr>
      <w:tr>
        <w:tblPrEx>
          <w:tblCellMar>
            <w:top w:w="0" w:type="dxa"/>
            <w:left w:w="108" w:type="dxa"/>
            <w:bottom w:w="0" w:type="dxa"/>
            <w:right w:w="108" w:type="dxa"/>
          </w:tblCellMar>
        </w:tblPrEx>
        <w:trPr>
          <w:trHeight w:val="480" w:hRule="atLeast"/>
        </w:trPr>
        <w:tc>
          <w:tcPr>
            <w:tcW w:w="449" w:type="dxa"/>
            <w:tcBorders>
              <w:top w:val="nil"/>
              <w:left w:val="single" w:color="auto" w:sz="4" w:space="0"/>
              <w:bottom w:val="single" w:color="auto" w:sz="4" w:space="0"/>
              <w:right w:val="single" w:color="auto" w:sz="4" w:space="0"/>
            </w:tcBorders>
            <w:shd w:val="clear" w:color="auto" w:fill="auto"/>
            <w:noWrap/>
            <w:vAlign w:val="center"/>
          </w:tcPr>
          <w:p>
            <w:pPr>
              <w:widowControl/>
              <w:spacing w:line="320" w:lineRule="exact"/>
              <w:jc w:val="center"/>
              <w:rPr>
                <w:rFonts w:eastAsia="方正仿宋简体"/>
                <w:kern w:val="0"/>
                <w:sz w:val="18"/>
                <w:szCs w:val="18"/>
              </w:rPr>
            </w:pPr>
            <w:r>
              <w:rPr>
                <w:rFonts w:eastAsia="方正仿宋简体"/>
                <w:kern w:val="0"/>
                <w:sz w:val="18"/>
                <w:szCs w:val="18"/>
              </w:rPr>
              <w:t>10</w:t>
            </w:r>
          </w:p>
        </w:tc>
        <w:tc>
          <w:tcPr>
            <w:tcW w:w="1360" w:type="dxa"/>
            <w:vMerge w:val="continue"/>
            <w:tcBorders>
              <w:top w:val="nil"/>
              <w:left w:val="single" w:color="auto" w:sz="4" w:space="0"/>
              <w:bottom w:val="single" w:color="auto" w:sz="4" w:space="0"/>
              <w:right w:val="single" w:color="auto" w:sz="4" w:space="0"/>
            </w:tcBorders>
            <w:vAlign w:val="center"/>
          </w:tcPr>
          <w:p>
            <w:pPr>
              <w:widowControl/>
              <w:spacing w:line="320" w:lineRule="exact"/>
              <w:jc w:val="center"/>
              <w:rPr>
                <w:rFonts w:eastAsia="方正仿宋简体"/>
                <w:kern w:val="0"/>
                <w:sz w:val="18"/>
                <w:szCs w:val="18"/>
              </w:rPr>
            </w:pPr>
          </w:p>
        </w:tc>
        <w:tc>
          <w:tcPr>
            <w:tcW w:w="1437" w:type="dxa"/>
            <w:vMerge w:val="restart"/>
            <w:tcBorders>
              <w:top w:val="nil"/>
              <w:left w:val="single" w:color="auto" w:sz="4" w:space="0"/>
              <w:bottom w:val="single" w:color="auto" w:sz="4" w:space="0"/>
              <w:right w:val="single" w:color="auto" w:sz="4" w:space="0"/>
            </w:tcBorders>
            <w:shd w:val="clear" w:color="auto" w:fill="auto"/>
            <w:vAlign w:val="center"/>
          </w:tcPr>
          <w:p>
            <w:pPr>
              <w:widowControl/>
              <w:spacing w:line="320" w:lineRule="exact"/>
              <w:jc w:val="center"/>
              <w:rPr>
                <w:rFonts w:eastAsia="方正仿宋简体"/>
                <w:kern w:val="0"/>
                <w:sz w:val="18"/>
                <w:szCs w:val="18"/>
              </w:rPr>
            </w:pPr>
            <w:r>
              <w:rPr>
                <w:rFonts w:eastAsia="方正仿宋简体"/>
                <w:kern w:val="0"/>
                <w:sz w:val="18"/>
                <w:szCs w:val="18"/>
              </w:rPr>
              <w:t>（二）技术方案</w:t>
            </w:r>
          </w:p>
        </w:tc>
        <w:tc>
          <w:tcPr>
            <w:tcW w:w="5387" w:type="dxa"/>
            <w:gridSpan w:val="2"/>
            <w:tcBorders>
              <w:top w:val="nil"/>
              <w:left w:val="nil"/>
              <w:bottom w:val="single" w:color="auto" w:sz="4" w:space="0"/>
              <w:right w:val="single" w:color="auto" w:sz="4" w:space="0"/>
            </w:tcBorders>
            <w:shd w:val="clear" w:color="auto" w:fill="auto"/>
            <w:vAlign w:val="center"/>
          </w:tcPr>
          <w:p>
            <w:pPr>
              <w:widowControl/>
              <w:spacing w:line="320" w:lineRule="exact"/>
              <w:rPr>
                <w:rFonts w:eastAsia="方正仿宋简体"/>
                <w:kern w:val="0"/>
                <w:sz w:val="18"/>
                <w:szCs w:val="18"/>
              </w:rPr>
            </w:pPr>
            <w:r>
              <w:rPr>
                <w:rFonts w:eastAsia="方正仿宋简体"/>
                <w:kern w:val="0"/>
                <w:sz w:val="18"/>
                <w:szCs w:val="18"/>
              </w:rPr>
              <w:t>制定详细的期权技术系统方案，包括交易、结算、行情、风控等方面</w:t>
            </w:r>
          </w:p>
        </w:tc>
      </w:tr>
      <w:tr>
        <w:tblPrEx>
          <w:tblCellMar>
            <w:top w:w="0" w:type="dxa"/>
            <w:left w:w="108" w:type="dxa"/>
            <w:bottom w:w="0" w:type="dxa"/>
            <w:right w:w="108" w:type="dxa"/>
          </w:tblCellMar>
        </w:tblPrEx>
        <w:trPr>
          <w:trHeight w:val="280" w:hRule="atLeast"/>
        </w:trPr>
        <w:tc>
          <w:tcPr>
            <w:tcW w:w="449" w:type="dxa"/>
            <w:tcBorders>
              <w:top w:val="nil"/>
              <w:left w:val="single" w:color="auto" w:sz="4" w:space="0"/>
              <w:bottom w:val="single" w:color="auto" w:sz="4" w:space="0"/>
              <w:right w:val="single" w:color="auto" w:sz="4" w:space="0"/>
            </w:tcBorders>
            <w:shd w:val="clear" w:color="auto" w:fill="auto"/>
            <w:noWrap/>
            <w:vAlign w:val="center"/>
          </w:tcPr>
          <w:p>
            <w:pPr>
              <w:widowControl/>
              <w:spacing w:line="320" w:lineRule="exact"/>
              <w:jc w:val="center"/>
              <w:rPr>
                <w:rFonts w:eastAsia="方正仿宋简体"/>
                <w:kern w:val="0"/>
                <w:sz w:val="18"/>
                <w:szCs w:val="18"/>
              </w:rPr>
            </w:pPr>
            <w:r>
              <w:rPr>
                <w:rFonts w:eastAsia="方正仿宋简体"/>
                <w:kern w:val="0"/>
                <w:sz w:val="18"/>
                <w:szCs w:val="18"/>
              </w:rPr>
              <w:t>11</w:t>
            </w:r>
          </w:p>
        </w:tc>
        <w:tc>
          <w:tcPr>
            <w:tcW w:w="1360" w:type="dxa"/>
            <w:vMerge w:val="continue"/>
            <w:tcBorders>
              <w:top w:val="nil"/>
              <w:left w:val="single" w:color="auto" w:sz="4" w:space="0"/>
              <w:bottom w:val="single" w:color="auto" w:sz="4" w:space="0"/>
              <w:right w:val="single" w:color="auto" w:sz="4" w:space="0"/>
            </w:tcBorders>
            <w:vAlign w:val="center"/>
          </w:tcPr>
          <w:p>
            <w:pPr>
              <w:widowControl/>
              <w:spacing w:line="320" w:lineRule="exact"/>
              <w:jc w:val="center"/>
              <w:rPr>
                <w:rFonts w:eastAsia="方正仿宋简体"/>
                <w:kern w:val="0"/>
                <w:sz w:val="18"/>
                <w:szCs w:val="18"/>
              </w:rPr>
            </w:pPr>
          </w:p>
        </w:tc>
        <w:tc>
          <w:tcPr>
            <w:tcW w:w="1437" w:type="dxa"/>
            <w:vMerge w:val="continue"/>
            <w:tcBorders>
              <w:top w:val="nil"/>
              <w:left w:val="single" w:color="auto" w:sz="4" w:space="0"/>
              <w:bottom w:val="single" w:color="auto" w:sz="4" w:space="0"/>
              <w:right w:val="single" w:color="auto" w:sz="4" w:space="0"/>
            </w:tcBorders>
            <w:vAlign w:val="center"/>
          </w:tcPr>
          <w:p>
            <w:pPr>
              <w:widowControl/>
              <w:spacing w:line="320" w:lineRule="exact"/>
              <w:jc w:val="center"/>
              <w:rPr>
                <w:rFonts w:eastAsia="方正仿宋简体"/>
                <w:kern w:val="0"/>
                <w:sz w:val="18"/>
                <w:szCs w:val="18"/>
              </w:rPr>
            </w:pPr>
          </w:p>
        </w:tc>
        <w:tc>
          <w:tcPr>
            <w:tcW w:w="5387" w:type="dxa"/>
            <w:gridSpan w:val="2"/>
            <w:tcBorders>
              <w:top w:val="nil"/>
              <w:left w:val="nil"/>
              <w:bottom w:val="single" w:color="auto" w:sz="4" w:space="0"/>
              <w:right w:val="single" w:color="auto" w:sz="4" w:space="0"/>
            </w:tcBorders>
            <w:shd w:val="clear" w:color="auto" w:fill="auto"/>
            <w:vAlign w:val="center"/>
          </w:tcPr>
          <w:p>
            <w:pPr>
              <w:widowControl/>
              <w:spacing w:line="320" w:lineRule="exact"/>
              <w:rPr>
                <w:rFonts w:eastAsia="方正仿宋简体"/>
                <w:kern w:val="0"/>
                <w:sz w:val="18"/>
                <w:szCs w:val="18"/>
              </w:rPr>
            </w:pPr>
            <w:r>
              <w:rPr>
                <w:rFonts w:eastAsia="方正仿宋简体"/>
                <w:kern w:val="0"/>
                <w:sz w:val="18"/>
                <w:szCs w:val="18"/>
              </w:rPr>
              <w:t>明确技术备份、应急预案等</w:t>
            </w:r>
          </w:p>
        </w:tc>
      </w:tr>
      <w:tr>
        <w:tblPrEx>
          <w:tblCellMar>
            <w:top w:w="0" w:type="dxa"/>
            <w:left w:w="108" w:type="dxa"/>
            <w:bottom w:w="0" w:type="dxa"/>
            <w:right w:w="108" w:type="dxa"/>
          </w:tblCellMar>
        </w:tblPrEx>
        <w:trPr>
          <w:trHeight w:val="280" w:hRule="atLeast"/>
        </w:trPr>
        <w:tc>
          <w:tcPr>
            <w:tcW w:w="449" w:type="dxa"/>
            <w:tcBorders>
              <w:top w:val="nil"/>
              <w:left w:val="single" w:color="auto" w:sz="4" w:space="0"/>
              <w:bottom w:val="single" w:color="auto" w:sz="4" w:space="0"/>
              <w:right w:val="single" w:color="auto" w:sz="4" w:space="0"/>
            </w:tcBorders>
            <w:shd w:val="clear" w:color="auto" w:fill="auto"/>
            <w:noWrap/>
            <w:vAlign w:val="center"/>
          </w:tcPr>
          <w:p>
            <w:pPr>
              <w:widowControl/>
              <w:spacing w:line="320" w:lineRule="exact"/>
              <w:jc w:val="center"/>
              <w:rPr>
                <w:rFonts w:eastAsia="方正仿宋简体"/>
                <w:kern w:val="0"/>
                <w:sz w:val="18"/>
                <w:szCs w:val="18"/>
              </w:rPr>
            </w:pPr>
            <w:r>
              <w:rPr>
                <w:rFonts w:eastAsia="方正仿宋简体"/>
                <w:kern w:val="0"/>
                <w:sz w:val="18"/>
                <w:szCs w:val="18"/>
              </w:rPr>
              <w:t>12</w:t>
            </w:r>
          </w:p>
        </w:tc>
        <w:tc>
          <w:tcPr>
            <w:tcW w:w="1360" w:type="dxa"/>
            <w:vMerge w:val="continue"/>
            <w:tcBorders>
              <w:top w:val="nil"/>
              <w:left w:val="single" w:color="auto" w:sz="4" w:space="0"/>
              <w:bottom w:val="single" w:color="auto" w:sz="4" w:space="0"/>
              <w:right w:val="single" w:color="auto" w:sz="4" w:space="0"/>
            </w:tcBorders>
            <w:vAlign w:val="center"/>
          </w:tcPr>
          <w:p>
            <w:pPr>
              <w:widowControl/>
              <w:spacing w:line="320" w:lineRule="exact"/>
              <w:jc w:val="center"/>
              <w:rPr>
                <w:rFonts w:eastAsia="方正仿宋简体"/>
                <w:kern w:val="0"/>
                <w:sz w:val="18"/>
                <w:szCs w:val="18"/>
              </w:rPr>
            </w:pPr>
          </w:p>
        </w:tc>
        <w:tc>
          <w:tcPr>
            <w:tcW w:w="1437" w:type="dxa"/>
            <w:vMerge w:val="restart"/>
            <w:tcBorders>
              <w:top w:val="nil"/>
              <w:left w:val="single" w:color="auto" w:sz="4" w:space="0"/>
              <w:bottom w:val="single" w:color="auto" w:sz="4" w:space="0"/>
              <w:right w:val="single" w:color="auto" w:sz="4" w:space="0"/>
            </w:tcBorders>
            <w:shd w:val="clear" w:color="auto" w:fill="auto"/>
            <w:vAlign w:val="center"/>
          </w:tcPr>
          <w:p>
            <w:pPr>
              <w:widowControl/>
              <w:spacing w:line="320" w:lineRule="exact"/>
              <w:jc w:val="center"/>
              <w:rPr>
                <w:rFonts w:eastAsia="方正仿宋简体"/>
                <w:kern w:val="0"/>
                <w:sz w:val="18"/>
                <w:szCs w:val="18"/>
              </w:rPr>
            </w:pPr>
            <w:r>
              <w:rPr>
                <w:rFonts w:eastAsia="方正仿宋简体"/>
                <w:kern w:val="0"/>
                <w:sz w:val="18"/>
                <w:szCs w:val="18"/>
              </w:rPr>
              <w:t>（三）系统测试</w:t>
            </w:r>
          </w:p>
        </w:tc>
        <w:tc>
          <w:tcPr>
            <w:tcW w:w="5387" w:type="dxa"/>
            <w:gridSpan w:val="2"/>
            <w:tcBorders>
              <w:top w:val="nil"/>
              <w:left w:val="nil"/>
              <w:bottom w:val="single" w:color="auto" w:sz="4" w:space="0"/>
              <w:right w:val="single" w:color="auto" w:sz="4" w:space="0"/>
            </w:tcBorders>
            <w:shd w:val="clear" w:color="auto" w:fill="auto"/>
            <w:vAlign w:val="center"/>
          </w:tcPr>
          <w:p>
            <w:pPr>
              <w:widowControl/>
              <w:spacing w:line="320" w:lineRule="exact"/>
              <w:rPr>
                <w:rFonts w:eastAsia="方正仿宋简体"/>
                <w:kern w:val="0"/>
                <w:sz w:val="18"/>
                <w:szCs w:val="18"/>
              </w:rPr>
            </w:pPr>
            <w:r>
              <w:rPr>
                <w:rFonts w:eastAsia="方正仿宋简体"/>
                <w:kern w:val="0"/>
                <w:sz w:val="18"/>
                <w:szCs w:val="18"/>
              </w:rPr>
              <w:t>做好参与全网测试和演练的组织准备工作</w:t>
            </w:r>
          </w:p>
        </w:tc>
      </w:tr>
      <w:tr>
        <w:tblPrEx>
          <w:tblCellMar>
            <w:top w:w="0" w:type="dxa"/>
            <w:left w:w="108" w:type="dxa"/>
            <w:bottom w:w="0" w:type="dxa"/>
            <w:right w:w="108" w:type="dxa"/>
          </w:tblCellMar>
        </w:tblPrEx>
        <w:trPr>
          <w:trHeight w:val="280" w:hRule="atLeast"/>
        </w:trPr>
        <w:tc>
          <w:tcPr>
            <w:tcW w:w="449" w:type="dxa"/>
            <w:tcBorders>
              <w:top w:val="nil"/>
              <w:left w:val="single" w:color="auto" w:sz="4" w:space="0"/>
              <w:bottom w:val="single" w:color="auto" w:sz="4" w:space="0"/>
              <w:right w:val="single" w:color="auto" w:sz="4" w:space="0"/>
            </w:tcBorders>
            <w:shd w:val="clear" w:color="auto" w:fill="auto"/>
            <w:noWrap/>
            <w:vAlign w:val="center"/>
          </w:tcPr>
          <w:p>
            <w:pPr>
              <w:widowControl/>
              <w:spacing w:line="320" w:lineRule="exact"/>
              <w:jc w:val="center"/>
              <w:rPr>
                <w:rFonts w:eastAsia="方正仿宋简体"/>
                <w:kern w:val="0"/>
                <w:sz w:val="18"/>
                <w:szCs w:val="18"/>
              </w:rPr>
            </w:pPr>
            <w:r>
              <w:rPr>
                <w:rFonts w:eastAsia="方正仿宋简体"/>
                <w:kern w:val="0"/>
                <w:sz w:val="18"/>
                <w:szCs w:val="18"/>
              </w:rPr>
              <w:t>13</w:t>
            </w:r>
          </w:p>
        </w:tc>
        <w:tc>
          <w:tcPr>
            <w:tcW w:w="1360" w:type="dxa"/>
            <w:vMerge w:val="continue"/>
            <w:tcBorders>
              <w:top w:val="nil"/>
              <w:left w:val="single" w:color="auto" w:sz="4" w:space="0"/>
              <w:bottom w:val="single" w:color="auto" w:sz="4" w:space="0"/>
              <w:right w:val="single" w:color="auto" w:sz="4" w:space="0"/>
            </w:tcBorders>
            <w:vAlign w:val="center"/>
          </w:tcPr>
          <w:p>
            <w:pPr>
              <w:widowControl/>
              <w:spacing w:line="320" w:lineRule="exact"/>
              <w:jc w:val="center"/>
              <w:rPr>
                <w:rFonts w:eastAsia="方正仿宋简体"/>
                <w:kern w:val="0"/>
                <w:sz w:val="18"/>
                <w:szCs w:val="18"/>
              </w:rPr>
            </w:pPr>
          </w:p>
        </w:tc>
        <w:tc>
          <w:tcPr>
            <w:tcW w:w="1437" w:type="dxa"/>
            <w:vMerge w:val="continue"/>
            <w:tcBorders>
              <w:top w:val="nil"/>
              <w:left w:val="single" w:color="auto" w:sz="4" w:space="0"/>
              <w:bottom w:val="single" w:color="auto" w:sz="4" w:space="0"/>
              <w:right w:val="single" w:color="auto" w:sz="4" w:space="0"/>
            </w:tcBorders>
            <w:vAlign w:val="center"/>
          </w:tcPr>
          <w:p>
            <w:pPr>
              <w:widowControl/>
              <w:spacing w:line="320" w:lineRule="exact"/>
              <w:jc w:val="center"/>
              <w:rPr>
                <w:rFonts w:eastAsia="方正仿宋简体"/>
                <w:kern w:val="0"/>
                <w:sz w:val="18"/>
                <w:szCs w:val="18"/>
              </w:rPr>
            </w:pPr>
          </w:p>
        </w:tc>
        <w:tc>
          <w:tcPr>
            <w:tcW w:w="5387" w:type="dxa"/>
            <w:gridSpan w:val="2"/>
            <w:tcBorders>
              <w:top w:val="nil"/>
              <w:left w:val="nil"/>
              <w:bottom w:val="single" w:color="auto" w:sz="4" w:space="0"/>
              <w:right w:val="single" w:color="auto" w:sz="4" w:space="0"/>
            </w:tcBorders>
            <w:shd w:val="clear" w:color="auto" w:fill="auto"/>
            <w:vAlign w:val="center"/>
          </w:tcPr>
          <w:p>
            <w:pPr>
              <w:widowControl/>
              <w:spacing w:line="320" w:lineRule="exact"/>
              <w:rPr>
                <w:rFonts w:eastAsia="方正仿宋简体"/>
                <w:kern w:val="0"/>
                <w:sz w:val="18"/>
                <w:szCs w:val="18"/>
              </w:rPr>
            </w:pPr>
            <w:r>
              <w:rPr>
                <w:rFonts w:eastAsia="方正仿宋简体"/>
                <w:kern w:val="0"/>
                <w:sz w:val="18"/>
                <w:szCs w:val="18"/>
              </w:rPr>
              <w:t>具备参与全网测试和演练的技术条件</w:t>
            </w:r>
          </w:p>
        </w:tc>
      </w:tr>
      <w:tr>
        <w:tblPrEx>
          <w:tblCellMar>
            <w:top w:w="0" w:type="dxa"/>
            <w:left w:w="108" w:type="dxa"/>
            <w:bottom w:w="0" w:type="dxa"/>
            <w:right w:w="108" w:type="dxa"/>
          </w:tblCellMar>
        </w:tblPrEx>
        <w:trPr>
          <w:trHeight w:val="730" w:hRule="atLeast"/>
        </w:trPr>
        <w:tc>
          <w:tcPr>
            <w:tcW w:w="449" w:type="dxa"/>
            <w:tcBorders>
              <w:top w:val="nil"/>
              <w:left w:val="single" w:color="auto" w:sz="4" w:space="0"/>
              <w:bottom w:val="single" w:color="auto" w:sz="4" w:space="0"/>
              <w:right w:val="single" w:color="auto" w:sz="4" w:space="0"/>
            </w:tcBorders>
            <w:shd w:val="clear" w:color="auto" w:fill="auto"/>
            <w:noWrap/>
            <w:vAlign w:val="center"/>
          </w:tcPr>
          <w:p>
            <w:pPr>
              <w:widowControl/>
              <w:spacing w:line="320" w:lineRule="exact"/>
              <w:jc w:val="center"/>
              <w:rPr>
                <w:rFonts w:eastAsia="方正仿宋简体"/>
                <w:kern w:val="0"/>
                <w:sz w:val="18"/>
                <w:szCs w:val="18"/>
              </w:rPr>
            </w:pPr>
            <w:r>
              <w:rPr>
                <w:rFonts w:eastAsia="方正仿宋简体"/>
                <w:kern w:val="0"/>
                <w:sz w:val="18"/>
                <w:szCs w:val="18"/>
              </w:rPr>
              <w:t>14</w:t>
            </w:r>
          </w:p>
        </w:tc>
        <w:tc>
          <w:tcPr>
            <w:tcW w:w="1360" w:type="dxa"/>
            <w:vMerge w:val="continue"/>
            <w:tcBorders>
              <w:top w:val="nil"/>
              <w:left w:val="single" w:color="auto" w:sz="4" w:space="0"/>
              <w:bottom w:val="single" w:color="auto" w:sz="4" w:space="0"/>
              <w:right w:val="single" w:color="auto" w:sz="4" w:space="0"/>
            </w:tcBorders>
            <w:vAlign w:val="center"/>
          </w:tcPr>
          <w:p>
            <w:pPr>
              <w:widowControl/>
              <w:spacing w:line="320" w:lineRule="exact"/>
              <w:jc w:val="center"/>
              <w:rPr>
                <w:rFonts w:eastAsia="方正仿宋简体"/>
                <w:kern w:val="0"/>
                <w:sz w:val="18"/>
                <w:szCs w:val="18"/>
              </w:rPr>
            </w:pPr>
          </w:p>
        </w:tc>
        <w:tc>
          <w:tcPr>
            <w:tcW w:w="1437" w:type="dxa"/>
            <w:vMerge w:val="restart"/>
            <w:tcBorders>
              <w:top w:val="nil"/>
              <w:left w:val="single" w:color="auto" w:sz="4" w:space="0"/>
              <w:bottom w:val="single" w:color="auto" w:sz="4" w:space="0"/>
              <w:right w:val="single" w:color="auto" w:sz="4" w:space="0"/>
            </w:tcBorders>
            <w:shd w:val="clear" w:color="auto" w:fill="auto"/>
            <w:vAlign w:val="center"/>
          </w:tcPr>
          <w:p>
            <w:pPr>
              <w:widowControl/>
              <w:spacing w:line="320" w:lineRule="exact"/>
              <w:jc w:val="center"/>
              <w:rPr>
                <w:rFonts w:eastAsia="方正仿宋简体"/>
                <w:kern w:val="0"/>
                <w:sz w:val="18"/>
                <w:szCs w:val="18"/>
              </w:rPr>
            </w:pPr>
            <w:r>
              <w:rPr>
                <w:rFonts w:eastAsia="方正仿宋简体"/>
                <w:kern w:val="0"/>
                <w:sz w:val="18"/>
                <w:szCs w:val="18"/>
              </w:rPr>
              <w:t>（四）系统部署</w:t>
            </w:r>
          </w:p>
        </w:tc>
        <w:tc>
          <w:tcPr>
            <w:tcW w:w="5387" w:type="dxa"/>
            <w:gridSpan w:val="2"/>
            <w:tcBorders>
              <w:top w:val="nil"/>
              <w:left w:val="nil"/>
              <w:bottom w:val="single" w:color="auto" w:sz="4" w:space="0"/>
              <w:right w:val="single" w:color="auto" w:sz="4" w:space="0"/>
            </w:tcBorders>
            <w:shd w:val="clear" w:color="auto" w:fill="auto"/>
            <w:vAlign w:val="center"/>
          </w:tcPr>
          <w:p>
            <w:pPr>
              <w:widowControl/>
              <w:spacing w:line="320" w:lineRule="exact"/>
              <w:rPr>
                <w:rFonts w:eastAsia="方正仿宋简体"/>
                <w:kern w:val="0"/>
                <w:sz w:val="18"/>
                <w:szCs w:val="18"/>
              </w:rPr>
            </w:pPr>
            <w:r>
              <w:rPr>
                <w:rFonts w:eastAsia="方正仿宋简体"/>
                <w:kern w:val="0"/>
                <w:sz w:val="18"/>
                <w:szCs w:val="18"/>
              </w:rPr>
              <w:t>完成期权交易及相关系统的生产环境软、硬件部署</w:t>
            </w:r>
          </w:p>
        </w:tc>
      </w:tr>
      <w:tr>
        <w:tblPrEx>
          <w:tblCellMar>
            <w:top w:w="0" w:type="dxa"/>
            <w:left w:w="108" w:type="dxa"/>
            <w:bottom w:w="0" w:type="dxa"/>
            <w:right w:w="108" w:type="dxa"/>
          </w:tblCellMar>
        </w:tblPrEx>
        <w:trPr>
          <w:trHeight w:val="280" w:hRule="atLeast"/>
        </w:trPr>
        <w:tc>
          <w:tcPr>
            <w:tcW w:w="449" w:type="dxa"/>
            <w:tcBorders>
              <w:top w:val="nil"/>
              <w:left w:val="single" w:color="auto" w:sz="4" w:space="0"/>
              <w:bottom w:val="single" w:color="auto" w:sz="4" w:space="0"/>
              <w:right w:val="single" w:color="auto" w:sz="4" w:space="0"/>
            </w:tcBorders>
            <w:shd w:val="clear" w:color="auto" w:fill="auto"/>
            <w:noWrap/>
            <w:vAlign w:val="center"/>
          </w:tcPr>
          <w:p>
            <w:pPr>
              <w:widowControl/>
              <w:spacing w:line="320" w:lineRule="exact"/>
              <w:jc w:val="center"/>
              <w:rPr>
                <w:rFonts w:eastAsia="方正仿宋简体"/>
                <w:kern w:val="0"/>
                <w:sz w:val="18"/>
                <w:szCs w:val="18"/>
              </w:rPr>
            </w:pPr>
            <w:r>
              <w:rPr>
                <w:rFonts w:eastAsia="方正仿宋简体"/>
                <w:kern w:val="0"/>
                <w:sz w:val="18"/>
                <w:szCs w:val="18"/>
              </w:rPr>
              <w:t>15</w:t>
            </w:r>
          </w:p>
        </w:tc>
        <w:tc>
          <w:tcPr>
            <w:tcW w:w="1360" w:type="dxa"/>
            <w:vMerge w:val="continue"/>
            <w:tcBorders>
              <w:top w:val="nil"/>
              <w:left w:val="single" w:color="auto" w:sz="4" w:space="0"/>
              <w:bottom w:val="single" w:color="auto" w:sz="4" w:space="0"/>
              <w:right w:val="single" w:color="auto" w:sz="4" w:space="0"/>
            </w:tcBorders>
            <w:vAlign w:val="center"/>
          </w:tcPr>
          <w:p>
            <w:pPr>
              <w:widowControl/>
              <w:spacing w:line="320" w:lineRule="exact"/>
              <w:jc w:val="center"/>
              <w:rPr>
                <w:rFonts w:eastAsia="方正仿宋简体"/>
                <w:kern w:val="0"/>
                <w:sz w:val="18"/>
                <w:szCs w:val="18"/>
              </w:rPr>
            </w:pPr>
          </w:p>
        </w:tc>
        <w:tc>
          <w:tcPr>
            <w:tcW w:w="1437" w:type="dxa"/>
            <w:vMerge w:val="continue"/>
            <w:tcBorders>
              <w:top w:val="nil"/>
              <w:left w:val="single" w:color="auto" w:sz="4" w:space="0"/>
              <w:bottom w:val="single" w:color="auto" w:sz="4" w:space="0"/>
              <w:right w:val="single" w:color="auto" w:sz="4" w:space="0"/>
            </w:tcBorders>
            <w:vAlign w:val="center"/>
          </w:tcPr>
          <w:p>
            <w:pPr>
              <w:widowControl/>
              <w:spacing w:line="320" w:lineRule="exact"/>
              <w:jc w:val="center"/>
              <w:rPr>
                <w:rFonts w:eastAsia="方正仿宋简体"/>
                <w:kern w:val="0"/>
                <w:sz w:val="18"/>
                <w:szCs w:val="18"/>
              </w:rPr>
            </w:pPr>
          </w:p>
        </w:tc>
        <w:tc>
          <w:tcPr>
            <w:tcW w:w="5387" w:type="dxa"/>
            <w:gridSpan w:val="2"/>
            <w:tcBorders>
              <w:top w:val="nil"/>
              <w:left w:val="nil"/>
              <w:bottom w:val="single" w:color="auto" w:sz="4" w:space="0"/>
              <w:right w:val="single" w:color="auto" w:sz="4" w:space="0"/>
            </w:tcBorders>
            <w:shd w:val="clear" w:color="auto" w:fill="auto"/>
            <w:vAlign w:val="center"/>
          </w:tcPr>
          <w:p>
            <w:pPr>
              <w:widowControl/>
              <w:spacing w:line="320" w:lineRule="exact"/>
              <w:rPr>
                <w:rFonts w:eastAsia="方正仿宋简体"/>
                <w:kern w:val="0"/>
                <w:sz w:val="18"/>
                <w:szCs w:val="18"/>
              </w:rPr>
            </w:pPr>
            <w:r>
              <w:rPr>
                <w:rFonts w:eastAsia="方正仿宋简体"/>
                <w:kern w:val="0"/>
                <w:sz w:val="18"/>
                <w:szCs w:val="18"/>
              </w:rPr>
              <w:t>期权交易系统运维人员到位</w:t>
            </w:r>
          </w:p>
        </w:tc>
      </w:tr>
      <w:tr>
        <w:tblPrEx>
          <w:tblCellMar>
            <w:top w:w="0" w:type="dxa"/>
            <w:left w:w="108" w:type="dxa"/>
            <w:bottom w:w="0" w:type="dxa"/>
            <w:right w:w="108" w:type="dxa"/>
          </w:tblCellMar>
        </w:tblPrEx>
        <w:trPr>
          <w:trHeight w:val="480" w:hRule="atLeast"/>
        </w:trPr>
        <w:tc>
          <w:tcPr>
            <w:tcW w:w="449" w:type="dxa"/>
            <w:tcBorders>
              <w:top w:val="nil"/>
              <w:left w:val="single" w:color="auto" w:sz="4" w:space="0"/>
              <w:bottom w:val="single" w:color="auto" w:sz="4" w:space="0"/>
              <w:right w:val="single" w:color="auto" w:sz="4" w:space="0"/>
            </w:tcBorders>
            <w:shd w:val="clear" w:color="auto" w:fill="auto"/>
            <w:noWrap/>
            <w:vAlign w:val="center"/>
          </w:tcPr>
          <w:p>
            <w:pPr>
              <w:widowControl/>
              <w:spacing w:line="320" w:lineRule="exact"/>
              <w:jc w:val="center"/>
              <w:rPr>
                <w:rFonts w:eastAsia="方正仿宋简体"/>
                <w:kern w:val="0"/>
                <w:sz w:val="18"/>
                <w:szCs w:val="18"/>
              </w:rPr>
            </w:pPr>
            <w:r>
              <w:rPr>
                <w:rFonts w:eastAsia="方正仿宋简体"/>
                <w:kern w:val="0"/>
                <w:sz w:val="18"/>
                <w:szCs w:val="18"/>
              </w:rPr>
              <w:t>16</w:t>
            </w:r>
          </w:p>
        </w:tc>
        <w:tc>
          <w:tcPr>
            <w:tcW w:w="1360" w:type="dxa"/>
            <w:vMerge w:val="continue"/>
            <w:tcBorders>
              <w:top w:val="nil"/>
              <w:left w:val="single" w:color="auto" w:sz="4" w:space="0"/>
              <w:bottom w:val="single" w:color="auto" w:sz="4" w:space="0"/>
              <w:right w:val="single" w:color="auto" w:sz="4" w:space="0"/>
            </w:tcBorders>
            <w:vAlign w:val="center"/>
          </w:tcPr>
          <w:p>
            <w:pPr>
              <w:widowControl/>
              <w:spacing w:line="320" w:lineRule="exact"/>
              <w:jc w:val="center"/>
              <w:rPr>
                <w:rFonts w:eastAsia="方正仿宋简体"/>
                <w:kern w:val="0"/>
                <w:sz w:val="18"/>
                <w:szCs w:val="18"/>
              </w:rPr>
            </w:pPr>
          </w:p>
        </w:tc>
        <w:tc>
          <w:tcPr>
            <w:tcW w:w="1437" w:type="dxa"/>
            <w:vMerge w:val="continue"/>
            <w:tcBorders>
              <w:top w:val="nil"/>
              <w:left w:val="single" w:color="auto" w:sz="4" w:space="0"/>
              <w:bottom w:val="single" w:color="auto" w:sz="4" w:space="0"/>
              <w:right w:val="single" w:color="auto" w:sz="4" w:space="0"/>
            </w:tcBorders>
            <w:vAlign w:val="center"/>
          </w:tcPr>
          <w:p>
            <w:pPr>
              <w:widowControl/>
              <w:spacing w:line="320" w:lineRule="exact"/>
              <w:jc w:val="center"/>
              <w:rPr>
                <w:rFonts w:eastAsia="方正仿宋简体"/>
                <w:kern w:val="0"/>
                <w:sz w:val="18"/>
                <w:szCs w:val="18"/>
              </w:rPr>
            </w:pPr>
          </w:p>
        </w:tc>
        <w:tc>
          <w:tcPr>
            <w:tcW w:w="5387" w:type="dxa"/>
            <w:gridSpan w:val="2"/>
            <w:tcBorders>
              <w:top w:val="nil"/>
              <w:left w:val="nil"/>
              <w:bottom w:val="single" w:color="auto" w:sz="4" w:space="0"/>
              <w:right w:val="single" w:color="auto" w:sz="4" w:space="0"/>
            </w:tcBorders>
            <w:shd w:val="clear" w:color="auto" w:fill="auto"/>
            <w:vAlign w:val="center"/>
          </w:tcPr>
          <w:p>
            <w:pPr>
              <w:widowControl/>
              <w:spacing w:line="320" w:lineRule="exact"/>
              <w:rPr>
                <w:rFonts w:eastAsia="方正仿宋简体"/>
                <w:kern w:val="0"/>
                <w:sz w:val="18"/>
                <w:szCs w:val="18"/>
              </w:rPr>
            </w:pPr>
            <w:r>
              <w:rPr>
                <w:rFonts w:eastAsia="方正仿宋简体"/>
                <w:kern w:val="0"/>
                <w:sz w:val="18"/>
                <w:szCs w:val="18"/>
              </w:rPr>
              <w:t>在技术系统部署方面，期权交易技术系统与现货交易系统保持隔离</w:t>
            </w:r>
          </w:p>
        </w:tc>
      </w:tr>
      <w:tr>
        <w:tblPrEx>
          <w:tblCellMar>
            <w:top w:w="0" w:type="dxa"/>
            <w:left w:w="108" w:type="dxa"/>
            <w:bottom w:w="0" w:type="dxa"/>
            <w:right w:w="108" w:type="dxa"/>
          </w:tblCellMar>
        </w:tblPrEx>
        <w:trPr>
          <w:trHeight w:val="280" w:hRule="atLeast"/>
        </w:trPr>
        <w:tc>
          <w:tcPr>
            <w:tcW w:w="449" w:type="dxa"/>
            <w:tcBorders>
              <w:top w:val="nil"/>
              <w:left w:val="single" w:color="auto" w:sz="4" w:space="0"/>
              <w:bottom w:val="single" w:color="auto" w:sz="4" w:space="0"/>
              <w:right w:val="single" w:color="auto" w:sz="4" w:space="0"/>
            </w:tcBorders>
            <w:shd w:val="clear" w:color="auto" w:fill="auto"/>
            <w:noWrap/>
            <w:vAlign w:val="center"/>
          </w:tcPr>
          <w:p>
            <w:pPr>
              <w:widowControl/>
              <w:spacing w:line="320" w:lineRule="exact"/>
              <w:jc w:val="center"/>
              <w:rPr>
                <w:rFonts w:eastAsia="方正仿宋简体"/>
                <w:kern w:val="0"/>
                <w:sz w:val="18"/>
                <w:szCs w:val="18"/>
              </w:rPr>
            </w:pPr>
            <w:r>
              <w:rPr>
                <w:rFonts w:eastAsia="方正仿宋简体"/>
                <w:kern w:val="0"/>
                <w:sz w:val="18"/>
                <w:szCs w:val="18"/>
              </w:rPr>
              <w:t>17</w:t>
            </w:r>
          </w:p>
        </w:tc>
        <w:tc>
          <w:tcPr>
            <w:tcW w:w="1360" w:type="dxa"/>
            <w:vMerge w:val="restart"/>
            <w:tcBorders>
              <w:top w:val="nil"/>
              <w:left w:val="single" w:color="auto" w:sz="4" w:space="0"/>
              <w:bottom w:val="single" w:color="000000" w:sz="4" w:space="0"/>
              <w:right w:val="single" w:color="auto" w:sz="4" w:space="0"/>
            </w:tcBorders>
            <w:shd w:val="clear" w:color="auto" w:fill="auto"/>
            <w:noWrap/>
            <w:vAlign w:val="center"/>
          </w:tcPr>
          <w:p>
            <w:pPr>
              <w:widowControl/>
              <w:spacing w:line="320" w:lineRule="exact"/>
              <w:jc w:val="center"/>
              <w:rPr>
                <w:rFonts w:eastAsia="方正仿宋简体"/>
                <w:kern w:val="0"/>
                <w:sz w:val="18"/>
                <w:szCs w:val="18"/>
              </w:rPr>
            </w:pPr>
            <w:r>
              <w:rPr>
                <w:rFonts w:eastAsia="方正仿宋简体"/>
                <w:kern w:val="0"/>
                <w:sz w:val="18"/>
                <w:szCs w:val="18"/>
              </w:rPr>
              <w:t>三、交易</w:t>
            </w:r>
          </w:p>
        </w:tc>
        <w:tc>
          <w:tcPr>
            <w:tcW w:w="1437" w:type="dxa"/>
            <w:vMerge w:val="restart"/>
            <w:tcBorders>
              <w:top w:val="nil"/>
              <w:left w:val="single" w:color="auto" w:sz="4" w:space="0"/>
              <w:bottom w:val="single" w:color="auto" w:sz="4" w:space="0"/>
              <w:right w:val="single" w:color="auto" w:sz="4" w:space="0"/>
            </w:tcBorders>
            <w:shd w:val="clear" w:color="auto" w:fill="auto"/>
            <w:vAlign w:val="center"/>
          </w:tcPr>
          <w:p>
            <w:pPr>
              <w:widowControl/>
              <w:spacing w:line="320" w:lineRule="exact"/>
              <w:jc w:val="center"/>
              <w:rPr>
                <w:rFonts w:eastAsia="方正仿宋简体"/>
                <w:kern w:val="0"/>
                <w:sz w:val="18"/>
                <w:szCs w:val="18"/>
              </w:rPr>
            </w:pPr>
            <w:r>
              <w:rPr>
                <w:rFonts w:eastAsia="方正仿宋简体"/>
                <w:kern w:val="0"/>
                <w:sz w:val="18"/>
                <w:szCs w:val="18"/>
              </w:rPr>
              <w:t>（一）交易指令</w:t>
            </w:r>
          </w:p>
        </w:tc>
        <w:tc>
          <w:tcPr>
            <w:tcW w:w="5387" w:type="dxa"/>
            <w:gridSpan w:val="2"/>
            <w:tcBorders>
              <w:top w:val="nil"/>
              <w:left w:val="nil"/>
              <w:bottom w:val="single" w:color="auto" w:sz="4" w:space="0"/>
              <w:right w:val="single" w:color="auto" w:sz="4" w:space="0"/>
            </w:tcBorders>
            <w:shd w:val="clear" w:color="auto" w:fill="auto"/>
            <w:vAlign w:val="center"/>
          </w:tcPr>
          <w:p>
            <w:pPr>
              <w:widowControl/>
              <w:spacing w:line="320" w:lineRule="exact"/>
              <w:rPr>
                <w:rFonts w:eastAsia="方正仿宋简体"/>
                <w:kern w:val="0"/>
                <w:sz w:val="18"/>
                <w:szCs w:val="18"/>
              </w:rPr>
            </w:pPr>
            <w:r>
              <w:rPr>
                <w:rFonts w:eastAsia="方正仿宋简体"/>
                <w:kern w:val="0"/>
                <w:sz w:val="18"/>
                <w:szCs w:val="18"/>
              </w:rPr>
              <w:t>支持买入开仓交易指令</w:t>
            </w:r>
          </w:p>
        </w:tc>
      </w:tr>
      <w:tr>
        <w:tblPrEx>
          <w:tblCellMar>
            <w:top w:w="0" w:type="dxa"/>
            <w:left w:w="108" w:type="dxa"/>
            <w:bottom w:w="0" w:type="dxa"/>
            <w:right w:w="108" w:type="dxa"/>
          </w:tblCellMar>
        </w:tblPrEx>
        <w:trPr>
          <w:trHeight w:val="280" w:hRule="atLeast"/>
        </w:trPr>
        <w:tc>
          <w:tcPr>
            <w:tcW w:w="449" w:type="dxa"/>
            <w:tcBorders>
              <w:top w:val="nil"/>
              <w:left w:val="single" w:color="auto" w:sz="4" w:space="0"/>
              <w:bottom w:val="single" w:color="auto" w:sz="4" w:space="0"/>
              <w:right w:val="single" w:color="auto" w:sz="4" w:space="0"/>
            </w:tcBorders>
            <w:shd w:val="clear" w:color="auto" w:fill="auto"/>
            <w:noWrap/>
            <w:vAlign w:val="center"/>
          </w:tcPr>
          <w:p>
            <w:pPr>
              <w:widowControl/>
              <w:spacing w:line="320" w:lineRule="exact"/>
              <w:jc w:val="center"/>
              <w:rPr>
                <w:rFonts w:eastAsia="方正仿宋简体"/>
                <w:kern w:val="0"/>
                <w:sz w:val="18"/>
                <w:szCs w:val="18"/>
              </w:rPr>
            </w:pPr>
            <w:r>
              <w:rPr>
                <w:rFonts w:eastAsia="方正仿宋简体"/>
                <w:kern w:val="0"/>
                <w:sz w:val="18"/>
                <w:szCs w:val="18"/>
              </w:rPr>
              <w:t>18</w:t>
            </w:r>
          </w:p>
        </w:tc>
        <w:tc>
          <w:tcPr>
            <w:tcW w:w="1360" w:type="dxa"/>
            <w:vMerge w:val="continue"/>
            <w:tcBorders>
              <w:top w:val="nil"/>
              <w:left w:val="single" w:color="auto" w:sz="4" w:space="0"/>
              <w:bottom w:val="single" w:color="000000" w:sz="4" w:space="0"/>
              <w:right w:val="single" w:color="auto" w:sz="4" w:space="0"/>
            </w:tcBorders>
            <w:vAlign w:val="center"/>
          </w:tcPr>
          <w:p>
            <w:pPr>
              <w:widowControl/>
              <w:spacing w:line="320" w:lineRule="exact"/>
              <w:jc w:val="center"/>
              <w:rPr>
                <w:rFonts w:eastAsia="方正仿宋简体"/>
                <w:kern w:val="0"/>
                <w:sz w:val="18"/>
                <w:szCs w:val="18"/>
              </w:rPr>
            </w:pPr>
          </w:p>
        </w:tc>
        <w:tc>
          <w:tcPr>
            <w:tcW w:w="1437" w:type="dxa"/>
            <w:vMerge w:val="continue"/>
            <w:tcBorders>
              <w:top w:val="nil"/>
              <w:left w:val="single" w:color="auto" w:sz="4" w:space="0"/>
              <w:bottom w:val="single" w:color="auto" w:sz="4" w:space="0"/>
              <w:right w:val="single" w:color="auto" w:sz="4" w:space="0"/>
            </w:tcBorders>
            <w:vAlign w:val="center"/>
          </w:tcPr>
          <w:p>
            <w:pPr>
              <w:widowControl/>
              <w:spacing w:line="320" w:lineRule="exact"/>
              <w:jc w:val="center"/>
              <w:rPr>
                <w:rFonts w:eastAsia="方正仿宋简体"/>
                <w:kern w:val="0"/>
                <w:sz w:val="18"/>
                <w:szCs w:val="18"/>
              </w:rPr>
            </w:pPr>
          </w:p>
        </w:tc>
        <w:tc>
          <w:tcPr>
            <w:tcW w:w="5387" w:type="dxa"/>
            <w:gridSpan w:val="2"/>
            <w:tcBorders>
              <w:top w:val="nil"/>
              <w:left w:val="nil"/>
              <w:bottom w:val="single" w:color="auto" w:sz="4" w:space="0"/>
              <w:right w:val="single" w:color="auto" w:sz="4" w:space="0"/>
            </w:tcBorders>
            <w:shd w:val="clear" w:color="auto" w:fill="auto"/>
            <w:vAlign w:val="center"/>
          </w:tcPr>
          <w:p>
            <w:pPr>
              <w:widowControl/>
              <w:spacing w:line="320" w:lineRule="exact"/>
              <w:rPr>
                <w:rFonts w:eastAsia="方正仿宋简体"/>
                <w:kern w:val="0"/>
                <w:sz w:val="18"/>
                <w:szCs w:val="18"/>
              </w:rPr>
            </w:pPr>
            <w:r>
              <w:rPr>
                <w:rFonts w:eastAsia="方正仿宋简体"/>
                <w:kern w:val="0"/>
                <w:sz w:val="18"/>
                <w:szCs w:val="18"/>
              </w:rPr>
              <w:t>支持买入平仓交易指令</w:t>
            </w:r>
          </w:p>
        </w:tc>
      </w:tr>
      <w:tr>
        <w:tblPrEx>
          <w:tblCellMar>
            <w:top w:w="0" w:type="dxa"/>
            <w:left w:w="108" w:type="dxa"/>
            <w:bottom w:w="0" w:type="dxa"/>
            <w:right w:w="108" w:type="dxa"/>
          </w:tblCellMar>
        </w:tblPrEx>
        <w:trPr>
          <w:trHeight w:val="280" w:hRule="atLeast"/>
        </w:trPr>
        <w:tc>
          <w:tcPr>
            <w:tcW w:w="449" w:type="dxa"/>
            <w:tcBorders>
              <w:top w:val="nil"/>
              <w:left w:val="single" w:color="auto" w:sz="4" w:space="0"/>
              <w:bottom w:val="single" w:color="auto" w:sz="4" w:space="0"/>
              <w:right w:val="single" w:color="auto" w:sz="4" w:space="0"/>
            </w:tcBorders>
            <w:shd w:val="clear" w:color="auto" w:fill="auto"/>
            <w:noWrap/>
            <w:vAlign w:val="center"/>
          </w:tcPr>
          <w:p>
            <w:pPr>
              <w:widowControl/>
              <w:spacing w:line="320" w:lineRule="exact"/>
              <w:jc w:val="center"/>
              <w:rPr>
                <w:rFonts w:eastAsia="方正仿宋简体"/>
                <w:kern w:val="0"/>
                <w:sz w:val="18"/>
                <w:szCs w:val="18"/>
              </w:rPr>
            </w:pPr>
            <w:r>
              <w:rPr>
                <w:rFonts w:eastAsia="方正仿宋简体"/>
                <w:kern w:val="0"/>
                <w:sz w:val="18"/>
                <w:szCs w:val="18"/>
              </w:rPr>
              <w:t>19</w:t>
            </w:r>
          </w:p>
        </w:tc>
        <w:tc>
          <w:tcPr>
            <w:tcW w:w="1360" w:type="dxa"/>
            <w:vMerge w:val="continue"/>
            <w:tcBorders>
              <w:top w:val="nil"/>
              <w:left w:val="single" w:color="auto" w:sz="4" w:space="0"/>
              <w:bottom w:val="single" w:color="000000" w:sz="4" w:space="0"/>
              <w:right w:val="single" w:color="auto" w:sz="4" w:space="0"/>
            </w:tcBorders>
            <w:vAlign w:val="center"/>
          </w:tcPr>
          <w:p>
            <w:pPr>
              <w:widowControl/>
              <w:spacing w:line="320" w:lineRule="exact"/>
              <w:jc w:val="center"/>
              <w:rPr>
                <w:rFonts w:eastAsia="方正仿宋简体"/>
                <w:kern w:val="0"/>
                <w:sz w:val="18"/>
                <w:szCs w:val="18"/>
              </w:rPr>
            </w:pPr>
          </w:p>
        </w:tc>
        <w:tc>
          <w:tcPr>
            <w:tcW w:w="1437" w:type="dxa"/>
            <w:vMerge w:val="continue"/>
            <w:tcBorders>
              <w:top w:val="nil"/>
              <w:left w:val="single" w:color="auto" w:sz="4" w:space="0"/>
              <w:bottom w:val="single" w:color="auto" w:sz="4" w:space="0"/>
              <w:right w:val="single" w:color="auto" w:sz="4" w:space="0"/>
            </w:tcBorders>
            <w:vAlign w:val="center"/>
          </w:tcPr>
          <w:p>
            <w:pPr>
              <w:widowControl/>
              <w:spacing w:line="320" w:lineRule="exact"/>
              <w:jc w:val="center"/>
              <w:rPr>
                <w:rFonts w:eastAsia="方正仿宋简体"/>
                <w:kern w:val="0"/>
                <w:sz w:val="18"/>
                <w:szCs w:val="18"/>
              </w:rPr>
            </w:pPr>
          </w:p>
        </w:tc>
        <w:tc>
          <w:tcPr>
            <w:tcW w:w="5387" w:type="dxa"/>
            <w:gridSpan w:val="2"/>
            <w:tcBorders>
              <w:top w:val="nil"/>
              <w:left w:val="nil"/>
              <w:bottom w:val="single" w:color="auto" w:sz="4" w:space="0"/>
              <w:right w:val="single" w:color="auto" w:sz="4" w:space="0"/>
            </w:tcBorders>
            <w:shd w:val="clear" w:color="auto" w:fill="auto"/>
            <w:vAlign w:val="center"/>
          </w:tcPr>
          <w:p>
            <w:pPr>
              <w:widowControl/>
              <w:spacing w:line="320" w:lineRule="exact"/>
              <w:rPr>
                <w:rFonts w:eastAsia="方正仿宋简体"/>
                <w:kern w:val="0"/>
                <w:sz w:val="18"/>
                <w:szCs w:val="18"/>
              </w:rPr>
            </w:pPr>
            <w:r>
              <w:rPr>
                <w:rFonts w:eastAsia="方正仿宋简体"/>
                <w:kern w:val="0"/>
                <w:sz w:val="18"/>
                <w:szCs w:val="18"/>
              </w:rPr>
              <w:t>支持卖出平仓交易指令</w:t>
            </w:r>
          </w:p>
        </w:tc>
      </w:tr>
      <w:tr>
        <w:tblPrEx>
          <w:tblCellMar>
            <w:top w:w="0" w:type="dxa"/>
            <w:left w:w="108" w:type="dxa"/>
            <w:bottom w:w="0" w:type="dxa"/>
            <w:right w:w="108" w:type="dxa"/>
          </w:tblCellMar>
        </w:tblPrEx>
        <w:trPr>
          <w:trHeight w:val="280" w:hRule="atLeast"/>
        </w:trPr>
        <w:tc>
          <w:tcPr>
            <w:tcW w:w="449" w:type="dxa"/>
            <w:tcBorders>
              <w:top w:val="nil"/>
              <w:left w:val="single" w:color="auto" w:sz="4" w:space="0"/>
              <w:bottom w:val="single" w:color="auto" w:sz="4" w:space="0"/>
              <w:right w:val="single" w:color="auto" w:sz="4" w:space="0"/>
            </w:tcBorders>
            <w:shd w:val="clear" w:color="auto" w:fill="auto"/>
            <w:noWrap/>
            <w:vAlign w:val="center"/>
          </w:tcPr>
          <w:p>
            <w:pPr>
              <w:widowControl/>
              <w:spacing w:line="320" w:lineRule="exact"/>
              <w:jc w:val="center"/>
              <w:rPr>
                <w:rFonts w:eastAsia="方正仿宋简体"/>
                <w:kern w:val="0"/>
                <w:sz w:val="18"/>
                <w:szCs w:val="18"/>
              </w:rPr>
            </w:pPr>
            <w:r>
              <w:rPr>
                <w:rFonts w:eastAsia="方正仿宋简体"/>
                <w:kern w:val="0"/>
                <w:sz w:val="18"/>
                <w:szCs w:val="18"/>
              </w:rPr>
              <w:t>20</w:t>
            </w:r>
          </w:p>
        </w:tc>
        <w:tc>
          <w:tcPr>
            <w:tcW w:w="1360" w:type="dxa"/>
            <w:vMerge w:val="continue"/>
            <w:tcBorders>
              <w:top w:val="nil"/>
              <w:left w:val="single" w:color="auto" w:sz="4" w:space="0"/>
              <w:bottom w:val="single" w:color="000000" w:sz="4" w:space="0"/>
              <w:right w:val="single" w:color="auto" w:sz="4" w:space="0"/>
            </w:tcBorders>
            <w:vAlign w:val="center"/>
          </w:tcPr>
          <w:p>
            <w:pPr>
              <w:widowControl/>
              <w:spacing w:line="320" w:lineRule="exact"/>
              <w:jc w:val="center"/>
              <w:rPr>
                <w:rFonts w:eastAsia="方正仿宋简体"/>
                <w:kern w:val="0"/>
                <w:sz w:val="18"/>
                <w:szCs w:val="18"/>
              </w:rPr>
            </w:pPr>
          </w:p>
        </w:tc>
        <w:tc>
          <w:tcPr>
            <w:tcW w:w="1437" w:type="dxa"/>
            <w:vMerge w:val="continue"/>
            <w:tcBorders>
              <w:top w:val="nil"/>
              <w:left w:val="single" w:color="auto" w:sz="4" w:space="0"/>
              <w:bottom w:val="single" w:color="auto" w:sz="4" w:space="0"/>
              <w:right w:val="single" w:color="auto" w:sz="4" w:space="0"/>
            </w:tcBorders>
            <w:vAlign w:val="center"/>
          </w:tcPr>
          <w:p>
            <w:pPr>
              <w:widowControl/>
              <w:spacing w:line="320" w:lineRule="exact"/>
              <w:jc w:val="center"/>
              <w:rPr>
                <w:rFonts w:eastAsia="方正仿宋简体"/>
                <w:kern w:val="0"/>
                <w:sz w:val="18"/>
                <w:szCs w:val="18"/>
              </w:rPr>
            </w:pPr>
          </w:p>
        </w:tc>
        <w:tc>
          <w:tcPr>
            <w:tcW w:w="5387" w:type="dxa"/>
            <w:gridSpan w:val="2"/>
            <w:tcBorders>
              <w:top w:val="nil"/>
              <w:left w:val="nil"/>
              <w:bottom w:val="single" w:color="auto" w:sz="4" w:space="0"/>
              <w:right w:val="single" w:color="auto" w:sz="4" w:space="0"/>
            </w:tcBorders>
            <w:shd w:val="clear" w:color="auto" w:fill="auto"/>
            <w:vAlign w:val="center"/>
          </w:tcPr>
          <w:p>
            <w:pPr>
              <w:widowControl/>
              <w:spacing w:line="320" w:lineRule="exact"/>
              <w:rPr>
                <w:rFonts w:eastAsia="方正仿宋简体"/>
                <w:kern w:val="0"/>
                <w:sz w:val="18"/>
                <w:szCs w:val="18"/>
              </w:rPr>
            </w:pPr>
            <w:r>
              <w:rPr>
                <w:rFonts w:eastAsia="方正仿宋简体"/>
                <w:kern w:val="0"/>
                <w:sz w:val="18"/>
                <w:szCs w:val="18"/>
              </w:rPr>
              <w:t>支持卖出开仓交易指令</w:t>
            </w:r>
          </w:p>
        </w:tc>
      </w:tr>
      <w:tr>
        <w:tblPrEx>
          <w:tblCellMar>
            <w:top w:w="0" w:type="dxa"/>
            <w:left w:w="108" w:type="dxa"/>
            <w:bottom w:w="0" w:type="dxa"/>
            <w:right w:w="108" w:type="dxa"/>
          </w:tblCellMar>
        </w:tblPrEx>
        <w:trPr>
          <w:trHeight w:val="280" w:hRule="atLeast"/>
        </w:trPr>
        <w:tc>
          <w:tcPr>
            <w:tcW w:w="449" w:type="dxa"/>
            <w:tcBorders>
              <w:top w:val="nil"/>
              <w:left w:val="single" w:color="auto" w:sz="4" w:space="0"/>
              <w:bottom w:val="single" w:color="auto" w:sz="4" w:space="0"/>
              <w:right w:val="single" w:color="auto" w:sz="4" w:space="0"/>
            </w:tcBorders>
            <w:shd w:val="clear" w:color="auto" w:fill="auto"/>
            <w:noWrap/>
            <w:vAlign w:val="center"/>
          </w:tcPr>
          <w:p>
            <w:pPr>
              <w:widowControl/>
              <w:spacing w:line="320" w:lineRule="exact"/>
              <w:jc w:val="center"/>
              <w:rPr>
                <w:rFonts w:eastAsia="方正仿宋简体"/>
                <w:kern w:val="0"/>
                <w:sz w:val="18"/>
                <w:szCs w:val="18"/>
              </w:rPr>
            </w:pPr>
            <w:r>
              <w:rPr>
                <w:rFonts w:eastAsia="方正仿宋简体"/>
                <w:kern w:val="0"/>
                <w:sz w:val="18"/>
                <w:szCs w:val="18"/>
              </w:rPr>
              <w:t>21</w:t>
            </w:r>
          </w:p>
        </w:tc>
        <w:tc>
          <w:tcPr>
            <w:tcW w:w="1360" w:type="dxa"/>
            <w:vMerge w:val="continue"/>
            <w:tcBorders>
              <w:top w:val="nil"/>
              <w:left w:val="single" w:color="auto" w:sz="4" w:space="0"/>
              <w:bottom w:val="single" w:color="000000" w:sz="4" w:space="0"/>
              <w:right w:val="single" w:color="auto" w:sz="4" w:space="0"/>
            </w:tcBorders>
            <w:vAlign w:val="center"/>
          </w:tcPr>
          <w:p>
            <w:pPr>
              <w:widowControl/>
              <w:spacing w:line="320" w:lineRule="exact"/>
              <w:jc w:val="center"/>
              <w:rPr>
                <w:rFonts w:eastAsia="方正仿宋简体"/>
                <w:kern w:val="0"/>
                <w:sz w:val="18"/>
                <w:szCs w:val="18"/>
              </w:rPr>
            </w:pPr>
          </w:p>
        </w:tc>
        <w:tc>
          <w:tcPr>
            <w:tcW w:w="1437" w:type="dxa"/>
            <w:vMerge w:val="continue"/>
            <w:tcBorders>
              <w:top w:val="nil"/>
              <w:left w:val="single" w:color="auto" w:sz="4" w:space="0"/>
              <w:bottom w:val="single" w:color="auto" w:sz="4" w:space="0"/>
              <w:right w:val="single" w:color="auto" w:sz="4" w:space="0"/>
            </w:tcBorders>
            <w:vAlign w:val="center"/>
          </w:tcPr>
          <w:p>
            <w:pPr>
              <w:widowControl/>
              <w:spacing w:line="320" w:lineRule="exact"/>
              <w:jc w:val="center"/>
              <w:rPr>
                <w:rFonts w:eastAsia="方正仿宋简体"/>
                <w:kern w:val="0"/>
                <w:sz w:val="18"/>
                <w:szCs w:val="18"/>
              </w:rPr>
            </w:pPr>
          </w:p>
        </w:tc>
        <w:tc>
          <w:tcPr>
            <w:tcW w:w="5387" w:type="dxa"/>
            <w:gridSpan w:val="2"/>
            <w:tcBorders>
              <w:top w:val="nil"/>
              <w:left w:val="nil"/>
              <w:bottom w:val="single" w:color="auto" w:sz="4" w:space="0"/>
              <w:right w:val="single" w:color="auto" w:sz="4" w:space="0"/>
            </w:tcBorders>
            <w:shd w:val="clear" w:color="auto" w:fill="auto"/>
            <w:vAlign w:val="center"/>
          </w:tcPr>
          <w:p>
            <w:pPr>
              <w:widowControl/>
              <w:spacing w:line="320" w:lineRule="exact"/>
              <w:rPr>
                <w:rFonts w:eastAsia="方正仿宋简体"/>
                <w:kern w:val="0"/>
                <w:sz w:val="18"/>
                <w:szCs w:val="18"/>
              </w:rPr>
            </w:pPr>
            <w:r>
              <w:rPr>
                <w:rFonts w:eastAsia="方正仿宋简体"/>
                <w:kern w:val="0"/>
                <w:sz w:val="18"/>
                <w:szCs w:val="18"/>
              </w:rPr>
              <w:t>支持备兑开仓交易指令</w:t>
            </w:r>
          </w:p>
        </w:tc>
      </w:tr>
      <w:tr>
        <w:tblPrEx>
          <w:tblCellMar>
            <w:top w:w="0" w:type="dxa"/>
            <w:left w:w="108" w:type="dxa"/>
            <w:bottom w:w="0" w:type="dxa"/>
            <w:right w:w="108" w:type="dxa"/>
          </w:tblCellMar>
        </w:tblPrEx>
        <w:trPr>
          <w:trHeight w:val="280" w:hRule="atLeast"/>
        </w:trPr>
        <w:tc>
          <w:tcPr>
            <w:tcW w:w="449" w:type="dxa"/>
            <w:tcBorders>
              <w:top w:val="nil"/>
              <w:left w:val="single" w:color="auto" w:sz="4" w:space="0"/>
              <w:bottom w:val="single" w:color="auto" w:sz="4" w:space="0"/>
              <w:right w:val="single" w:color="auto" w:sz="4" w:space="0"/>
            </w:tcBorders>
            <w:shd w:val="clear" w:color="auto" w:fill="auto"/>
            <w:noWrap/>
            <w:vAlign w:val="center"/>
          </w:tcPr>
          <w:p>
            <w:pPr>
              <w:widowControl/>
              <w:spacing w:line="320" w:lineRule="exact"/>
              <w:jc w:val="center"/>
              <w:rPr>
                <w:rFonts w:eastAsia="方正仿宋简体"/>
                <w:kern w:val="0"/>
                <w:sz w:val="18"/>
                <w:szCs w:val="18"/>
              </w:rPr>
            </w:pPr>
            <w:r>
              <w:rPr>
                <w:rFonts w:eastAsia="方正仿宋简体"/>
                <w:kern w:val="0"/>
                <w:sz w:val="18"/>
                <w:szCs w:val="18"/>
              </w:rPr>
              <w:t>22</w:t>
            </w:r>
          </w:p>
        </w:tc>
        <w:tc>
          <w:tcPr>
            <w:tcW w:w="1360" w:type="dxa"/>
            <w:vMerge w:val="continue"/>
            <w:tcBorders>
              <w:top w:val="nil"/>
              <w:left w:val="single" w:color="auto" w:sz="4" w:space="0"/>
              <w:bottom w:val="single" w:color="000000" w:sz="4" w:space="0"/>
              <w:right w:val="single" w:color="auto" w:sz="4" w:space="0"/>
            </w:tcBorders>
            <w:vAlign w:val="center"/>
          </w:tcPr>
          <w:p>
            <w:pPr>
              <w:widowControl/>
              <w:spacing w:line="320" w:lineRule="exact"/>
              <w:jc w:val="center"/>
              <w:rPr>
                <w:rFonts w:eastAsia="方正仿宋简体"/>
                <w:kern w:val="0"/>
                <w:sz w:val="18"/>
                <w:szCs w:val="18"/>
              </w:rPr>
            </w:pPr>
          </w:p>
        </w:tc>
        <w:tc>
          <w:tcPr>
            <w:tcW w:w="1437" w:type="dxa"/>
            <w:vMerge w:val="continue"/>
            <w:tcBorders>
              <w:top w:val="nil"/>
              <w:left w:val="single" w:color="auto" w:sz="4" w:space="0"/>
              <w:bottom w:val="single" w:color="auto" w:sz="4" w:space="0"/>
              <w:right w:val="single" w:color="auto" w:sz="4" w:space="0"/>
            </w:tcBorders>
            <w:vAlign w:val="center"/>
          </w:tcPr>
          <w:p>
            <w:pPr>
              <w:widowControl/>
              <w:spacing w:line="320" w:lineRule="exact"/>
              <w:jc w:val="center"/>
              <w:rPr>
                <w:rFonts w:eastAsia="方正仿宋简体"/>
                <w:kern w:val="0"/>
                <w:sz w:val="18"/>
                <w:szCs w:val="18"/>
              </w:rPr>
            </w:pPr>
          </w:p>
        </w:tc>
        <w:tc>
          <w:tcPr>
            <w:tcW w:w="5387" w:type="dxa"/>
            <w:gridSpan w:val="2"/>
            <w:tcBorders>
              <w:top w:val="nil"/>
              <w:left w:val="nil"/>
              <w:bottom w:val="single" w:color="auto" w:sz="4" w:space="0"/>
              <w:right w:val="single" w:color="auto" w:sz="4" w:space="0"/>
            </w:tcBorders>
            <w:shd w:val="clear" w:color="auto" w:fill="auto"/>
            <w:vAlign w:val="center"/>
          </w:tcPr>
          <w:p>
            <w:pPr>
              <w:widowControl/>
              <w:spacing w:line="320" w:lineRule="exact"/>
              <w:rPr>
                <w:rFonts w:eastAsia="方正仿宋简体"/>
                <w:kern w:val="0"/>
                <w:sz w:val="18"/>
                <w:szCs w:val="18"/>
              </w:rPr>
            </w:pPr>
            <w:r>
              <w:rPr>
                <w:rFonts w:eastAsia="方正仿宋简体"/>
                <w:kern w:val="0"/>
                <w:sz w:val="18"/>
                <w:szCs w:val="18"/>
              </w:rPr>
              <w:t>支持备兑平仓交易指令</w:t>
            </w:r>
          </w:p>
        </w:tc>
      </w:tr>
      <w:tr>
        <w:tblPrEx>
          <w:tblCellMar>
            <w:top w:w="0" w:type="dxa"/>
            <w:left w:w="108" w:type="dxa"/>
            <w:bottom w:w="0" w:type="dxa"/>
            <w:right w:w="108" w:type="dxa"/>
          </w:tblCellMar>
        </w:tblPrEx>
        <w:trPr>
          <w:trHeight w:val="280" w:hRule="atLeast"/>
        </w:trPr>
        <w:tc>
          <w:tcPr>
            <w:tcW w:w="449" w:type="dxa"/>
            <w:tcBorders>
              <w:top w:val="nil"/>
              <w:left w:val="single" w:color="auto" w:sz="4" w:space="0"/>
              <w:bottom w:val="single" w:color="auto" w:sz="4" w:space="0"/>
              <w:right w:val="single" w:color="auto" w:sz="4" w:space="0"/>
            </w:tcBorders>
            <w:shd w:val="clear" w:color="auto" w:fill="auto"/>
            <w:noWrap/>
            <w:vAlign w:val="center"/>
          </w:tcPr>
          <w:p>
            <w:pPr>
              <w:widowControl/>
              <w:spacing w:line="320" w:lineRule="exact"/>
              <w:jc w:val="center"/>
              <w:rPr>
                <w:rFonts w:eastAsia="方正仿宋简体"/>
                <w:kern w:val="0"/>
                <w:sz w:val="18"/>
                <w:szCs w:val="18"/>
              </w:rPr>
            </w:pPr>
            <w:r>
              <w:rPr>
                <w:rFonts w:eastAsia="方正仿宋简体"/>
                <w:kern w:val="0"/>
                <w:sz w:val="18"/>
                <w:szCs w:val="18"/>
              </w:rPr>
              <w:t>23</w:t>
            </w:r>
          </w:p>
        </w:tc>
        <w:tc>
          <w:tcPr>
            <w:tcW w:w="1360" w:type="dxa"/>
            <w:vMerge w:val="continue"/>
            <w:tcBorders>
              <w:top w:val="nil"/>
              <w:left w:val="single" w:color="auto" w:sz="4" w:space="0"/>
              <w:bottom w:val="single" w:color="000000" w:sz="4" w:space="0"/>
              <w:right w:val="single" w:color="auto" w:sz="4" w:space="0"/>
            </w:tcBorders>
            <w:vAlign w:val="center"/>
          </w:tcPr>
          <w:p>
            <w:pPr>
              <w:widowControl/>
              <w:spacing w:line="320" w:lineRule="exact"/>
              <w:jc w:val="center"/>
              <w:rPr>
                <w:rFonts w:eastAsia="方正仿宋简体"/>
                <w:kern w:val="0"/>
                <w:sz w:val="18"/>
                <w:szCs w:val="18"/>
              </w:rPr>
            </w:pPr>
          </w:p>
        </w:tc>
        <w:tc>
          <w:tcPr>
            <w:tcW w:w="1437" w:type="dxa"/>
            <w:vMerge w:val="restart"/>
            <w:tcBorders>
              <w:top w:val="nil"/>
              <w:left w:val="single" w:color="auto" w:sz="4" w:space="0"/>
              <w:bottom w:val="single" w:color="auto" w:sz="4" w:space="0"/>
              <w:right w:val="single" w:color="auto" w:sz="4" w:space="0"/>
            </w:tcBorders>
            <w:shd w:val="clear" w:color="auto" w:fill="auto"/>
            <w:vAlign w:val="center"/>
          </w:tcPr>
          <w:p>
            <w:pPr>
              <w:widowControl/>
              <w:spacing w:line="320" w:lineRule="exact"/>
              <w:jc w:val="center"/>
              <w:rPr>
                <w:rFonts w:eastAsia="方正仿宋简体"/>
                <w:kern w:val="0"/>
                <w:sz w:val="18"/>
                <w:szCs w:val="18"/>
              </w:rPr>
            </w:pPr>
            <w:r>
              <w:rPr>
                <w:rFonts w:eastAsia="方正仿宋简体"/>
                <w:kern w:val="0"/>
                <w:sz w:val="18"/>
                <w:szCs w:val="18"/>
              </w:rPr>
              <w:t>（二）非交易指令</w:t>
            </w:r>
          </w:p>
        </w:tc>
        <w:tc>
          <w:tcPr>
            <w:tcW w:w="5387" w:type="dxa"/>
            <w:gridSpan w:val="2"/>
            <w:tcBorders>
              <w:top w:val="nil"/>
              <w:left w:val="nil"/>
              <w:bottom w:val="single" w:color="auto" w:sz="4" w:space="0"/>
              <w:right w:val="single" w:color="auto" w:sz="4" w:space="0"/>
            </w:tcBorders>
            <w:shd w:val="clear" w:color="auto" w:fill="auto"/>
            <w:vAlign w:val="center"/>
          </w:tcPr>
          <w:p>
            <w:pPr>
              <w:widowControl/>
              <w:spacing w:line="320" w:lineRule="exact"/>
              <w:rPr>
                <w:rFonts w:eastAsia="方正仿宋简体"/>
                <w:kern w:val="0"/>
                <w:sz w:val="18"/>
                <w:szCs w:val="18"/>
              </w:rPr>
            </w:pPr>
            <w:r>
              <w:rPr>
                <w:rFonts w:eastAsia="方正仿宋简体"/>
                <w:kern w:val="0"/>
                <w:sz w:val="18"/>
                <w:szCs w:val="18"/>
              </w:rPr>
              <w:t>支持行权指令</w:t>
            </w:r>
          </w:p>
        </w:tc>
      </w:tr>
      <w:tr>
        <w:tblPrEx>
          <w:tblCellMar>
            <w:top w:w="0" w:type="dxa"/>
            <w:left w:w="108" w:type="dxa"/>
            <w:bottom w:w="0" w:type="dxa"/>
            <w:right w:w="108" w:type="dxa"/>
          </w:tblCellMar>
        </w:tblPrEx>
        <w:trPr>
          <w:trHeight w:val="280" w:hRule="atLeast"/>
        </w:trPr>
        <w:tc>
          <w:tcPr>
            <w:tcW w:w="449" w:type="dxa"/>
            <w:tcBorders>
              <w:top w:val="nil"/>
              <w:left w:val="single" w:color="auto" w:sz="4" w:space="0"/>
              <w:bottom w:val="single" w:color="auto" w:sz="4" w:space="0"/>
              <w:right w:val="single" w:color="auto" w:sz="4" w:space="0"/>
            </w:tcBorders>
            <w:shd w:val="clear" w:color="auto" w:fill="auto"/>
            <w:noWrap/>
            <w:vAlign w:val="center"/>
          </w:tcPr>
          <w:p>
            <w:pPr>
              <w:widowControl/>
              <w:spacing w:line="320" w:lineRule="exact"/>
              <w:jc w:val="center"/>
              <w:rPr>
                <w:rFonts w:eastAsia="方正仿宋简体"/>
                <w:kern w:val="0"/>
                <w:sz w:val="18"/>
                <w:szCs w:val="18"/>
              </w:rPr>
            </w:pPr>
            <w:r>
              <w:rPr>
                <w:rFonts w:eastAsia="方正仿宋简体"/>
                <w:kern w:val="0"/>
                <w:sz w:val="18"/>
                <w:szCs w:val="18"/>
              </w:rPr>
              <w:t>24</w:t>
            </w:r>
          </w:p>
        </w:tc>
        <w:tc>
          <w:tcPr>
            <w:tcW w:w="1360" w:type="dxa"/>
            <w:vMerge w:val="continue"/>
            <w:tcBorders>
              <w:top w:val="nil"/>
              <w:left w:val="single" w:color="auto" w:sz="4" w:space="0"/>
              <w:bottom w:val="single" w:color="000000" w:sz="4" w:space="0"/>
              <w:right w:val="single" w:color="auto" w:sz="4" w:space="0"/>
            </w:tcBorders>
            <w:vAlign w:val="center"/>
          </w:tcPr>
          <w:p>
            <w:pPr>
              <w:widowControl/>
              <w:spacing w:line="320" w:lineRule="exact"/>
              <w:jc w:val="center"/>
              <w:rPr>
                <w:rFonts w:eastAsia="方正仿宋简体"/>
                <w:kern w:val="0"/>
                <w:sz w:val="18"/>
                <w:szCs w:val="18"/>
              </w:rPr>
            </w:pPr>
          </w:p>
        </w:tc>
        <w:tc>
          <w:tcPr>
            <w:tcW w:w="1437" w:type="dxa"/>
            <w:vMerge w:val="continue"/>
            <w:tcBorders>
              <w:top w:val="nil"/>
              <w:left w:val="single" w:color="auto" w:sz="4" w:space="0"/>
              <w:bottom w:val="single" w:color="auto" w:sz="4" w:space="0"/>
              <w:right w:val="single" w:color="auto" w:sz="4" w:space="0"/>
            </w:tcBorders>
            <w:vAlign w:val="center"/>
          </w:tcPr>
          <w:p>
            <w:pPr>
              <w:widowControl/>
              <w:spacing w:line="320" w:lineRule="exact"/>
              <w:jc w:val="center"/>
              <w:rPr>
                <w:rFonts w:eastAsia="方正仿宋简体"/>
                <w:kern w:val="0"/>
                <w:sz w:val="18"/>
                <w:szCs w:val="18"/>
              </w:rPr>
            </w:pPr>
          </w:p>
        </w:tc>
        <w:tc>
          <w:tcPr>
            <w:tcW w:w="5387" w:type="dxa"/>
            <w:gridSpan w:val="2"/>
            <w:tcBorders>
              <w:top w:val="nil"/>
              <w:left w:val="nil"/>
              <w:bottom w:val="single" w:color="auto" w:sz="4" w:space="0"/>
              <w:right w:val="single" w:color="auto" w:sz="4" w:space="0"/>
            </w:tcBorders>
            <w:shd w:val="clear" w:color="auto" w:fill="auto"/>
            <w:vAlign w:val="center"/>
          </w:tcPr>
          <w:p>
            <w:pPr>
              <w:widowControl/>
              <w:spacing w:line="320" w:lineRule="exact"/>
              <w:rPr>
                <w:rFonts w:eastAsia="方正仿宋简体"/>
                <w:kern w:val="0"/>
                <w:sz w:val="18"/>
                <w:szCs w:val="18"/>
              </w:rPr>
            </w:pPr>
            <w:r>
              <w:rPr>
                <w:rFonts w:eastAsia="方正仿宋简体"/>
                <w:kern w:val="0"/>
                <w:sz w:val="18"/>
                <w:szCs w:val="18"/>
              </w:rPr>
              <w:t>支持撤销行权指令</w:t>
            </w:r>
          </w:p>
        </w:tc>
      </w:tr>
      <w:tr>
        <w:tblPrEx>
          <w:tblCellMar>
            <w:top w:w="0" w:type="dxa"/>
            <w:left w:w="108" w:type="dxa"/>
            <w:bottom w:w="0" w:type="dxa"/>
            <w:right w:w="108" w:type="dxa"/>
          </w:tblCellMar>
        </w:tblPrEx>
        <w:trPr>
          <w:trHeight w:val="280" w:hRule="atLeast"/>
        </w:trPr>
        <w:tc>
          <w:tcPr>
            <w:tcW w:w="449" w:type="dxa"/>
            <w:tcBorders>
              <w:top w:val="nil"/>
              <w:left w:val="single" w:color="auto" w:sz="4" w:space="0"/>
              <w:bottom w:val="single" w:color="auto" w:sz="4" w:space="0"/>
              <w:right w:val="single" w:color="auto" w:sz="4" w:space="0"/>
            </w:tcBorders>
            <w:shd w:val="clear" w:color="auto" w:fill="auto"/>
            <w:noWrap/>
            <w:vAlign w:val="center"/>
          </w:tcPr>
          <w:p>
            <w:pPr>
              <w:widowControl/>
              <w:spacing w:line="320" w:lineRule="exact"/>
              <w:jc w:val="center"/>
              <w:rPr>
                <w:rFonts w:eastAsia="方正仿宋简体"/>
                <w:kern w:val="0"/>
                <w:sz w:val="18"/>
                <w:szCs w:val="18"/>
              </w:rPr>
            </w:pPr>
            <w:r>
              <w:rPr>
                <w:rFonts w:eastAsia="方正仿宋简体"/>
                <w:kern w:val="0"/>
                <w:sz w:val="18"/>
                <w:szCs w:val="18"/>
              </w:rPr>
              <w:t>25</w:t>
            </w:r>
          </w:p>
        </w:tc>
        <w:tc>
          <w:tcPr>
            <w:tcW w:w="1360" w:type="dxa"/>
            <w:vMerge w:val="continue"/>
            <w:tcBorders>
              <w:top w:val="nil"/>
              <w:left w:val="single" w:color="auto" w:sz="4" w:space="0"/>
              <w:bottom w:val="single" w:color="000000" w:sz="4" w:space="0"/>
              <w:right w:val="single" w:color="auto" w:sz="4" w:space="0"/>
            </w:tcBorders>
            <w:vAlign w:val="center"/>
          </w:tcPr>
          <w:p>
            <w:pPr>
              <w:widowControl/>
              <w:spacing w:line="320" w:lineRule="exact"/>
              <w:jc w:val="center"/>
              <w:rPr>
                <w:rFonts w:eastAsia="方正仿宋简体"/>
                <w:kern w:val="0"/>
                <w:sz w:val="18"/>
                <w:szCs w:val="18"/>
              </w:rPr>
            </w:pPr>
          </w:p>
        </w:tc>
        <w:tc>
          <w:tcPr>
            <w:tcW w:w="1437" w:type="dxa"/>
            <w:vMerge w:val="continue"/>
            <w:tcBorders>
              <w:top w:val="nil"/>
              <w:left w:val="single" w:color="auto" w:sz="4" w:space="0"/>
              <w:bottom w:val="single" w:color="auto" w:sz="4" w:space="0"/>
              <w:right w:val="single" w:color="auto" w:sz="4" w:space="0"/>
            </w:tcBorders>
            <w:vAlign w:val="center"/>
          </w:tcPr>
          <w:p>
            <w:pPr>
              <w:widowControl/>
              <w:spacing w:line="320" w:lineRule="exact"/>
              <w:jc w:val="center"/>
              <w:rPr>
                <w:rFonts w:eastAsia="方正仿宋简体"/>
                <w:kern w:val="0"/>
                <w:sz w:val="18"/>
                <w:szCs w:val="18"/>
              </w:rPr>
            </w:pPr>
          </w:p>
        </w:tc>
        <w:tc>
          <w:tcPr>
            <w:tcW w:w="5387" w:type="dxa"/>
            <w:gridSpan w:val="2"/>
            <w:tcBorders>
              <w:top w:val="nil"/>
              <w:left w:val="nil"/>
              <w:bottom w:val="single" w:color="auto" w:sz="4" w:space="0"/>
              <w:right w:val="single" w:color="auto" w:sz="4" w:space="0"/>
            </w:tcBorders>
            <w:shd w:val="clear" w:color="auto" w:fill="auto"/>
            <w:vAlign w:val="center"/>
          </w:tcPr>
          <w:p>
            <w:pPr>
              <w:widowControl/>
              <w:spacing w:line="320" w:lineRule="exact"/>
              <w:rPr>
                <w:rFonts w:eastAsia="方正仿宋简体"/>
                <w:kern w:val="0"/>
                <w:sz w:val="18"/>
                <w:szCs w:val="18"/>
              </w:rPr>
            </w:pPr>
            <w:r>
              <w:rPr>
                <w:rFonts w:eastAsia="方正仿宋简体"/>
                <w:kern w:val="0"/>
                <w:sz w:val="18"/>
                <w:szCs w:val="18"/>
              </w:rPr>
              <w:t>支持行权指令组合申报相关指令</w:t>
            </w:r>
          </w:p>
        </w:tc>
      </w:tr>
      <w:tr>
        <w:tblPrEx>
          <w:tblCellMar>
            <w:top w:w="0" w:type="dxa"/>
            <w:left w:w="108" w:type="dxa"/>
            <w:bottom w:w="0" w:type="dxa"/>
            <w:right w:w="108" w:type="dxa"/>
          </w:tblCellMar>
        </w:tblPrEx>
        <w:trPr>
          <w:trHeight w:val="280" w:hRule="atLeast"/>
        </w:trPr>
        <w:tc>
          <w:tcPr>
            <w:tcW w:w="449" w:type="dxa"/>
            <w:tcBorders>
              <w:top w:val="nil"/>
              <w:left w:val="single" w:color="auto" w:sz="4" w:space="0"/>
              <w:bottom w:val="single" w:color="auto" w:sz="4" w:space="0"/>
              <w:right w:val="single" w:color="auto" w:sz="4" w:space="0"/>
            </w:tcBorders>
            <w:shd w:val="clear" w:color="auto" w:fill="auto"/>
            <w:noWrap/>
            <w:vAlign w:val="center"/>
          </w:tcPr>
          <w:p>
            <w:pPr>
              <w:widowControl/>
              <w:spacing w:line="320" w:lineRule="exact"/>
              <w:jc w:val="center"/>
              <w:rPr>
                <w:rFonts w:eastAsia="方正仿宋简体"/>
                <w:kern w:val="0"/>
                <w:sz w:val="18"/>
                <w:szCs w:val="18"/>
              </w:rPr>
            </w:pPr>
            <w:r>
              <w:rPr>
                <w:rFonts w:eastAsia="方正仿宋简体"/>
                <w:kern w:val="0"/>
                <w:sz w:val="18"/>
                <w:szCs w:val="18"/>
              </w:rPr>
              <w:t>26</w:t>
            </w:r>
          </w:p>
        </w:tc>
        <w:tc>
          <w:tcPr>
            <w:tcW w:w="1360" w:type="dxa"/>
            <w:vMerge w:val="continue"/>
            <w:tcBorders>
              <w:top w:val="nil"/>
              <w:left w:val="single" w:color="auto" w:sz="4" w:space="0"/>
              <w:bottom w:val="single" w:color="000000" w:sz="4" w:space="0"/>
              <w:right w:val="single" w:color="auto" w:sz="4" w:space="0"/>
            </w:tcBorders>
            <w:vAlign w:val="center"/>
          </w:tcPr>
          <w:p>
            <w:pPr>
              <w:widowControl/>
              <w:spacing w:line="320" w:lineRule="exact"/>
              <w:jc w:val="center"/>
              <w:rPr>
                <w:rFonts w:eastAsia="方正仿宋简体"/>
                <w:kern w:val="0"/>
                <w:sz w:val="18"/>
                <w:szCs w:val="18"/>
              </w:rPr>
            </w:pPr>
          </w:p>
        </w:tc>
        <w:tc>
          <w:tcPr>
            <w:tcW w:w="1437" w:type="dxa"/>
            <w:vMerge w:val="continue"/>
            <w:tcBorders>
              <w:top w:val="nil"/>
              <w:left w:val="single" w:color="auto" w:sz="4" w:space="0"/>
              <w:bottom w:val="single" w:color="auto" w:sz="4" w:space="0"/>
              <w:right w:val="single" w:color="auto" w:sz="4" w:space="0"/>
            </w:tcBorders>
            <w:vAlign w:val="center"/>
          </w:tcPr>
          <w:p>
            <w:pPr>
              <w:widowControl/>
              <w:spacing w:line="320" w:lineRule="exact"/>
              <w:jc w:val="center"/>
              <w:rPr>
                <w:rFonts w:eastAsia="方正仿宋简体"/>
                <w:kern w:val="0"/>
                <w:sz w:val="18"/>
                <w:szCs w:val="18"/>
              </w:rPr>
            </w:pPr>
          </w:p>
        </w:tc>
        <w:tc>
          <w:tcPr>
            <w:tcW w:w="5387" w:type="dxa"/>
            <w:gridSpan w:val="2"/>
            <w:tcBorders>
              <w:top w:val="nil"/>
              <w:left w:val="nil"/>
              <w:bottom w:val="single" w:color="auto" w:sz="4" w:space="0"/>
              <w:right w:val="single" w:color="auto" w:sz="4" w:space="0"/>
            </w:tcBorders>
            <w:shd w:val="clear" w:color="auto" w:fill="auto"/>
            <w:vAlign w:val="center"/>
          </w:tcPr>
          <w:p>
            <w:pPr>
              <w:widowControl/>
              <w:spacing w:line="320" w:lineRule="exact"/>
              <w:rPr>
                <w:rFonts w:eastAsia="方正仿宋简体"/>
                <w:kern w:val="0"/>
                <w:sz w:val="18"/>
                <w:szCs w:val="18"/>
              </w:rPr>
            </w:pPr>
            <w:r>
              <w:rPr>
                <w:rFonts w:eastAsia="方正仿宋简体"/>
                <w:kern w:val="0"/>
                <w:sz w:val="18"/>
                <w:szCs w:val="18"/>
              </w:rPr>
              <w:t>支持组合策略保证金相关指令</w:t>
            </w:r>
          </w:p>
        </w:tc>
      </w:tr>
      <w:tr>
        <w:tblPrEx>
          <w:tblCellMar>
            <w:top w:w="0" w:type="dxa"/>
            <w:left w:w="108" w:type="dxa"/>
            <w:bottom w:w="0" w:type="dxa"/>
            <w:right w:w="108" w:type="dxa"/>
          </w:tblCellMar>
        </w:tblPrEx>
        <w:trPr>
          <w:trHeight w:val="280" w:hRule="atLeast"/>
        </w:trPr>
        <w:tc>
          <w:tcPr>
            <w:tcW w:w="449" w:type="dxa"/>
            <w:tcBorders>
              <w:top w:val="nil"/>
              <w:left w:val="single" w:color="auto" w:sz="4" w:space="0"/>
              <w:bottom w:val="single" w:color="auto" w:sz="4" w:space="0"/>
              <w:right w:val="single" w:color="auto" w:sz="4" w:space="0"/>
            </w:tcBorders>
            <w:shd w:val="clear" w:color="auto" w:fill="auto"/>
            <w:noWrap/>
            <w:vAlign w:val="center"/>
          </w:tcPr>
          <w:p>
            <w:pPr>
              <w:widowControl/>
              <w:spacing w:line="320" w:lineRule="exact"/>
              <w:jc w:val="center"/>
              <w:rPr>
                <w:rFonts w:eastAsia="方正仿宋简体"/>
                <w:kern w:val="0"/>
                <w:sz w:val="18"/>
                <w:szCs w:val="18"/>
              </w:rPr>
            </w:pPr>
            <w:r>
              <w:rPr>
                <w:rFonts w:eastAsia="方正仿宋简体"/>
                <w:kern w:val="0"/>
                <w:sz w:val="18"/>
                <w:szCs w:val="18"/>
              </w:rPr>
              <w:t>27</w:t>
            </w:r>
          </w:p>
        </w:tc>
        <w:tc>
          <w:tcPr>
            <w:tcW w:w="1360" w:type="dxa"/>
            <w:vMerge w:val="continue"/>
            <w:tcBorders>
              <w:top w:val="nil"/>
              <w:left w:val="single" w:color="auto" w:sz="4" w:space="0"/>
              <w:bottom w:val="single" w:color="000000" w:sz="4" w:space="0"/>
              <w:right w:val="single" w:color="auto" w:sz="4" w:space="0"/>
            </w:tcBorders>
            <w:vAlign w:val="center"/>
          </w:tcPr>
          <w:p>
            <w:pPr>
              <w:widowControl/>
              <w:spacing w:line="320" w:lineRule="exact"/>
              <w:jc w:val="center"/>
              <w:rPr>
                <w:rFonts w:eastAsia="方正仿宋简体"/>
                <w:kern w:val="0"/>
                <w:sz w:val="18"/>
                <w:szCs w:val="18"/>
              </w:rPr>
            </w:pPr>
          </w:p>
        </w:tc>
        <w:tc>
          <w:tcPr>
            <w:tcW w:w="1437" w:type="dxa"/>
            <w:vMerge w:val="restart"/>
            <w:tcBorders>
              <w:top w:val="nil"/>
              <w:left w:val="single" w:color="auto" w:sz="4" w:space="0"/>
              <w:bottom w:val="single" w:color="auto" w:sz="4" w:space="0"/>
              <w:right w:val="single" w:color="auto" w:sz="4" w:space="0"/>
            </w:tcBorders>
            <w:shd w:val="clear" w:color="auto" w:fill="auto"/>
            <w:vAlign w:val="center"/>
          </w:tcPr>
          <w:p>
            <w:pPr>
              <w:widowControl/>
              <w:spacing w:line="320" w:lineRule="exact"/>
              <w:jc w:val="center"/>
              <w:rPr>
                <w:rFonts w:eastAsia="方正仿宋简体"/>
                <w:kern w:val="0"/>
                <w:sz w:val="18"/>
                <w:szCs w:val="18"/>
              </w:rPr>
            </w:pPr>
            <w:r>
              <w:rPr>
                <w:rFonts w:eastAsia="方正仿宋简体"/>
                <w:kern w:val="0"/>
                <w:sz w:val="18"/>
                <w:szCs w:val="18"/>
              </w:rPr>
              <w:t>（三）交易与行情</w:t>
            </w:r>
          </w:p>
        </w:tc>
        <w:tc>
          <w:tcPr>
            <w:tcW w:w="5387" w:type="dxa"/>
            <w:gridSpan w:val="2"/>
            <w:tcBorders>
              <w:top w:val="nil"/>
              <w:left w:val="nil"/>
              <w:bottom w:val="single" w:color="auto" w:sz="4" w:space="0"/>
              <w:right w:val="single" w:color="auto" w:sz="4" w:space="0"/>
            </w:tcBorders>
            <w:shd w:val="clear" w:color="auto" w:fill="auto"/>
            <w:vAlign w:val="center"/>
          </w:tcPr>
          <w:p>
            <w:pPr>
              <w:widowControl/>
              <w:spacing w:line="320" w:lineRule="exact"/>
              <w:rPr>
                <w:rFonts w:eastAsia="方正仿宋简体"/>
                <w:kern w:val="0"/>
                <w:sz w:val="18"/>
                <w:szCs w:val="18"/>
              </w:rPr>
            </w:pPr>
            <w:r>
              <w:rPr>
                <w:rFonts w:eastAsia="方正仿宋简体"/>
                <w:kern w:val="0"/>
                <w:sz w:val="18"/>
                <w:szCs w:val="18"/>
              </w:rPr>
              <w:t>支持客户通过周边系统进行交易</w:t>
            </w:r>
          </w:p>
        </w:tc>
      </w:tr>
      <w:tr>
        <w:tblPrEx>
          <w:tblCellMar>
            <w:top w:w="0" w:type="dxa"/>
            <w:left w:w="108" w:type="dxa"/>
            <w:bottom w:w="0" w:type="dxa"/>
            <w:right w:w="108" w:type="dxa"/>
          </w:tblCellMar>
        </w:tblPrEx>
        <w:trPr>
          <w:trHeight w:val="280" w:hRule="atLeast"/>
        </w:trPr>
        <w:tc>
          <w:tcPr>
            <w:tcW w:w="449" w:type="dxa"/>
            <w:tcBorders>
              <w:top w:val="nil"/>
              <w:left w:val="single" w:color="auto" w:sz="4" w:space="0"/>
              <w:bottom w:val="single" w:color="auto" w:sz="4" w:space="0"/>
              <w:right w:val="single" w:color="auto" w:sz="4" w:space="0"/>
            </w:tcBorders>
            <w:shd w:val="clear" w:color="auto" w:fill="auto"/>
            <w:noWrap/>
            <w:vAlign w:val="center"/>
          </w:tcPr>
          <w:p>
            <w:pPr>
              <w:widowControl/>
              <w:spacing w:line="320" w:lineRule="exact"/>
              <w:jc w:val="center"/>
              <w:rPr>
                <w:rFonts w:eastAsia="方正仿宋简体"/>
                <w:kern w:val="0"/>
                <w:sz w:val="18"/>
                <w:szCs w:val="18"/>
              </w:rPr>
            </w:pPr>
            <w:r>
              <w:rPr>
                <w:rFonts w:eastAsia="方正仿宋简体"/>
                <w:kern w:val="0"/>
                <w:sz w:val="18"/>
                <w:szCs w:val="18"/>
              </w:rPr>
              <w:t>28</w:t>
            </w:r>
          </w:p>
        </w:tc>
        <w:tc>
          <w:tcPr>
            <w:tcW w:w="1360" w:type="dxa"/>
            <w:vMerge w:val="continue"/>
            <w:tcBorders>
              <w:top w:val="nil"/>
              <w:left w:val="single" w:color="auto" w:sz="4" w:space="0"/>
              <w:bottom w:val="single" w:color="000000" w:sz="4" w:space="0"/>
              <w:right w:val="single" w:color="auto" w:sz="4" w:space="0"/>
            </w:tcBorders>
            <w:vAlign w:val="center"/>
          </w:tcPr>
          <w:p>
            <w:pPr>
              <w:widowControl/>
              <w:spacing w:line="320" w:lineRule="exact"/>
              <w:jc w:val="center"/>
              <w:rPr>
                <w:rFonts w:eastAsia="方正仿宋简体"/>
                <w:kern w:val="0"/>
                <w:sz w:val="18"/>
                <w:szCs w:val="18"/>
              </w:rPr>
            </w:pPr>
          </w:p>
        </w:tc>
        <w:tc>
          <w:tcPr>
            <w:tcW w:w="1437" w:type="dxa"/>
            <w:vMerge w:val="continue"/>
            <w:tcBorders>
              <w:top w:val="nil"/>
              <w:left w:val="single" w:color="auto" w:sz="4" w:space="0"/>
              <w:bottom w:val="single" w:color="auto" w:sz="4" w:space="0"/>
              <w:right w:val="single" w:color="auto" w:sz="4" w:space="0"/>
            </w:tcBorders>
            <w:vAlign w:val="center"/>
          </w:tcPr>
          <w:p>
            <w:pPr>
              <w:widowControl/>
              <w:spacing w:line="320" w:lineRule="exact"/>
              <w:jc w:val="center"/>
              <w:rPr>
                <w:rFonts w:eastAsia="方正仿宋简体"/>
                <w:kern w:val="0"/>
                <w:sz w:val="18"/>
                <w:szCs w:val="18"/>
              </w:rPr>
            </w:pPr>
          </w:p>
        </w:tc>
        <w:tc>
          <w:tcPr>
            <w:tcW w:w="5387" w:type="dxa"/>
            <w:gridSpan w:val="2"/>
            <w:tcBorders>
              <w:top w:val="nil"/>
              <w:left w:val="nil"/>
              <w:bottom w:val="single" w:color="auto" w:sz="4" w:space="0"/>
              <w:right w:val="single" w:color="auto" w:sz="4" w:space="0"/>
            </w:tcBorders>
            <w:shd w:val="clear" w:color="auto" w:fill="auto"/>
            <w:vAlign w:val="center"/>
          </w:tcPr>
          <w:p>
            <w:pPr>
              <w:widowControl/>
              <w:spacing w:line="320" w:lineRule="exact"/>
              <w:rPr>
                <w:rFonts w:eastAsia="方正仿宋简体"/>
                <w:kern w:val="0"/>
                <w:sz w:val="18"/>
                <w:szCs w:val="18"/>
              </w:rPr>
            </w:pPr>
            <w:r>
              <w:rPr>
                <w:rFonts w:eastAsia="方正仿宋简体"/>
                <w:kern w:val="0"/>
                <w:sz w:val="18"/>
                <w:szCs w:val="18"/>
              </w:rPr>
              <w:t>满足客户报单需要的基本行情显示</w:t>
            </w:r>
          </w:p>
        </w:tc>
      </w:tr>
      <w:tr>
        <w:tblPrEx>
          <w:tblCellMar>
            <w:top w:w="0" w:type="dxa"/>
            <w:left w:w="108" w:type="dxa"/>
            <w:bottom w:w="0" w:type="dxa"/>
            <w:right w:w="108" w:type="dxa"/>
          </w:tblCellMar>
        </w:tblPrEx>
        <w:trPr>
          <w:trHeight w:val="280" w:hRule="atLeast"/>
        </w:trPr>
        <w:tc>
          <w:tcPr>
            <w:tcW w:w="449" w:type="dxa"/>
            <w:tcBorders>
              <w:top w:val="nil"/>
              <w:left w:val="single" w:color="auto" w:sz="4" w:space="0"/>
              <w:bottom w:val="single" w:color="auto" w:sz="4" w:space="0"/>
              <w:right w:val="single" w:color="auto" w:sz="4" w:space="0"/>
            </w:tcBorders>
            <w:shd w:val="clear" w:color="auto" w:fill="auto"/>
            <w:noWrap/>
            <w:vAlign w:val="center"/>
          </w:tcPr>
          <w:p>
            <w:pPr>
              <w:widowControl/>
              <w:spacing w:line="320" w:lineRule="exact"/>
              <w:jc w:val="center"/>
              <w:rPr>
                <w:rFonts w:eastAsia="方正仿宋简体"/>
                <w:kern w:val="0"/>
                <w:sz w:val="18"/>
                <w:szCs w:val="18"/>
              </w:rPr>
            </w:pPr>
            <w:r>
              <w:rPr>
                <w:rFonts w:eastAsia="方正仿宋简体"/>
                <w:kern w:val="0"/>
                <w:sz w:val="18"/>
                <w:szCs w:val="18"/>
              </w:rPr>
              <w:t>29</w:t>
            </w:r>
          </w:p>
        </w:tc>
        <w:tc>
          <w:tcPr>
            <w:tcW w:w="1360" w:type="dxa"/>
            <w:vMerge w:val="continue"/>
            <w:tcBorders>
              <w:top w:val="nil"/>
              <w:left w:val="single" w:color="auto" w:sz="4" w:space="0"/>
              <w:bottom w:val="single" w:color="000000" w:sz="4" w:space="0"/>
              <w:right w:val="single" w:color="auto" w:sz="4" w:space="0"/>
            </w:tcBorders>
            <w:vAlign w:val="center"/>
          </w:tcPr>
          <w:p>
            <w:pPr>
              <w:widowControl/>
              <w:spacing w:line="320" w:lineRule="exact"/>
              <w:jc w:val="center"/>
              <w:rPr>
                <w:rFonts w:eastAsia="方正仿宋简体"/>
                <w:kern w:val="0"/>
                <w:sz w:val="18"/>
                <w:szCs w:val="18"/>
              </w:rPr>
            </w:pPr>
          </w:p>
        </w:tc>
        <w:tc>
          <w:tcPr>
            <w:tcW w:w="1437" w:type="dxa"/>
            <w:vMerge w:val="restart"/>
            <w:tcBorders>
              <w:top w:val="nil"/>
              <w:left w:val="single" w:color="auto" w:sz="4" w:space="0"/>
              <w:bottom w:val="single" w:color="auto" w:sz="4" w:space="0"/>
              <w:right w:val="single" w:color="auto" w:sz="4" w:space="0"/>
            </w:tcBorders>
            <w:shd w:val="clear" w:color="auto" w:fill="auto"/>
            <w:vAlign w:val="center"/>
          </w:tcPr>
          <w:p>
            <w:pPr>
              <w:widowControl/>
              <w:spacing w:line="320" w:lineRule="exact"/>
              <w:jc w:val="center"/>
              <w:rPr>
                <w:rFonts w:eastAsia="方正仿宋简体"/>
                <w:kern w:val="0"/>
                <w:sz w:val="18"/>
                <w:szCs w:val="18"/>
              </w:rPr>
            </w:pPr>
            <w:r>
              <w:rPr>
                <w:rFonts w:eastAsia="方正仿宋简体"/>
                <w:kern w:val="0"/>
                <w:sz w:val="18"/>
                <w:szCs w:val="18"/>
              </w:rPr>
              <w:t>（四）前端控制</w:t>
            </w:r>
          </w:p>
        </w:tc>
        <w:tc>
          <w:tcPr>
            <w:tcW w:w="5387" w:type="dxa"/>
            <w:gridSpan w:val="2"/>
            <w:tcBorders>
              <w:top w:val="nil"/>
              <w:left w:val="nil"/>
              <w:bottom w:val="single" w:color="auto" w:sz="4" w:space="0"/>
              <w:right w:val="single" w:color="auto" w:sz="4" w:space="0"/>
            </w:tcBorders>
            <w:shd w:val="clear" w:color="auto" w:fill="auto"/>
            <w:vAlign w:val="center"/>
          </w:tcPr>
          <w:p>
            <w:pPr>
              <w:widowControl/>
              <w:spacing w:line="320" w:lineRule="exact"/>
              <w:rPr>
                <w:rFonts w:eastAsia="方正仿宋简体"/>
                <w:kern w:val="0"/>
                <w:sz w:val="18"/>
                <w:szCs w:val="18"/>
              </w:rPr>
            </w:pPr>
            <w:r>
              <w:rPr>
                <w:rFonts w:eastAsia="方正仿宋简体"/>
                <w:kern w:val="0"/>
                <w:sz w:val="18"/>
                <w:szCs w:val="18"/>
              </w:rPr>
              <w:t>支持对客户的资金进行前端控制</w:t>
            </w:r>
          </w:p>
        </w:tc>
      </w:tr>
      <w:tr>
        <w:tblPrEx>
          <w:tblCellMar>
            <w:top w:w="0" w:type="dxa"/>
            <w:left w:w="108" w:type="dxa"/>
            <w:bottom w:w="0" w:type="dxa"/>
            <w:right w:w="108" w:type="dxa"/>
          </w:tblCellMar>
        </w:tblPrEx>
        <w:trPr>
          <w:trHeight w:val="280" w:hRule="atLeast"/>
        </w:trPr>
        <w:tc>
          <w:tcPr>
            <w:tcW w:w="449" w:type="dxa"/>
            <w:tcBorders>
              <w:top w:val="nil"/>
              <w:left w:val="single" w:color="auto" w:sz="4" w:space="0"/>
              <w:bottom w:val="single" w:color="auto" w:sz="4" w:space="0"/>
              <w:right w:val="single" w:color="auto" w:sz="4" w:space="0"/>
            </w:tcBorders>
            <w:shd w:val="clear" w:color="auto" w:fill="auto"/>
            <w:noWrap/>
            <w:vAlign w:val="center"/>
          </w:tcPr>
          <w:p>
            <w:pPr>
              <w:widowControl/>
              <w:spacing w:line="320" w:lineRule="exact"/>
              <w:jc w:val="center"/>
              <w:rPr>
                <w:rFonts w:eastAsia="方正仿宋简体"/>
                <w:kern w:val="0"/>
                <w:sz w:val="18"/>
                <w:szCs w:val="18"/>
              </w:rPr>
            </w:pPr>
            <w:r>
              <w:rPr>
                <w:rFonts w:eastAsia="方正仿宋简体"/>
                <w:kern w:val="0"/>
                <w:sz w:val="18"/>
                <w:szCs w:val="18"/>
              </w:rPr>
              <w:t>30</w:t>
            </w:r>
          </w:p>
        </w:tc>
        <w:tc>
          <w:tcPr>
            <w:tcW w:w="1360" w:type="dxa"/>
            <w:vMerge w:val="continue"/>
            <w:tcBorders>
              <w:top w:val="nil"/>
              <w:left w:val="single" w:color="auto" w:sz="4" w:space="0"/>
              <w:bottom w:val="single" w:color="000000" w:sz="4" w:space="0"/>
              <w:right w:val="single" w:color="auto" w:sz="4" w:space="0"/>
            </w:tcBorders>
            <w:vAlign w:val="center"/>
          </w:tcPr>
          <w:p>
            <w:pPr>
              <w:widowControl/>
              <w:spacing w:line="320" w:lineRule="exact"/>
              <w:jc w:val="center"/>
              <w:rPr>
                <w:rFonts w:eastAsia="方正仿宋简体"/>
                <w:kern w:val="0"/>
                <w:sz w:val="18"/>
                <w:szCs w:val="18"/>
              </w:rPr>
            </w:pPr>
          </w:p>
        </w:tc>
        <w:tc>
          <w:tcPr>
            <w:tcW w:w="1437" w:type="dxa"/>
            <w:vMerge w:val="continue"/>
            <w:tcBorders>
              <w:top w:val="nil"/>
              <w:left w:val="single" w:color="auto" w:sz="4" w:space="0"/>
              <w:bottom w:val="single" w:color="auto" w:sz="4" w:space="0"/>
              <w:right w:val="single" w:color="auto" w:sz="4" w:space="0"/>
            </w:tcBorders>
            <w:vAlign w:val="center"/>
          </w:tcPr>
          <w:p>
            <w:pPr>
              <w:widowControl/>
              <w:spacing w:line="320" w:lineRule="exact"/>
              <w:jc w:val="center"/>
              <w:rPr>
                <w:rFonts w:eastAsia="方正仿宋简体"/>
                <w:kern w:val="0"/>
                <w:sz w:val="18"/>
                <w:szCs w:val="18"/>
              </w:rPr>
            </w:pPr>
          </w:p>
        </w:tc>
        <w:tc>
          <w:tcPr>
            <w:tcW w:w="5387" w:type="dxa"/>
            <w:gridSpan w:val="2"/>
            <w:tcBorders>
              <w:top w:val="nil"/>
              <w:left w:val="nil"/>
              <w:bottom w:val="single" w:color="auto" w:sz="4" w:space="0"/>
              <w:right w:val="single" w:color="auto" w:sz="4" w:space="0"/>
            </w:tcBorders>
            <w:shd w:val="clear" w:color="auto" w:fill="auto"/>
            <w:vAlign w:val="center"/>
          </w:tcPr>
          <w:p>
            <w:pPr>
              <w:widowControl/>
              <w:spacing w:line="320" w:lineRule="exact"/>
              <w:rPr>
                <w:rFonts w:eastAsia="方正仿宋简体"/>
                <w:kern w:val="0"/>
                <w:sz w:val="18"/>
                <w:szCs w:val="18"/>
              </w:rPr>
            </w:pPr>
            <w:r>
              <w:rPr>
                <w:rFonts w:eastAsia="方正仿宋简体"/>
                <w:kern w:val="0"/>
                <w:sz w:val="18"/>
                <w:szCs w:val="18"/>
              </w:rPr>
              <w:t>支持对客户的持仓进行前端控制</w:t>
            </w:r>
          </w:p>
        </w:tc>
      </w:tr>
      <w:tr>
        <w:tblPrEx>
          <w:tblCellMar>
            <w:top w:w="0" w:type="dxa"/>
            <w:left w:w="108" w:type="dxa"/>
            <w:bottom w:w="0" w:type="dxa"/>
            <w:right w:w="108" w:type="dxa"/>
          </w:tblCellMar>
        </w:tblPrEx>
        <w:trPr>
          <w:trHeight w:val="280" w:hRule="atLeast"/>
        </w:trPr>
        <w:tc>
          <w:tcPr>
            <w:tcW w:w="449" w:type="dxa"/>
            <w:tcBorders>
              <w:top w:val="nil"/>
              <w:left w:val="single" w:color="auto" w:sz="4" w:space="0"/>
              <w:bottom w:val="single" w:color="auto" w:sz="4" w:space="0"/>
              <w:right w:val="single" w:color="auto" w:sz="4" w:space="0"/>
            </w:tcBorders>
            <w:shd w:val="clear" w:color="auto" w:fill="auto"/>
            <w:noWrap/>
            <w:vAlign w:val="center"/>
          </w:tcPr>
          <w:p>
            <w:pPr>
              <w:widowControl/>
              <w:spacing w:line="320" w:lineRule="exact"/>
              <w:jc w:val="center"/>
              <w:rPr>
                <w:rFonts w:eastAsia="方正仿宋简体"/>
                <w:kern w:val="0"/>
                <w:sz w:val="18"/>
                <w:szCs w:val="18"/>
              </w:rPr>
            </w:pPr>
            <w:r>
              <w:rPr>
                <w:rFonts w:eastAsia="方正仿宋简体"/>
                <w:kern w:val="0"/>
                <w:sz w:val="18"/>
                <w:szCs w:val="18"/>
              </w:rPr>
              <w:t>31</w:t>
            </w:r>
          </w:p>
        </w:tc>
        <w:tc>
          <w:tcPr>
            <w:tcW w:w="1360" w:type="dxa"/>
            <w:vMerge w:val="restart"/>
            <w:tcBorders>
              <w:top w:val="nil"/>
              <w:left w:val="single" w:color="auto" w:sz="4" w:space="0"/>
              <w:bottom w:val="single" w:color="auto" w:sz="4" w:space="0"/>
              <w:right w:val="single" w:color="auto" w:sz="4" w:space="0"/>
            </w:tcBorders>
            <w:shd w:val="clear" w:color="auto" w:fill="auto"/>
            <w:noWrap/>
            <w:vAlign w:val="center"/>
          </w:tcPr>
          <w:p>
            <w:pPr>
              <w:widowControl/>
              <w:spacing w:line="320" w:lineRule="exact"/>
              <w:jc w:val="center"/>
              <w:rPr>
                <w:rFonts w:eastAsia="方正仿宋简体"/>
                <w:kern w:val="0"/>
                <w:sz w:val="18"/>
                <w:szCs w:val="18"/>
              </w:rPr>
            </w:pPr>
            <w:r>
              <w:rPr>
                <w:rFonts w:eastAsia="方正仿宋简体"/>
                <w:kern w:val="0"/>
                <w:sz w:val="18"/>
                <w:szCs w:val="18"/>
              </w:rPr>
              <w:t>四、结算</w:t>
            </w:r>
          </w:p>
        </w:tc>
        <w:tc>
          <w:tcPr>
            <w:tcW w:w="1437" w:type="dxa"/>
            <w:vMerge w:val="restart"/>
            <w:tcBorders>
              <w:top w:val="nil"/>
              <w:left w:val="single" w:color="auto" w:sz="4" w:space="0"/>
              <w:bottom w:val="single" w:color="auto" w:sz="4" w:space="0"/>
              <w:right w:val="single" w:color="auto" w:sz="4" w:space="0"/>
            </w:tcBorders>
            <w:shd w:val="clear" w:color="auto" w:fill="auto"/>
            <w:vAlign w:val="center"/>
          </w:tcPr>
          <w:p>
            <w:pPr>
              <w:widowControl/>
              <w:spacing w:line="320" w:lineRule="exact"/>
              <w:jc w:val="center"/>
              <w:rPr>
                <w:rFonts w:eastAsia="方正仿宋简体"/>
                <w:kern w:val="0"/>
                <w:sz w:val="18"/>
                <w:szCs w:val="18"/>
              </w:rPr>
            </w:pPr>
            <w:r>
              <w:rPr>
                <w:rFonts w:eastAsia="方正仿宋简体"/>
                <w:kern w:val="0"/>
                <w:sz w:val="18"/>
                <w:szCs w:val="18"/>
              </w:rPr>
              <w:t>（一）结算</w:t>
            </w:r>
          </w:p>
        </w:tc>
        <w:tc>
          <w:tcPr>
            <w:tcW w:w="5387" w:type="dxa"/>
            <w:gridSpan w:val="2"/>
            <w:tcBorders>
              <w:top w:val="nil"/>
              <w:left w:val="nil"/>
              <w:bottom w:val="single" w:color="auto" w:sz="4" w:space="0"/>
              <w:right w:val="single" w:color="auto" w:sz="4" w:space="0"/>
            </w:tcBorders>
            <w:shd w:val="clear" w:color="auto" w:fill="auto"/>
            <w:vAlign w:val="center"/>
          </w:tcPr>
          <w:p>
            <w:pPr>
              <w:widowControl/>
              <w:spacing w:line="320" w:lineRule="exact"/>
              <w:rPr>
                <w:rFonts w:eastAsia="方正仿宋简体"/>
                <w:kern w:val="0"/>
                <w:sz w:val="18"/>
                <w:szCs w:val="18"/>
              </w:rPr>
            </w:pPr>
            <w:r>
              <w:rPr>
                <w:rFonts w:eastAsia="方正仿宋简体"/>
                <w:kern w:val="0"/>
                <w:sz w:val="18"/>
                <w:szCs w:val="18"/>
              </w:rPr>
              <w:t>支持盘后单向持仓对冲</w:t>
            </w:r>
          </w:p>
        </w:tc>
      </w:tr>
      <w:tr>
        <w:tblPrEx>
          <w:tblCellMar>
            <w:top w:w="0" w:type="dxa"/>
            <w:left w:w="108" w:type="dxa"/>
            <w:bottom w:w="0" w:type="dxa"/>
            <w:right w:w="108" w:type="dxa"/>
          </w:tblCellMar>
        </w:tblPrEx>
        <w:trPr>
          <w:trHeight w:val="280" w:hRule="atLeast"/>
        </w:trPr>
        <w:tc>
          <w:tcPr>
            <w:tcW w:w="449" w:type="dxa"/>
            <w:tcBorders>
              <w:top w:val="nil"/>
              <w:left w:val="single" w:color="auto" w:sz="4" w:space="0"/>
              <w:bottom w:val="single" w:color="auto" w:sz="4" w:space="0"/>
              <w:right w:val="single" w:color="auto" w:sz="4" w:space="0"/>
            </w:tcBorders>
            <w:shd w:val="clear" w:color="auto" w:fill="auto"/>
            <w:noWrap/>
            <w:vAlign w:val="center"/>
          </w:tcPr>
          <w:p>
            <w:pPr>
              <w:widowControl/>
              <w:spacing w:line="320" w:lineRule="exact"/>
              <w:jc w:val="center"/>
              <w:rPr>
                <w:rFonts w:eastAsia="方正仿宋简体"/>
                <w:kern w:val="0"/>
                <w:sz w:val="18"/>
                <w:szCs w:val="18"/>
              </w:rPr>
            </w:pPr>
            <w:r>
              <w:rPr>
                <w:rFonts w:eastAsia="方正仿宋简体"/>
                <w:kern w:val="0"/>
                <w:sz w:val="18"/>
                <w:szCs w:val="18"/>
              </w:rPr>
              <w:t>32</w:t>
            </w:r>
          </w:p>
        </w:tc>
        <w:tc>
          <w:tcPr>
            <w:tcW w:w="1360" w:type="dxa"/>
            <w:vMerge w:val="continue"/>
            <w:tcBorders>
              <w:top w:val="nil"/>
              <w:left w:val="single" w:color="auto" w:sz="4" w:space="0"/>
              <w:bottom w:val="single" w:color="auto" w:sz="4" w:space="0"/>
              <w:right w:val="single" w:color="auto" w:sz="4" w:space="0"/>
            </w:tcBorders>
            <w:vAlign w:val="center"/>
          </w:tcPr>
          <w:p>
            <w:pPr>
              <w:widowControl/>
              <w:spacing w:line="320" w:lineRule="exact"/>
              <w:jc w:val="center"/>
              <w:rPr>
                <w:rFonts w:eastAsia="方正仿宋简体"/>
                <w:kern w:val="0"/>
                <w:sz w:val="18"/>
                <w:szCs w:val="18"/>
              </w:rPr>
            </w:pPr>
          </w:p>
        </w:tc>
        <w:tc>
          <w:tcPr>
            <w:tcW w:w="1437" w:type="dxa"/>
            <w:vMerge w:val="continue"/>
            <w:tcBorders>
              <w:top w:val="nil"/>
              <w:left w:val="single" w:color="auto" w:sz="4" w:space="0"/>
              <w:bottom w:val="single" w:color="auto" w:sz="4" w:space="0"/>
              <w:right w:val="single" w:color="auto" w:sz="4" w:space="0"/>
            </w:tcBorders>
            <w:vAlign w:val="center"/>
          </w:tcPr>
          <w:p>
            <w:pPr>
              <w:widowControl/>
              <w:spacing w:line="320" w:lineRule="exact"/>
              <w:jc w:val="center"/>
              <w:rPr>
                <w:rFonts w:eastAsia="方正仿宋简体"/>
                <w:kern w:val="0"/>
                <w:sz w:val="18"/>
                <w:szCs w:val="18"/>
              </w:rPr>
            </w:pPr>
          </w:p>
        </w:tc>
        <w:tc>
          <w:tcPr>
            <w:tcW w:w="5387" w:type="dxa"/>
            <w:gridSpan w:val="2"/>
            <w:tcBorders>
              <w:top w:val="nil"/>
              <w:left w:val="nil"/>
              <w:bottom w:val="single" w:color="auto" w:sz="4" w:space="0"/>
              <w:right w:val="single" w:color="auto" w:sz="4" w:space="0"/>
            </w:tcBorders>
            <w:shd w:val="clear" w:color="auto" w:fill="auto"/>
            <w:vAlign w:val="center"/>
          </w:tcPr>
          <w:p>
            <w:pPr>
              <w:widowControl/>
              <w:spacing w:line="320" w:lineRule="exact"/>
              <w:rPr>
                <w:rFonts w:eastAsia="方正仿宋简体"/>
                <w:kern w:val="0"/>
                <w:sz w:val="18"/>
                <w:szCs w:val="18"/>
              </w:rPr>
            </w:pPr>
            <w:r>
              <w:rPr>
                <w:rFonts w:eastAsia="方正仿宋简体"/>
                <w:kern w:val="0"/>
                <w:sz w:val="18"/>
                <w:szCs w:val="18"/>
              </w:rPr>
              <w:t>支持日常清算</w:t>
            </w:r>
          </w:p>
        </w:tc>
      </w:tr>
      <w:tr>
        <w:tblPrEx>
          <w:tblCellMar>
            <w:top w:w="0" w:type="dxa"/>
            <w:left w:w="108" w:type="dxa"/>
            <w:bottom w:w="0" w:type="dxa"/>
            <w:right w:w="108" w:type="dxa"/>
          </w:tblCellMar>
        </w:tblPrEx>
        <w:trPr>
          <w:trHeight w:val="280" w:hRule="atLeast"/>
        </w:trPr>
        <w:tc>
          <w:tcPr>
            <w:tcW w:w="449" w:type="dxa"/>
            <w:tcBorders>
              <w:top w:val="nil"/>
              <w:left w:val="single" w:color="auto" w:sz="4" w:space="0"/>
              <w:bottom w:val="single" w:color="auto" w:sz="4" w:space="0"/>
              <w:right w:val="single" w:color="auto" w:sz="4" w:space="0"/>
            </w:tcBorders>
            <w:shd w:val="clear" w:color="auto" w:fill="auto"/>
            <w:noWrap/>
            <w:vAlign w:val="center"/>
          </w:tcPr>
          <w:p>
            <w:pPr>
              <w:widowControl/>
              <w:spacing w:line="320" w:lineRule="exact"/>
              <w:jc w:val="center"/>
              <w:rPr>
                <w:rFonts w:eastAsia="方正仿宋简体"/>
                <w:kern w:val="0"/>
                <w:sz w:val="18"/>
                <w:szCs w:val="18"/>
              </w:rPr>
            </w:pPr>
            <w:r>
              <w:rPr>
                <w:rFonts w:eastAsia="方正仿宋简体"/>
                <w:kern w:val="0"/>
                <w:sz w:val="18"/>
                <w:szCs w:val="18"/>
              </w:rPr>
              <w:t>33</w:t>
            </w:r>
          </w:p>
        </w:tc>
        <w:tc>
          <w:tcPr>
            <w:tcW w:w="1360" w:type="dxa"/>
            <w:vMerge w:val="continue"/>
            <w:tcBorders>
              <w:top w:val="nil"/>
              <w:left w:val="single" w:color="auto" w:sz="4" w:space="0"/>
              <w:bottom w:val="single" w:color="auto" w:sz="4" w:space="0"/>
              <w:right w:val="single" w:color="auto" w:sz="4" w:space="0"/>
            </w:tcBorders>
            <w:vAlign w:val="center"/>
          </w:tcPr>
          <w:p>
            <w:pPr>
              <w:widowControl/>
              <w:spacing w:line="320" w:lineRule="exact"/>
              <w:jc w:val="center"/>
              <w:rPr>
                <w:rFonts w:eastAsia="方正仿宋简体"/>
                <w:kern w:val="0"/>
                <w:sz w:val="18"/>
                <w:szCs w:val="18"/>
              </w:rPr>
            </w:pPr>
          </w:p>
        </w:tc>
        <w:tc>
          <w:tcPr>
            <w:tcW w:w="1437" w:type="dxa"/>
            <w:vMerge w:val="restart"/>
            <w:tcBorders>
              <w:top w:val="nil"/>
              <w:left w:val="single" w:color="auto" w:sz="4" w:space="0"/>
              <w:bottom w:val="single" w:color="auto" w:sz="4" w:space="0"/>
              <w:right w:val="single" w:color="auto" w:sz="4" w:space="0"/>
            </w:tcBorders>
            <w:shd w:val="clear" w:color="auto" w:fill="auto"/>
            <w:vAlign w:val="center"/>
          </w:tcPr>
          <w:p>
            <w:pPr>
              <w:widowControl/>
              <w:spacing w:line="320" w:lineRule="exact"/>
              <w:jc w:val="center"/>
              <w:rPr>
                <w:rFonts w:eastAsia="方正仿宋简体"/>
                <w:kern w:val="0"/>
                <w:sz w:val="18"/>
                <w:szCs w:val="18"/>
              </w:rPr>
            </w:pPr>
            <w:r>
              <w:rPr>
                <w:rFonts w:eastAsia="方正仿宋简体"/>
                <w:kern w:val="0"/>
                <w:sz w:val="18"/>
                <w:szCs w:val="18"/>
              </w:rPr>
              <w:t>（二）行权</w:t>
            </w:r>
          </w:p>
        </w:tc>
        <w:tc>
          <w:tcPr>
            <w:tcW w:w="5387" w:type="dxa"/>
            <w:gridSpan w:val="2"/>
            <w:tcBorders>
              <w:top w:val="nil"/>
              <w:left w:val="nil"/>
              <w:bottom w:val="single" w:color="auto" w:sz="4" w:space="0"/>
              <w:right w:val="single" w:color="auto" w:sz="4" w:space="0"/>
            </w:tcBorders>
            <w:shd w:val="clear" w:color="auto" w:fill="auto"/>
            <w:vAlign w:val="center"/>
          </w:tcPr>
          <w:p>
            <w:pPr>
              <w:widowControl/>
              <w:spacing w:line="320" w:lineRule="exact"/>
              <w:rPr>
                <w:rFonts w:eastAsia="方正仿宋简体"/>
                <w:kern w:val="0"/>
                <w:sz w:val="18"/>
                <w:szCs w:val="18"/>
              </w:rPr>
            </w:pPr>
            <w:r>
              <w:rPr>
                <w:rFonts w:eastAsia="方正仿宋简体"/>
                <w:kern w:val="0"/>
                <w:sz w:val="18"/>
                <w:szCs w:val="18"/>
              </w:rPr>
              <w:t>支持到期日行权处理流程</w:t>
            </w:r>
          </w:p>
        </w:tc>
      </w:tr>
      <w:tr>
        <w:tblPrEx>
          <w:tblCellMar>
            <w:top w:w="0" w:type="dxa"/>
            <w:left w:w="108" w:type="dxa"/>
            <w:bottom w:w="0" w:type="dxa"/>
            <w:right w:w="108" w:type="dxa"/>
          </w:tblCellMar>
        </w:tblPrEx>
        <w:trPr>
          <w:trHeight w:val="280" w:hRule="atLeast"/>
        </w:trPr>
        <w:tc>
          <w:tcPr>
            <w:tcW w:w="449" w:type="dxa"/>
            <w:tcBorders>
              <w:top w:val="nil"/>
              <w:left w:val="single" w:color="auto" w:sz="4" w:space="0"/>
              <w:bottom w:val="single" w:color="auto" w:sz="4" w:space="0"/>
              <w:right w:val="single" w:color="auto" w:sz="4" w:space="0"/>
            </w:tcBorders>
            <w:shd w:val="clear" w:color="auto" w:fill="auto"/>
            <w:noWrap/>
            <w:vAlign w:val="center"/>
          </w:tcPr>
          <w:p>
            <w:pPr>
              <w:widowControl/>
              <w:spacing w:line="320" w:lineRule="exact"/>
              <w:jc w:val="center"/>
              <w:rPr>
                <w:rFonts w:eastAsia="方正仿宋简体"/>
                <w:kern w:val="0"/>
                <w:sz w:val="18"/>
                <w:szCs w:val="18"/>
              </w:rPr>
            </w:pPr>
            <w:r>
              <w:rPr>
                <w:rFonts w:eastAsia="方正仿宋简体"/>
                <w:kern w:val="0"/>
                <w:sz w:val="18"/>
                <w:szCs w:val="18"/>
              </w:rPr>
              <w:t>34</w:t>
            </w:r>
          </w:p>
        </w:tc>
        <w:tc>
          <w:tcPr>
            <w:tcW w:w="1360" w:type="dxa"/>
            <w:vMerge w:val="continue"/>
            <w:tcBorders>
              <w:top w:val="nil"/>
              <w:left w:val="single" w:color="auto" w:sz="4" w:space="0"/>
              <w:bottom w:val="single" w:color="auto" w:sz="4" w:space="0"/>
              <w:right w:val="single" w:color="auto" w:sz="4" w:space="0"/>
            </w:tcBorders>
            <w:vAlign w:val="center"/>
          </w:tcPr>
          <w:p>
            <w:pPr>
              <w:widowControl/>
              <w:spacing w:line="320" w:lineRule="exact"/>
              <w:jc w:val="center"/>
              <w:rPr>
                <w:rFonts w:eastAsia="方正仿宋简体"/>
                <w:kern w:val="0"/>
                <w:sz w:val="18"/>
                <w:szCs w:val="18"/>
              </w:rPr>
            </w:pPr>
          </w:p>
        </w:tc>
        <w:tc>
          <w:tcPr>
            <w:tcW w:w="1437" w:type="dxa"/>
            <w:vMerge w:val="continue"/>
            <w:tcBorders>
              <w:top w:val="nil"/>
              <w:left w:val="single" w:color="auto" w:sz="4" w:space="0"/>
              <w:bottom w:val="single" w:color="auto" w:sz="4" w:space="0"/>
              <w:right w:val="single" w:color="auto" w:sz="4" w:space="0"/>
            </w:tcBorders>
            <w:vAlign w:val="center"/>
          </w:tcPr>
          <w:p>
            <w:pPr>
              <w:widowControl/>
              <w:spacing w:line="320" w:lineRule="exact"/>
              <w:jc w:val="center"/>
              <w:rPr>
                <w:rFonts w:eastAsia="方正仿宋简体"/>
                <w:kern w:val="0"/>
                <w:sz w:val="18"/>
                <w:szCs w:val="18"/>
              </w:rPr>
            </w:pPr>
          </w:p>
        </w:tc>
        <w:tc>
          <w:tcPr>
            <w:tcW w:w="5387" w:type="dxa"/>
            <w:gridSpan w:val="2"/>
            <w:tcBorders>
              <w:top w:val="nil"/>
              <w:left w:val="nil"/>
              <w:bottom w:val="single" w:color="auto" w:sz="4" w:space="0"/>
              <w:right w:val="single" w:color="auto" w:sz="4" w:space="0"/>
            </w:tcBorders>
            <w:shd w:val="clear" w:color="auto" w:fill="auto"/>
            <w:vAlign w:val="center"/>
          </w:tcPr>
          <w:p>
            <w:pPr>
              <w:widowControl/>
              <w:spacing w:line="320" w:lineRule="exact"/>
              <w:rPr>
                <w:rFonts w:eastAsia="方正仿宋简体"/>
                <w:kern w:val="0"/>
                <w:sz w:val="18"/>
                <w:szCs w:val="18"/>
              </w:rPr>
            </w:pPr>
            <w:r>
              <w:rPr>
                <w:rFonts w:eastAsia="方正仿宋简体"/>
                <w:kern w:val="0"/>
                <w:sz w:val="18"/>
                <w:szCs w:val="18"/>
              </w:rPr>
              <w:t>支持被指派行权处理流程</w:t>
            </w:r>
          </w:p>
        </w:tc>
      </w:tr>
      <w:tr>
        <w:tblPrEx>
          <w:tblCellMar>
            <w:top w:w="0" w:type="dxa"/>
            <w:left w:w="108" w:type="dxa"/>
            <w:bottom w:w="0" w:type="dxa"/>
            <w:right w:w="108" w:type="dxa"/>
          </w:tblCellMar>
        </w:tblPrEx>
        <w:trPr>
          <w:trHeight w:val="280" w:hRule="atLeast"/>
        </w:trPr>
        <w:tc>
          <w:tcPr>
            <w:tcW w:w="449" w:type="dxa"/>
            <w:tcBorders>
              <w:top w:val="nil"/>
              <w:left w:val="single" w:color="auto" w:sz="4" w:space="0"/>
              <w:bottom w:val="single" w:color="auto" w:sz="4" w:space="0"/>
              <w:right w:val="single" w:color="auto" w:sz="4" w:space="0"/>
            </w:tcBorders>
            <w:shd w:val="clear" w:color="auto" w:fill="auto"/>
            <w:noWrap/>
            <w:vAlign w:val="center"/>
          </w:tcPr>
          <w:p>
            <w:pPr>
              <w:widowControl/>
              <w:spacing w:line="320" w:lineRule="exact"/>
              <w:jc w:val="center"/>
              <w:rPr>
                <w:rFonts w:eastAsia="方正仿宋简体"/>
                <w:kern w:val="0"/>
                <w:sz w:val="18"/>
                <w:szCs w:val="18"/>
              </w:rPr>
            </w:pPr>
            <w:r>
              <w:rPr>
                <w:rFonts w:eastAsia="方正仿宋简体"/>
                <w:kern w:val="0"/>
                <w:sz w:val="18"/>
                <w:szCs w:val="18"/>
              </w:rPr>
              <w:t>35</w:t>
            </w:r>
          </w:p>
        </w:tc>
        <w:tc>
          <w:tcPr>
            <w:tcW w:w="1360" w:type="dxa"/>
            <w:vMerge w:val="continue"/>
            <w:tcBorders>
              <w:top w:val="nil"/>
              <w:left w:val="single" w:color="auto" w:sz="4" w:space="0"/>
              <w:bottom w:val="single" w:color="auto" w:sz="4" w:space="0"/>
              <w:right w:val="single" w:color="auto" w:sz="4" w:space="0"/>
            </w:tcBorders>
            <w:vAlign w:val="center"/>
          </w:tcPr>
          <w:p>
            <w:pPr>
              <w:widowControl/>
              <w:spacing w:line="320" w:lineRule="exact"/>
              <w:jc w:val="center"/>
              <w:rPr>
                <w:rFonts w:eastAsia="方正仿宋简体"/>
                <w:kern w:val="0"/>
                <w:sz w:val="18"/>
                <w:szCs w:val="18"/>
              </w:rPr>
            </w:pPr>
          </w:p>
        </w:tc>
        <w:tc>
          <w:tcPr>
            <w:tcW w:w="1437" w:type="dxa"/>
            <w:vMerge w:val="continue"/>
            <w:tcBorders>
              <w:top w:val="nil"/>
              <w:left w:val="single" w:color="auto" w:sz="4" w:space="0"/>
              <w:bottom w:val="single" w:color="auto" w:sz="4" w:space="0"/>
              <w:right w:val="single" w:color="auto" w:sz="4" w:space="0"/>
            </w:tcBorders>
            <w:vAlign w:val="center"/>
          </w:tcPr>
          <w:p>
            <w:pPr>
              <w:widowControl/>
              <w:spacing w:line="320" w:lineRule="exact"/>
              <w:jc w:val="center"/>
              <w:rPr>
                <w:rFonts w:eastAsia="方正仿宋简体"/>
                <w:kern w:val="0"/>
                <w:sz w:val="18"/>
                <w:szCs w:val="18"/>
              </w:rPr>
            </w:pPr>
          </w:p>
        </w:tc>
        <w:tc>
          <w:tcPr>
            <w:tcW w:w="5387" w:type="dxa"/>
            <w:gridSpan w:val="2"/>
            <w:tcBorders>
              <w:top w:val="nil"/>
              <w:left w:val="nil"/>
              <w:bottom w:val="single" w:color="auto" w:sz="4" w:space="0"/>
              <w:right w:val="single" w:color="auto" w:sz="4" w:space="0"/>
            </w:tcBorders>
            <w:shd w:val="clear" w:color="auto" w:fill="auto"/>
            <w:vAlign w:val="center"/>
          </w:tcPr>
          <w:p>
            <w:pPr>
              <w:widowControl/>
              <w:spacing w:line="320" w:lineRule="exact"/>
              <w:rPr>
                <w:rFonts w:eastAsia="方正仿宋简体"/>
                <w:kern w:val="0"/>
                <w:sz w:val="18"/>
                <w:szCs w:val="18"/>
              </w:rPr>
            </w:pPr>
            <w:r>
              <w:rPr>
                <w:rFonts w:eastAsia="方正仿宋简体"/>
                <w:kern w:val="0"/>
                <w:sz w:val="18"/>
                <w:szCs w:val="18"/>
              </w:rPr>
              <w:t>支持交割日行权交收流程</w:t>
            </w:r>
          </w:p>
        </w:tc>
      </w:tr>
      <w:tr>
        <w:tblPrEx>
          <w:tblCellMar>
            <w:top w:w="0" w:type="dxa"/>
            <w:left w:w="108" w:type="dxa"/>
            <w:bottom w:w="0" w:type="dxa"/>
            <w:right w:w="108" w:type="dxa"/>
          </w:tblCellMar>
        </w:tblPrEx>
        <w:trPr>
          <w:trHeight w:val="480" w:hRule="atLeast"/>
        </w:trPr>
        <w:tc>
          <w:tcPr>
            <w:tcW w:w="449" w:type="dxa"/>
            <w:tcBorders>
              <w:top w:val="nil"/>
              <w:left w:val="single" w:color="auto" w:sz="4" w:space="0"/>
              <w:bottom w:val="single" w:color="auto" w:sz="4" w:space="0"/>
              <w:right w:val="single" w:color="auto" w:sz="4" w:space="0"/>
            </w:tcBorders>
            <w:shd w:val="clear" w:color="auto" w:fill="auto"/>
            <w:noWrap/>
            <w:vAlign w:val="center"/>
          </w:tcPr>
          <w:p>
            <w:pPr>
              <w:widowControl/>
              <w:spacing w:line="320" w:lineRule="exact"/>
              <w:jc w:val="center"/>
              <w:rPr>
                <w:rFonts w:eastAsia="方正仿宋简体"/>
                <w:kern w:val="0"/>
                <w:sz w:val="18"/>
                <w:szCs w:val="18"/>
              </w:rPr>
            </w:pPr>
            <w:r>
              <w:rPr>
                <w:rFonts w:eastAsia="方正仿宋简体"/>
                <w:kern w:val="0"/>
                <w:sz w:val="18"/>
                <w:szCs w:val="18"/>
              </w:rPr>
              <w:t>36</w:t>
            </w:r>
          </w:p>
        </w:tc>
        <w:tc>
          <w:tcPr>
            <w:tcW w:w="1360" w:type="dxa"/>
            <w:vMerge w:val="restart"/>
            <w:tcBorders>
              <w:top w:val="nil"/>
              <w:left w:val="single" w:color="auto" w:sz="4" w:space="0"/>
              <w:bottom w:val="single" w:color="auto" w:sz="4" w:space="0"/>
              <w:right w:val="single" w:color="auto" w:sz="4" w:space="0"/>
            </w:tcBorders>
            <w:shd w:val="clear" w:color="auto" w:fill="auto"/>
            <w:vAlign w:val="center"/>
          </w:tcPr>
          <w:p>
            <w:pPr>
              <w:widowControl/>
              <w:spacing w:line="320" w:lineRule="exact"/>
              <w:jc w:val="center"/>
              <w:rPr>
                <w:rFonts w:eastAsia="方正仿宋简体"/>
                <w:kern w:val="0"/>
                <w:sz w:val="18"/>
                <w:szCs w:val="18"/>
              </w:rPr>
            </w:pPr>
            <w:r>
              <w:rPr>
                <w:rFonts w:eastAsia="方正仿宋简体"/>
                <w:kern w:val="0"/>
                <w:sz w:val="18"/>
                <w:szCs w:val="18"/>
              </w:rPr>
              <w:t>五、风险控制</w:t>
            </w:r>
          </w:p>
        </w:tc>
        <w:tc>
          <w:tcPr>
            <w:tcW w:w="1437" w:type="dxa"/>
            <w:vMerge w:val="restart"/>
            <w:tcBorders>
              <w:top w:val="nil"/>
              <w:left w:val="single" w:color="auto" w:sz="4" w:space="0"/>
              <w:bottom w:val="single" w:color="auto" w:sz="4" w:space="0"/>
              <w:right w:val="single" w:color="auto" w:sz="4" w:space="0"/>
            </w:tcBorders>
            <w:shd w:val="clear" w:color="auto" w:fill="auto"/>
            <w:vAlign w:val="center"/>
          </w:tcPr>
          <w:p>
            <w:pPr>
              <w:widowControl/>
              <w:spacing w:line="320" w:lineRule="exact"/>
              <w:jc w:val="center"/>
              <w:rPr>
                <w:rFonts w:eastAsia="方正仿宋简体"/>
                <w:kern w:val="0"/>
                <w:sz w:val="18"/>
                <w:szCs w:val="18"/>
              </w:rPr>
            </w:pPr>
            <w:r>
              <w:rPr>
                <w:rFonts w:eastAsia="方正仿宋简体"/>
                <w:kern w:val="0"/>
                <w:sz w:val="18"/>
                <w:szCs w:val="18"/>
              </w:rPr>
              <w:t>（一）制度与组织架构</w:t>
            </w:r>
          </w:p>
        </w:tc>
        <w:tc>
          <w:tcPr>
            <w:tcW w:w="5387" w:type="dxa"/>
            <w:gridSpan w:val="2"/>
            <w:tcBorders>
              <w:top w:val="nil"/>
              <w:left w:val="nil"/>
              <w:bottom w:val="single" w:color="auto" w:sz="4" w:space="0"/>
              <w:right w:val="single" w:color="auto" w:sz="4" w:space="0"/>
            </w:tcBorders>
            <w:shd w:val="clear" w:color="auto" w:fill="auto"/>
            <w:vAlign w:val="center"/>
          </w:tcPr>
          <w:p>
            <w:pPr>
              <w:widowControl/>
              <w:spacing w:line="320" w:lineRule="exact"/>
              <w:rPr>
                <w:rFonts w:eastAsia="方正仿宋简体"/>
                <w:kern w:val="0"/>
                <w:sz w:val="18"/>
                <w:szCs w:val="18"/>
              </w:rPr>
            </w:pPr>
            <w:r>
              <w:rPr>
                <w:rFonts w:eastAsia="方正仿宋简体"/>
                <w:kern w:val="0"/>
                <w:sz w:val="18"/>
                <w:szCs w:val="18"/>
              </w:rPr>
              <w:t>建立清晰、相对独立的期权业务公司风险控制组织架构</w:t>
            </w:r>
          </w:p>
        </w:tc>
      </w:tr>
      <w:tr>
        <w:tblPrEx>
          <w:tblCellMar>
            <w:top w:w="0" w:type="dxa"/>
            <w:left w:w="108" w:type="dxa"/>
            <w:bottom w:w="0" w:type="dxa"/>
            <w:right w:w="108" w:type="dxa"/>
          </w:tblCellMar>
        </w:tblPrEx>
        <w:trPr>
          <w:trHeight w:val="280" w:hRule="atLeast"/>
        </w:trPr>
        <w:tc>
          <w:tcPr>
            <w:tcW w:w="449" w:type="dxa"/>
            <w:tcBorders>
              <w:top w:val="nil"/>
              <w:left w:val="single" w:color="auto" w:sz="4" w:space="0"/>
              <w:bottom w:val="single" w:color="auto" w:sz="4" w:space="0"/>
              <w:right w:val="single" w:color="auto" w:sz="4" w:space="0"/>
            </w:tcBorders>
            <w:shd w:val="clear" w:color="auto" w:fill="auto"/>
            <w:noWrap/>
            <w:vAlign w:val="center"/>
          </w:tcPr>
          <w:p>
            <w:pPr>
              <w:widowControl/>
              <w:spacing w:line="320" w:lineRule="exact"/>
              <w:jc w:val="center"/>
              <w:rPr>
                <w:rFonts w:eastAsia="方正仿宋简体"/>
                <w:kern w:val="0"/>
                <w:sz w:val="18"/>
                <w:szCs w:val="18"/>
              </w:rPr>
            </w:pPr>
            <w:r>
              <w:rPr>
                <w:rFonts w:eastAsia="方正仿宋简体"/>
                <w:kern w:val="0"/>
                <w:sz w:val="18"/>
                <w:szCs w:val="18"/>
              </w:rPr>
              <w:t>37</w:t>
            </w:r>
          </w:p>
        </w:tc>
        <w:tc>
          <w:tcPr>
            <w:tcW w:w="1360" w:type="dxa"/>
            <w:vMerge w:val="continue"/>
            <w:tcBorders>
              <w:top w:val="nil"/>
              <w:left w:val="single" w:color="auto" w:sz="4" w:space="0"/>
              <w:bottom w:val="single" w:color="auto" w:sz="4" w:space="0"/>
              <w:right w:val="single" w:color="auto" w:sz="4" w:space="0"/>
            </w:tcBorders>
            <w:vAlign w:val="center"/>
          </w:tcPr>
          <w:p>
            <w:pPr>
              <w:widowControl/>
              <w:spacing w:line="320" w:lineRule="exact"/>
              <w:jc w:val="center"/>
              <w:rPr>
                <w:rFonts w:eastAsia="方正仿宋简体"/>
                <w:kern w:val="0"/>
                <w:sz w:val="18"/>
                <w:szCs w:val="18"/>
              </w:rPr>
            </w:pPr>
          </w:p>
        </w:tc>
        <w:tc>
          <w:tcPr>
            <w:tcW w:w="1437" w:type="dxa"/>
            <w:vMerge w:val="continue"/>
            <w:tcBorders>
              <w:top w:val="nil"/>
              <w:left w:val="single" w:color="auto" w:sz="4" w:space="0"/>
              <w:bottom w:val="single" w:color="auto" w:sz="4" w:space="0"/>
              <w:right w:val="single" w:color="auto" w:sz="4" w:space="0"/>
            </w:tcBorders>
            <w:vAlign w:val="center"/>
          </w:tcPr>
          <w:p>
            <w:pPr>
              <w:widowControl/>
              <w:spacing w:line="320" w:lineRule="exact"/>
              <w:jc w:val="center"/>
              <w:rPr>
                <w:rFonts w:eastAsia="方正仿宋简体"/>
                <w:kern w:val="0"/>
                <w:sz w:val="18"/>
                <w:szCs w:val="18"/>
              </w:rPr>
            </w:pPr>
          </w:p>
        </w:tc>
        <w:tc>
          <w:tcPr>
            <w:tcW w:w="5387" w:type="dxa"/>
            <w:gridSpan w:val="2"/>
            <w:tcBorders>
              <w:top w:val="nil"/>
              <w:left w:val="nil"/>
              <w:bottom w:val="single" w:color="auto" w:sz="4" w:space="0"/>
              <w:right w:val="single" w:color="auto" w:sz="4" w:space="0"/>
            </w:tcBorders>
            <w:shd w:val="clear" w:color="auto" w:fill="auto"/>
            <w:vAlign w:val="center"/>
          </w:tcPr>
          <w:p>
            <w:pPr>
              <w:widowControl/>
              <w:spacing w:line="320" w:lineRule="exact"/>
              <w:rPr>
                <w:rFonts w:eastAsia="方正仿宋简体"/>
                <w:kern w:val="0"/>
                <w:sz w:val="18"/>
                <w:szCs w:val="18"/>
              </w:rPr>
            </w:pPr>
            <w:r>
              <w:rPr>
                <w:rFonts w:eastAsia="方正仿宋简体"/>
                <w:kern w:val="0"/>
                <w:sz w:val="18"/>
                <w:szCs w:val="18"/>
              </w:rPr>
              <w:t>明确各级风控执行部门的职能和责任</w:t>
            </w:r>
          </w:p>
        </w:tc>
      </w:tr>
      <w:tr>
        <w:tblPrEx>
          <w:tblCellMar>
            <w:top w:w="0" w:type="dxa"/>
            <w:left w:w="108" w:type="dxa"/>
            <w:bottom w:w="0" w:type="dxa"/>
            <w:right w:w="108" w:type="dxa"/>
          </w:tblCellMar>
        </w:tblPrEx>
        <w:trPr>
          <w:trHeight w:val="480" w:hRule="atLeast"/>
        </w:trPr>
        <w:tc>
          <w:tcPr>
            <w:tcW w:w="449" w:type="dxa"/>
            <w:tcBorders>
              <w:top w:val="nil"/>
              <w:left w:val="single" w:color="auto" w:sz="4" w:space="0"/>
              <w:bottom w:val="single" w:color="auto" w:sz="4" w:space="0"/>
              <w:right w:val="single" w:color="auto" w:sz="4" w:space="0"/>
            </w:tcBorders>
            <w:shd w:val="clear" w:color="auto" w:fill="auto"/>
            <w:noWrap/>
            <w:vAlign w:val="center"/>
          </w:tcPr>
          <w:p>
            <w:pPr>
              <w:widowControl/>
              <w:spacing w:line="320" w:lineRule="exact"/>
              <w:jc w:val="center"/>
              <w:rPr>
                <w:rFonts w:eastAsia="方正仿宋简体"/>
                <w:kern w:val="0"/>
                <w:sz w:val="18"/>
                <w:szCs w:val="18"/>
              </w:rPr>
            </w:pPr>
            <w:r>
              <w:rPr>
                <w:rFonts w:eastAsia="方正仿宋简体"/>
                <w:kern w:val="0"/>
                <w:sz w:val="18"/>
                <w:szCs w:val="18"/>
              </w:rPr>
              <w:t>38</w:t>
            </w:r>
          </w:p>
        </w:tc>
        <w:tc>
          <w:tcPr>
            <w:tcW w:w="1360" w:type="dxa"/>
            <w:vMerge w:val="continue"/>
            <w:tcBorders>
              <w:top w:val="nil"/>
              <w:left w:val="single" w:color="auto" w:sz="4" w:space="0"/>
              <w:bottom w:val="single" w:color="auto" w:sz="4" w:space="0"/>
              <w:right w:val="single" w:color="auto" w:sz="4" w:space="0"/>
            </w:tcBorders>
            <w:vAlign w:val="center"/>
          </w:tcPr>
          <w:p>
            <w:pPr>
              <w:widowControl/>
              <w:spacing w:line="320" w:lineRule="exact"/>
              <w:jc w:val="center"/>
              <w:rPr>
                <w:rFonts w:eastAsia="方正仿宋简体"/>
                <w:kern w:val="0"/>
                <w:sz w:val="18"/>
                <w:szCs w:val="18"/>
              </w:rPr>
            </w:pPr>
          </w:p>
        </w:tc>
        <w:tc>
          <w:tcPr>
            <w:tcW w:w="1437" w:type="dxa"/>
            <w:vMerge w:val="continue"/>
            <w:tcBorders>
              <w:top w:val="nil"/>
              <w:left w:val="single" w:color="auto" w:sz="4" w:space="0"/>
              <w:bottom w:val="single" w:color="auto" w:sz="4" w:space="0"/>
              <w:right w:val="single" w:color="auto" w:sz="4" w:space="0"/>
            </w:tcBorders>
            <w:vAlign w:val="center"/>
          </w:tcPr>
          <w:p>
            <w:pPr>
              <w:widowControl/>
              <w:spacing w:line="320" w:lineRule="exact"/>
              <w:jc w:val="center"/>
              <w:rPr>
                <w:rFonts w:eastAsia="方正仿宋简体"/>
                <w:kern w:val="0"/>
                <w:sz w:val="18"/>
                <w:szCs w:val="18"/>
              </w:rPr>
            </w:pPr>
          </w:p>
        </w:tc>
        <w:tc>
          <w:tcPr>
            <w:tcW w:w="5387" w:type="dxa"/>
            <w:gridSpan w:val="2"/>
            <w:tcBorders>
              <w:top w:val="nil"/>
              <w:left w:val="nil"/>
              <w:bottom w:val="single" w:color="auto" w:sz="4" w:space="0"/>
              <w:right w:val="single" w:color="auto" w:sz="4" w:space="0"/>
            </w:tcBorders>
            <w:shd w:val="clear" w:color="auto" w:fill="auto"/>
            <w:vAlign w:val="center"/>
          </w:tcPr>
          <w:p>
            <w:pPr>
              <w:widowControl/>
              <w:spacing w:line="320" w:lineRule="exact"/>
              <w:rPr>
                <w:rFonts w:eastAsia="方正仿宋简体"/>
                <w:kern w:val="0"/>
                <w:sz w:val="18"/>
                <w:szCs w:val="18"/>
              </w:rPr>
            </w:pPr>
            <w:r>
              <w:rPr>
                <w:rFonts w:eastAsia="方正仿宋简体"/>
                <w:kern w:val="0"/>
                <w:sz w:val="18"/>
                <w:szCs w:val="18"/>
              </w:rPr>
              <w:t>制定了与现货适当的隔离机制，保证现货交易安全</w:t>
            </w:r>
          </w:p>
        </w:tc>
      </w:tr>
      <w:tr>
        <w:tblPrEx>
          <w:tblCellMar>
            <w:top w:w="0" w:type="dxa"/>
            <w:left w:w="108" w:type="dxa"/>
            <w:bottom w:w="0" w:type="dxa"/>
            <w:right w:w="108" w:type="dxa"/>
          </w:tblCellMar>
        </w:tblPrEx>
        <w:trPr>
          <w:trHeight w:val="280" w:hRule="atLeast"/>
        </w:trPr>
        <w:tc>
          <w:tcPr>
            <w:tcW w:w="449" w:type="dxa"/>
            <w:tcBorders>
              <w:top w:val="nil"/>
              <w:left w:val="single" w:color="auto" w:sz="4" w:space="0"/>
              <w:bottom w:val="single" w:color="auto" w:sz="4" w:space="0"/>
              <w:right w:val="single" w:color="auto" w:sz="4" w:space="0"/>
            </w:tcBorders>
            <w:shd w:val="clear" w:color="auto" w:fill="auto"/>
            <w:noWrap/>
            <w:vAlign w:val="center"/>
          </w:tcPr>
          <w:p>
            <w:pPr>
              <w:widowControl/>
              <w:spacing w:line="320" w:lineRule="exact"/>
              <w:jc w:val="center"/>
              <w:rPr>
                <w:rFonts w:eastAsia="方正仿宋简体"/>
                <w:kern w:val="0"/>
                <w:sz w:val="18"/>
                <w:szCs w:val="18"/>
              </w:rPr>
            </w:pPr>
            <w:r>
              <w:rPr>
                <w:rFonts w:eastAsia="方正仿宋简体"/>
                <w:kern w:val="0"/>
                <w:sz w:val="18"/>
                <w:szCs w:val="18"/>
              </w:rPr>
              <w:t>39</w:t>
            </w:r>
          </w:p>
        </w:tc>
        <w:tc>
          <w:tcPr>
            <w:tcW w:w="1360" w:type="dxa"/>
            <w:vMerge w:val="continue"/>
            <w:tcBorders>
              <w:top w:val="nil"/>
              <w:left w:val="single" w:color="auto" w:sz="4" w:space="0"/>
              <w:bottom w:val="single" w:color="auto" w:sz="4" w:space="0"/>
              <w:right w:val="single" w:color="auto" w:sz="4" w:space="0"/>
            </w:tcBorders>
            <w:vAlign w:val="center"/>
          </w:tcPr>
          <w:p>
            <w:pPr>
              <w:widowControl/>
              <w:spacing w:line="320" w:lineRule="exact"/>
              <w:jc w:val="center"/>
              <w:rPr>
                <w:rFonts w:eastAsia="方正仿宋简体"/>
                <w:kern w:val="0"/>
                <w:sz w:val="18"/>
                <w:szCs w:val="18"/>
              </w:rPr>
            </w:pPr>
          </w:p>
        </w:tc>
        <w:tc>
          <w:tcPr>
            <w:tcW w:w="1437" w:type="dxa"/>
            <w:vMerge w:val="continue"/>
            <w:tcBorders>
              <w:top w:val="nil"/>
              <w:left w:val="single" w:color="auto" w:sz="4" w:space="0"/>
              <w:bottom w:val="single" w:color="auto" w:sz="4" w:space="0"/>
              <w:right w:val="single" w:color="auto" w:sz="4" w:space="0"/>
            </w:tcBorders>
            <w:vAlign w:val="center"/>
          </w:tcPr>
          <w:p>
            <w:pPr>
              <w:widowControl/>
              <w:spacing w:line="320" w:lineRule="exact"/>
              <w:jc w:val="center"/>
              <w:rPr>
                <w:rFonts w:eastAsia="方正仿宋简体"/>
                <w:kern w:val="0"/>
                <w:sz w:val="18"/>
                <w:szCs w:val="18"/>
              </w:rPr>
            </w:pPr>
          </w:p>
        </w:tc>
        <w:tc>
          <w:tcPr>
            <w:tcW w:w="5387" w:type="dxa"/>
            <w:gridSpan w:val="2"/>
            <w:tcBorders>
              <w:top w:val="nil"/>
              <w:left w:val="nil"/>
              <w:bottom w:val="single" w:color="auto" w:sz="4" w:space="0"/>
              <w:right w:val="single" w:color="auto" w:sz="4" w:space="0"/>
            </w:tcBorders>
            <w:shd w:val="clear" w:color="auto" w:fill="auto"/>
            <w:vAlign w:val="center"/>
          </w:tcPr>
          <w:p>
            <w:pPr>
              <w:widowControl/>
              <w:spacing w:line="320" w:lineRule="exact"/>
              <w:rPr>
                <w:rFonts w:eastAsia="方正仿宋简体"/>
                <w:kern w:val="0"/>
                <w:sz w:val="18"/>
                <w:szCs w:val="18"/>
              </w:rPr>
            </w:pPr>
            <w:r>
              <w:rPr>
                <w:rFonts w:eastAsia="方正仿宋简体"/>
                <w:kern w:val="0"/>
                <w:sz w:val="18"/>
                <w:szCs w:val="18"/>
              </w:rPr>
              <w:t>建立期权业务逐日盯市制度</w:t>
            </w:r>
          </w:p>
        </w:tc>
      </w:tr>
      <w:tr>
        <w:tblPrEx>
          <w:tblCellMar>
            <w:top w:w="0" w:type="dxa"/>
            <w:left w:w="108" w:type="dxa"/>
            <w:bottom w:w="0" w:type="dxa"/>
            <w:right w:w="108" w:type="dxa"/>
          </w:tblCellMar>
        </w:tblPrEx>
        <w:trPr>
          <w:trHeight w:val="280" w:hRule="atLeast"/>
        </w:trPr>
        <w:tc>
          <w:tcPr>
            <w:tcW w:w="449" w:type="dxa"/>
            <w:tcBorders>
              <w:top w:val="nil"/>
              <w:left w:val="single" w:color="auto" w:sz="4" w:space="0"/>
              <w:bottom w:val="single" w:color="auto" w:sz="4" w:space="0"/>
              <w:right w:val="single" w:color="auto" w:sz="4" w:space="0"/>
            </w:tcBorders>
            <w:shd w:val="clear" w:color="auto" w:fill="auto"/>
            <w:noWrap/>
            <w:vAlign w:val="center"/>
          </w:tcPr>
          <w:p>
            <w:pPr>
              <w:widowControl/>
              <w:spacing w:line="320" w:lineRule="exact"/>
              <w:jc w:val="center"/>
              <w:rPr>
                <w:rFonts w:eastAsia="方正仿宋简体"/>
                <w:kern w:val="0"/>
                <w:sz w:val="18"/>
                <w:szCs w:val="18"/>
              </w:rPr>
            </w:pPr>
            <w:r>
              <w:rPr>
                <w:rFonts w:eastAsia="方正仿宋简体"/>
                <w:kern w:val="0"/>
                <w:sz w:val="18"/>
                <w:szCs w:val="18"/>
              </w:rPr>
              <w:t>40</w:t>
            </w:r>
          </w:p>
        </w:tc>
        <w:tc>
          <w:tcPr>
            <w:tcW w:w="1360" w:type="dxa"/>
            <w:vMerge w:val="continue"/>
            <w:tcBorders>
              <w:top w:val="nil"/>
              <w:left w:val="single" w:color="auto" w:sz="4" w:space="0"/>
              <w:bottom w:val="single" w:color="auto" w:sz="4" w:space="0"/>
              <w:right w:val="single" w:color="auto" w:sz="4" w:space="0"/>
            </w:tcBorders>
            <w:vAlign w:val="center"/>
          </w:tcPr>
          <w:p>
            <w:pPr>
              <w:widowControl/>
              <w:spacing w:line="320" w:lineRule="exact"/>
              <w:jc w:val="center"/>
              <w:rPr>
                <w:rFonts w:eastAsia="方正仿宋简体"/>
                <w:kern w:val="0"/>
                <w:sz w:val="18"/>
                <w:szCs w:val="18"/>
              </w:rPr>
            </w:pPr>
          </w:p>
        </w:tc>
        <w:tc>
          <w:tcPr>
            <w:tcW w:w="1437" w:type="dxa"/>
            <w:vMerge w:val="continue"/>
            <w:tcBorders>
              <w:top w:val="nil"/>
              <w:left w:val="single" w:color="auto" w:sz="4" w:space="0"/>
              <w:bottom w:val="single" w:color="auto" w:sz="4" w:space="0"/>
              <w:right w:val="single" w:color="auto" w:sz="4" w:space="0"/>
            </w:tcBorders>
            <w:vAlign w:val="center"/>
          </w:tcPr>
          <w:p>
            <w:pPr>
              <w:widowControl/>
              <w:spacing w:line="320" w:lineRule="exact"/>
              <w:jc w:val="center"/>
              <w:rPr>
                <w:rFonts w:eastAsia="方正仿宋简体"/>
                <w:kern w:val="0"/>
                <w:sz w:val="18"/>
                <w:szCs w:val="18"/>
              </w:rPr>
            </w:pPr>
          </w:p>
        </w:tc>
        <w:tc>
          <w:tcPr>
            <w:tcW w:w="5387" w:type="dxa"/>
            <w:gridSpan w:val="2"/>
            <w:tcBorders>
              <w:top w:val="nil"/>
              <w:left w:val="nil"/>
              <w:bottom w:val="single" w:color="auto" w:sz="4" w:space="0"/>
              <w:right w:val="single" w:color="auto" w:sz="4" w:space="0"/>
            </w:tcBorders>
            <w:shd w:val="clear" w:color="auto" w:fill="auto"/>
            <w:vAlign w:val="center"/>
          </w:tcPr>
          <w:p>
            <w:pPr>
              <w:widowControl/>
              <w:spacing w:line="320" w:lineRule="exact"/>
              <w:rPr>
                <w:rFonts w:eastAsia="方正仿宋简体"/>
                <w:kern w:val="0"/>
                <w:sz w:val="18"/>
                <w:szCs w:val="18"/>
              </w:rPr>
            </w:pPr>
            <w:r>
              <w:rPr>
                <w:rFonts w:eastAsia="方正仿宋简体"/>
                <w:kern w:val="0"/>
                <w:sz w:val="18"/>
                <w:szCs w:val="18"/>
              </w:rPr>
              <w:t>建立期权业务预警制度</w:t>
            </w:r>
          </w:p>
        </w:tc>
      </w:tr>
      <w:tr>
        <w:tblPrEx>
          <w:tblCellMar>
            <w:top w:w="0" w:type="dxa"/>
            <w:left w:w="108" w:type="dxa"/>
            <w:bottom w:w="0" w:type="dxa"/>
            <w:right w:w="108" w:type="dxa"/>
          </w:tblCellMar>
        </w:tblPrEx>
        <w:trPr>
          <w:trHeight w:val="280" w:hRule="atLeast"/>
        </w:trPr>
        <w:tc>
          <w:tcPr>
            <w:tcW w:w="449" w:type="dxa"/>
            <w:tcBorders>
              <w:top w:val="nil"/>
              <w:left w:val="single" w:color="auto" w:sz="4" w:space="0"/>
              <w:bottom w:val="single" w:color="auto" w:sz="4" w:space="0"/>
              <w:right w:val="single" w:color="auto" w:sz="4" w:space="0"/>
            </w:tcBorders>
            <w:shd w:val="clear" w:color="auto" w:fill="auto"/>
            <w:noWrap/>
            <w:vAlign w:val="center"/>
          </w:tcPr>
          <w:p>
            <w:pPr>
              <w:widowControl/>
              <w:spacing w:line="320" w:lineRule="exact"/>
              <w:jc w:val="center"/>
              <w:rPr>
                <w:rFonts w:eastAsia="方正仿宋简体"/>
                <w:kern w:val="0"/>
                <w:sz w:val="18"/>
                <w:szCs w:val="18"/>
              </w:rPr>
            </w:pPr>
            <w:r>
              <w:rPr>
                <w:rFonts w:eastAsia="方正仿宋简体"/>
                <w:kern w:val="0"/>
                <w:sz w:val="18"/>
                <w:szCs w:val="18"/>
              </w:rPr>
              <w:t>41</w:t>
            </w:r>
          </w:p>
        </w:tc>
        <w:tc>
          <w:tcPr>
            <w:tcW w:w="1360" w:type="dxa"/>
            <w:vMerge w:val="continue"/>
            <w:tcBorders>
              <w:top w:val="nil"/>
              <w:left w:val="single" w:color="auto" w:sz="4" w:space="0"/>
              <w:bottom w:val="single" w:color="auto" w:sz="4" w:space="0"/>
              <w:right w:val="single" w:color="auto" w:sz="4" w:space="0"/>
            </w:tcBorders>
            <w:vAlign w:val="center"/>
          </w:tcPr>
          <w:p>
            <w:pPr>
              <w:widowControl/>
              <w:spacing w:line="320" w:lineRule="exact"/>
              <w:jc w:val="center"/>
              <w:rPr>
                <w:rFonts w:eastAsia="方正仿宋简体"/>
                <w:kern w:val="0"/>
                <w:sz w:val="18"/>
                <w:szCs w:val="18"/>
              </w:rPr>
            </w:pPr>
          </w:p>
        </w:tc>
        <w:tc>
          <w:tcPr>
            <w:tcW w:w="1437" w:type="dxa"/>
            <w:vMerge w:val="continue"/>
            <w:tcBorders>
              <w:top w:val="nil"/>
              <w:left w:val="single" w:color="auto" w:sz="4" w:space="0"/>
              <w:bottom w:val="single" w:color="auto" w:sz="4" w:space="0"/>
              <w:right w:val="single" w:color="auto" w:sz="4" w:space="0"/>
            </w:tcBorders>
            <w:vAlign w:val="center"/>
          </w:tcPr>
          <w:p>
            <w:pPr>
              <w:widowControl/>
              <w:spacing w:line="320" w:lineRule="exact"/>
              <w:jc w:val="center"/>
              <w:rPr>
                <w:rFonts w:eastAsia="方正仿宋简体"/>
                <w:kern w:val="0"/>
                <w:sz w:val="18"/>
                <w:szCs w:val="18"/>
              </w:rPr>
            </w:pPr>
          </w:p>
        </w:tc>
        <w:tc>
          <w:tcPr>
            <w:tcW w:w="5387" w:type="dxa"/>
            <w:gridSpan w:val="2"/>
            <w:tcBorders>
              <w:top w:val="nil"/>
              <w:left w:val="nil"/>
              <w:bottom w:val="single" w:color="auto" w:sz="4" w:space="0"/>
              <w:right w:val="single" w:color="auto" w:sz="4" w:space="0"/>
            </w:tcBorders>
            <w:shd w:val="clear" w:color="auto" w:fill="auto"/>
            <w:vAlign w:val="center"/>
          </w:tcPr>
          <w:p>
            <w:pPr>
              <w:widowControl/>
              <w:spacing w:line="320" w:lineRule="exact"/>
              <w:rPr>
                <w:rFonts w:eastAsia="方正仿宋简体"/>
                <w:kern w:val="0"/>
                <w:sz w:val="18"/>
                <w:szCs w:val="18"/>
              </w:rPr>
            </w:pPr>
            <w:r>
              <w:rPr>
                <w:rFonts w:eastAsia="方正仿宋简体"/>
                <w:kern w:val="0"/>
                <w:sz w:val="18"/>
                <w:szCs w:val="18"/>
              </w:rPr>
              <w:t>建立强行平仓制度</w:t>
            </w:r>
          </w:p>
        </w:tc>
      </w:tr>
      <w:tr>
        <w:tblPrEx>
          <w:tblCellMar>
            <w:top w:w="0" w:type="dxa"/>
            <w:left w:w="108" w:type="dxa"/>
            <w:bottom w:w="0" w:type="dxa"/>
            <w:right w:w="108" w:type="dxa"/>
          </w:tblCellMar>
        </w:tblPrEx>
        <w:trPr>
          <w:trHeight w:val="280" w:hRule="atLeast"/>
        </w:trPr>
        <w:tc>
          <w:tcPr>
            <w:tcW w:w="449" w:type="dxa"/>
            <w:tcBorders>
              <w:top w:val="nil"/>
              <w:left w:val="single" w:color="auto" w:sz="4" w:space="0"/>
              <w:bottom w:val="single" w:color="auto" w:sz="4" w:space="0"/>
              <w:right w:val="single" w:color="auto" w:sz="4" w:space="0"/>
            </w:tcBorders>
            <w:shd w:val="clear" w:color="auto" w:fill="auto"/>
            <w:noWrap/>
            <w:vAlign w:val="center"/>
          </w:tcPr>
          <w:p>
            <w:pPr>
              <w:widowControl/>
              <w:spacing w:line="320" w:lineRule="exact"/>
              <w:jc w:val="center"/>
              <w:rPr>
                <w:rFonts w:eastAsia="方正仿宋简体"/>
                <w:kern w:val="0"/>
                <w:sz w:val="18"/>
                <w:szCs w:val="18"/>
              </w:rPr>
            </w:pPr>
            <w:r>
              <w:rPr>
                <w:rFonts w:eastAsia="方正仿宋简体"/>
                <w:kern w:val="0"/>
                <w:sz w:val="18"/>
                <w:szCs w:val="18"/>
              </w:rPr>
              <w:t>42</w:t>
            </w:r>
          </w:p>
        </w:tc>
        <w:tc>
          <w:tcPr>
            <w:tcW w:w="1360" w:type="dxa"/>
            <w:vMerge w:val="continue"/>
            <w:tcBorders>
              <w:top w:val="nil"/>
              <w:left w:val="single" w:color="auto" w:sz="4" w:space="0"/>
              <w:bottom w:val="single" w:color="auto" w:sz="4" w:space="0"/>
              <w:right w:val="single" w:color="auto" w:sz="4" w:space="0"/>
            </w:tcBorders>
            <w:vAlign w:val="center"/>
          </w:tcPr>
          <w:p>
            <w:pPr>
              <w:widowControl/>
              <w:spacing w:line="320" w:lineRule="exact"/>
              <w:jc w:val="center"/>
              <w:rPr>
                <w:rFonts w:eastAsia="方正仿宋简体"/>
                <w:kern w:val="0"/>
                <w:sz w:val="18"/>
                <w:szCs w:val="18"/>
              </w:rPr>
            </w:pPr>
          </w:p>
        </w:tc>
        <w:tc>
          <w:tcPr>
            <w:tcW w:w="1437" w:type="dxa"/>
            <w:vMerge w:val="continue"/>
            <w:tcBorders>
              <w:top w:val="nil"/>
              <w:left w:val="single" w:color="auto" w:sz="4" w:space="0"/>
              <w:bottom w:val="single" w:color="auto" w:sz="4" w:space="0"/>
              <w:right w:val="single" w:color="auto" w:sz="4" w:space="0"/>
            </w:tcBorders>
            <w:vAlign w:val="center"/>
          </w:tcPr>
          <w:p>
            <w:pPr>
              <w:widowControl/>
              <w:spacing w:line="320" w:lineRule="exact"/>
              <w:jc w:val="center"/>
              <w:rPr>
                <w:rFonts w:eastAsia="方正仿宋简体"/>
                <w:kern w:val="0"/>
                <w:sz w:val="18"/>
                <w:szCs w:val="18"/>
              </w:rPr>
            </w:pPr>
          </w:p>
        </w:tc>
        <w:tc>
          <w:tcPr>
            <w:tcW w:w="5387" w:type="dxa"/>
            <w:gridSpan w:val="2"/>
            <w:tcBorders>
              <w:top w:val="nil"/>
              <w:left w:val="nil"/>
              <w:bottom w:val="single" w:color="auto" w:sz="4" w:space="0"/>
              <w:right w:val="single" w:color="auto" w:sz="4" w:space="0"/>
            </w:tcBorders>
            <w:shd w:val="clear" w:color="auto" w:fill="auto"/>
            <w:vAlign w:val="center"/>
          </w:tcPr>
          <w:p>
            <w:pPr>
              <w:widowControl/>
              <w:spacing w:line="320" w:lineRule="exact"/>
              <w:rPr>
                <w:rFonts w:eastAsia="方正仿宋简体"/>
                <w:kern w:val="0"/>
                <w:sz w:val="18"/>
                <w:szCs w:val="18"/>
              </w:rPr>
            </w:pPr>
            <w:r>
              <w:rPr>
                <w:rFonts w:eastAsia="方正仿宋简体"/>
                <w:kern w:val="0"/>
                <w:sz w:val="18"/>
                <w:szCs w:val="18"/>
              </w:rPr>
              <w:t>建立大户报告制度</w:t>
            </w:r>
          </w:p>
        </w:tc>
      </w:tr>
      <w:tr>
        <w:tblPrEx>
          <w:tblCellMar>
            <w:top w:w="0" w:type="dxa"/>
            <w:left w:w="108" w:type="dxa"/>
            <w:bottom w:w="0" w:type="dxa"/>
            <w:right w:w="108" w:type="dxa"/>
          </w:tblCellMar>
        </w:tblPrEx>
        <w:trPr>
          <w:trHeight w:val="480" w:hRule="atLeast"/>
        </w:trPr>
        <w:tc>
          <w:tcPr>
            <w:tcW w:w="449" w:type="dxa"/>
            <w:tcBorders>
              <w:top w:val="nil"/>
              <w:left w:val="single" w:color="auto" w:sz="4" w:space="0"/>
              <w:bottom w:val="single" w:color="auto" w:sz="4" w:space="0"/>
              <w:right w:val="single" w:color="auto" w:sz="4" w:space="0"/>
            </w:tcBorders>
            <w:shd w:val="clear" w:color="auto" w:fill="auto"/>
            <w:noWrap/>
            <w:vAlign w:val="center"/>
          </w:tcPr>
          <w:p>
            <w:pPr>
              <w:widowControl/>
              <w:spacing w:line="320" w:lineRule="exact"/>
              <w:jc w:val="center"/>
              <w:rPr>
                <w:rFonts w:eastAsia="方正仿宋简体"/>
                <w:kern w:val="0"/>
                <w:sz w:val="18"/>
                <w:szCs w:val="18"/>
              </w:rPr>
            </w:pPr>
            <w:r>
              <w:rPr>
                <w:rFonts w:eastAsia="方正仿宋简体"/>
                <w:kern w:val="0"/>
                <w:sz w:val="18"/>
                <w:szCs w:val="18"/>
              </w:rPr>
              <w:t>43</w:t>
            </w:r>
          </w:p>
        </w:tc>
        <w:tc>
          <w:tcPr>
            <w:tcW w:w="1360" w:type="dxa"/>
            <w:vMerge w:val="continue"/>
            <w:tcBorders>
              <w:top w:val="nil"/>
              <w:left w:val="single" w:color="auto" w:sz="4" w:space="0"/>
              <w:bottom w:val="single" w:color="auto" w:sz="4" w:space="0"/>
              <w:right w:val="single" w:color="auto" w:sz="4" w:space="0"/>
            </w:tcBorders>
            <w:vAlign w:val="center"/>
          </w:tcPr>
          <w:p>
            <w:pPr>
              <w:widowControl/>
              <w:spacing w:line="320" w:lineRule="exact"/>
              <w:jc w:val="center"/>
              <w:rPr>
                <w:rFonts w:eastAsia="方正仿宋简体"/>
                <w:kern w:val="0"/>
                <w:sz w:val="18"/>
                <w:szCs w:val="18"/>
              </w:rPr>
            </w:pPr>
          </w:p>
        </w:tc>
        <w:tc>
          <w:tcPr>
            <w:tcW w:w="1437" w:type="dxa"/>
            <w:tcBorders>
              <w:top w:val="nil"/>
              <w:left w:val="nil"/>
              <w:bottom w:val="single" w:color="auto" w:sz="4" w:space="0"/>
              <w:right w:val="single" w:color="auto" w:sz="4" w:space="0"/>
            </w:tcBorders>
            <w:shd w:val="clear" w:color="auto" w:fill="auto"/>
            <w:vAlign w:val="center"/>
          </w:tcPr>
          <w:p>
            <w:pPr>
              <w:widowControl/>
              <w:spacing w:line="320" w:lineRule="exact"/>
              <w:jc w:val="center"/>
              <w:rPr>
                <w:rFonts w:eastAsia="方正仿宋简体"/>
                <w:kern w:val="0"/>
                <w:sz w:val="18"/>
                <w:szCs w:val="18"/>
              </w:rPr>
            </w:pPr>
            <w:r>
              <w:rPr>
                <w:rFonts w:eastAsia="方正仿宋简体"/>
                <w:kern w:val="0"/>
                <w:sz w:val="18"/>
                <w:szCs w:val="18"/>
              </w:rPr>
              <w:t>（二）交易前段风险防范</w:t>
            </w:r>
          </w:p>
        </w:tc>
        <w:tc>
          <w:tcPr>
            <w:tcW w:w="5387" w:type="dxa"/>
            <w:gridSpan w:val="2"/>
            <w:tcBorders>
              <w:top w:val="nil"/>
              <w:left w:val="nil"/>
              <w:bottom w:val="single" w:color="auto" w:sz="4" w:space="0"/>
              <w:right w:val="single" w:color="auto" w:sz="4" w:space="0"/>
            </w:tcBorders>
            <w:shd w:val="clear" w:color="auto" w:fill="auto"/>
            <w:vAlign w:val="center"/>
          </w:tcPr>
          <w:p>
            <w:pPr>
              <w:widowControl/>
              <w:spacing w:line="320" w:lineRule="exact"/>
              <w:rPr>
                <w:rFonts w:eastAsia="方正仿宋简体"/>
                <w:kern w:val="0"/>
                <w:sz w:val="18"/>
                <w:szCs w:val="18"/>
              </w:rPr>
            </w:pPr>
            <w:r>
              <w:rPr>
                <w:rFonts w:eastAsia="方正仿宋简体"/>
                <w:kern w:val="0"/>
                <w:sz w:val="18"/>
                <w:szCs w:val="18"/>
              </w:rPr>
              <w:t>对单个客户持仓限额进行前段控制</w:t>
            </w:r>
          </w:p>
        </w:tc>
      </w:tr>
      <w:tr>
        <w:tblPrEx>
          <w:tblCellMar>
            <w:top w:w="0" w:type="dxa"/>
            <w:left w:w="108" w:type="dxa"/>
            <w:bottom w:w="0" w:type="dxa"/>
            <w:right w:w="108" w:type="dxa"/>
          </w:tblCellMar>
        </w:tblPrEx>
        <w:trPr>
          <w:trHeight w:val="280" w:hRule="atLeast"/>
        </w:trPr>
        <w:tc>
          <w:tcPr>
            <w:tcW w:w="449" w:type="dxa"/>
            <w:tcBorders>
              <w:top w:val="nil"/>
              <w:left w:val="single" w:color="auto" w:sz="4" w:space="0"/>
              <w:bottom w:val="single" w:color="auto" w:sz="4" w:space="0"/>
              <w:right w:val="single" w:color="auto" w:sz="4" w:space="0"/>
            </w:tcBorders>
            <w:shd w:val="clear" w:color="auto" w:fill="auto"/>
            <w:noWrap/>
            <w:vAlign w:val="center"/>
          </w:tcPr>
          <w:p>
            <w:pPr>
              <w:widowControl/>
              <w:spacing w:line="320" w:lineRule="exact"/>
              <w:jc w:val="center"/>
              <w:rPr>
                <w:rFonts w:eastAsia="方正仿宋简体"/>
                <w:kern w:val="0"/>
                <w:sz w:val="18"/>
                <w:szCs w:val="18"/>
              </w:rPr>
            </w:pPr>
            <w:r>
              <w:rPr>
                <w:rFonts w:eastAsia="方正仿宋简体"/>
                <w:kern w:val="0"/>
                <w:sz w:val="18"/>
                <w:szCs w:val="18"/>
              </w:rPr>
              <w:t>44</w:t>
            </w:r>
          </w:p>
        </w:tc>
        <w:tc>
          <w:tcPr>
            <w:tcW w:w="1360" w:type="dxa"/>
            <w:vMerge w:val="continue"/>
            <w:tcBorders>
              <w:top w:val="nil"/>
              <w:left w:val="single" w:color="auto" w:sz="4" w:space="0"/>
              <w:bottom w:val="single" w:color="auto" w:sz="4" w:space="0"/>
              <w:right w:val="single" w:color="auto" w:sz="4" w:space="0"/>
            </w:tcBorders>
            <w:vAlign w:val="center"/>
          </w:tcPr>
          <w:p>
            <w:pPr>
              <w:widowControl/>
              <w:spacing w:line="320" w:lineRule="exact"/>
              <w:jc w:val="center"/>
              <w:rPr>
                <w:rFonts w:eastAsia="方正仿宋简体"/>
                <w:kern w:val="0"/>
                <w:sz w:val="18"/>
                <w:szCs w:val="18"/>
              </w:rPr>
            </w:pPr>
          </w:p>
        </w:tc>
        <w:tc>
          <w:tcPr>
            <w:tcW w:w="1437" w:type="dxa"/>
            <w:vMerge w:val="restart"/>
            <w:tcBorders>
              <w:top w:val="nil"/>
              <w:left w:val="single" w:color="auto" w:sz="4" w:space="0"/>
              <w:bottom w:val="single" w:color="auto" w:sz="4" w:space="0"/>
              <w:right w:val="single" w:color="auto" w:sz="4" w:space="0"/>
            </w:tcBorders>
            <w:shd w:val="clear" w:color="auto" w:fill="auto"/>
            <w:vAlign w:val="center"/>
          </w:tcPr>
          <w:p>
            <w:pPr>
              <w:widowControl/>
              <w:spacing w:line="320" w:lineRule="exact"/>
              <w:jc w:val="center"/>
              <w:rPr>
                <w:rFonts w:eastAsia="方正仿宋简体"/>
                <w:kern w:val="0"/>
                <w:sz w:val="18"/>
                <w:szCs w:val="18"/>
              </w:rPr>
            </w:pPr>
            <w:r>
              <w:rPr>
                <w:rFonts w:eastAsia="方正仿宋简体"/>
                <w:kern w:val="0"/>
                <w:sz w:val="18"/>
                <w:szCs w:val="18"/>
              </w:rPr>
              <w:t>（三）风险处置</w:t>
            </w:r>
          </w:p>
        </w:tc>
        <w:tc>
          <w:tcPr>
            <w:tcW w:w="5387" w:type="dxa"/>
            <w:gridSpan w:val="2"/>
            <w:tcBorders>
              <w:top w:val="nil"/>
              <w:left w:val="nil"/>
              <w:bottom w:val="single" w:color="auto" w:sz="4" w:space="0"/>
              <w:right w:val="single" w:color="auto" w:sz="4" w:space="0"/>
            </w:tcBorders>
            <w:shd w:val="clear" w:color="auto" w:fill="auto"/>
            <w:vAlign w:val="center"/>
          </w:tcPr>
          <w:p>
            <w:pPr>
              <w:widowControl/>
              <w:spacing w:line="320" w:lineRule="exact"/>
              <w:rPr>
                <w:rFonts w:eastAsia="方正仿宋简体"/>
                <w:kern w:val="0"/>
                <w:sz w:val="18"/>
                <w:szCs w:val="18"/>
              </w:rPr>
            </w:pPr>
            <w:r>
              <w:rPr>
                <w:rFonts w:eastAsia="方正仿宋简体"/>
                <w:kern w:val="0"/>
                <w:sz w:val="18"/>
                <w:szCs w:val="18"/>
              </w:rPr>
              <w:t>制定强行平仓业务流程</w:t>
            </w:r>
          </w:p>
        </w:tc>
      </w:tr>
      <w:tr>
        <w:tblPrEx>
          <w:tblCellMar>
            <w:top w:w="0" w:type="dxa"/>
            <w:left w:w="108" w:type="dxa"/>
            <w:bottom w:w="0" w:type="dxa"/>
            <w:right w:w="108" w:type="dxa"/>
          </w:tblCellMar>
        </w:tblPrEx>
        <w:trPr>
          <w:trHeight w:val="280" w:hRule="atLeast"/>
        </w:trPr>
        <w:tc>
          <w:tcPr>
            <w:tcW w:w="449" w:type="dxa"/>
            <w:tcBorders>
              <w:top w:val="nil"/>
              <w:left w:val="single" w:color="auto" w:sz="4" w:space="0"/>
              <w:bottom w:val="single" w:color="auto" w:sz="4" w:space="0"/>
              <w:right w:val="single" w:color="auto" w:sz="4" w:space="0"/>
            </w:tcBorders>
            <w:shd w:val="clear" w:color="auto" w:fill="auto"/>
            <w:noWrap/>
            <w:vAlign w:val="center"/>
          </w:tcPr>
          <w:p>
            <w:pPr>
              <w:widowControl/>
              <w:spacing w:line="320" w:lineRule="exact"/>
              <w:jc w:val="center"/>
              <w:rPr>
                <w:rFonts w:eastAsia="方正仿宋简体"/>
                <w:kern w:val="0"/>
                <w:sz w:val="18"/>
                <w:szCs w:val="18"/>
              </w:rPr>
            </w:pPr>
            <w:r>
              <w:rPr>
                <w:rFonts w:eastAsia="方正仿宋简体"/>
                <w:kern w:val="0"/>
                <w:sz w:val="18"/>
                <w:szCs w:val="18"/>
              </w:rPr>
              <w:t>45</w:t>
            </w:r>
          </w:p>
        </w:tc>
        <w:tc>
          <w:tcPr>
            <w:tcW w:w="1360" w:type="dxa"/>
            <w:vMerge w:val="continue"/>
            <w:tcBorders>
              <w:top w:val="nil"/>
              <w:left w:val="single" w:color="auto" w:sz="4" w:space="0"/>
              <w:bottom w:val="single" w:color="auto" w:sz="4" w:space="0"/>
              <w:right w:val="single" w:color="auto" w:sz="4" w:space="0"/>
            </w:tcBorders>
            <w:vAlign w:val="center"/>
          </w:tcPr>
          <w:p>
            <w:pPr>
              <w:widowControl/>
              <w:spacing w:line="320" w:lineRule="exact"/>
              <w:jc w:val="center"/>
              <w:rPr>
                <w:rFonts w:eastAsia="方正仿宋简体"/>
                <w:kern w:val="0"/>
                <w:sz w:val="18"/>
                <w:szCs w:val="18"/>
              </w:rPr>
            </w:pPr>
          </w:p>
        </w:tc>
        <w:tc>
          <w:tcPr>
            <w:tcW w:w="1437" w:type="dxa"/>
            <w:vMerge w:val="continue"/>
            <w:tcBorders>
              <w:top w:val="nil"/>
              <w:left w:val="single" w:color="auto" w:sz="4" w:space="0"/>
              <w:bottom w:val="single" w:color="auto" w:sz="4" w:space="0"/>
              <w:right w:val="single" w:color="auto" w:sz="4" w:space="0"/>
            </w:tcBorders>
            <w:vAlign w:val="center"/>
          </w:tcPr>
          <w:p>
            <w:pPr>
              <w:widowControl/>
              <w:spacing w:line="320" w:lineRule="exact"/>
              <w:jc w:val="center"/>
              <w:rPr>
                <w:rFonts w:eastAsia="方正仿宋简体"/>
                <w:kern w:val="0"/>
                <w:sz w:val="18"/>
                <w:szCs w:val="18"/>
              </w:rPr>
            </w:pPr>
          </w:p>
        </w:tc>
        <w:tc>
          <w:tcPr>
            <w:tcW w:w="5387" w:type="dxa"/>
            <w:gridSpan w:val="2"/>
            <w:tcBorders>
              <w:top w:val="nil"/>
              <w:left w:val="nil"/>
              <w:bottom w:val="single" w:color="auto" w:sz="4" w:space="0"/>
              <w:right w:val="single" w:color="auto" w:sz="4" w:space="0"/>
            </w:tcBorders>
            <w:shd w:val="clear" w:color="auto" w:fill="auto"/>
            <w:vAlign w:val="center"/>
          </w:tcPr>
          <w:p>
            <w:pPr>
              <w:widowControl/>
              <w:spacing w:line="320" w:lineRule="exact"/>
              <w:rPr>
                <w:rFonts w:eastAsia="方正仿宋简体"/>
                <w:kern w:val="0"/>
                <w:sz w:val="18"/>
                <w:szCs w:val="18"/>
              </w:rPr>
            </w:pPr>
            <w:r>
              <w:rPr>
                <w:rFonts w:eastAsia="方正仿宋简体"/>
                <w:kern w:val="0"/>
                <w:sz w:val="18"/>
                <w:szCs w:val="18"/>
              </w:rPr>
              <w:t>支持对客户进行强行平仓</w:t>
            </w:r>
          </w:p>
        </w:tc>
      </w:tr>
      <w:tr>
        <w:tblPrEx>
          <w:tblCellMar>
            <w:top w:w="0" w:type="dxa"/>
            <w:left w:w="108" w:type="dxa"/>
            <w:bottom w:w="0" w:type="dxa"/>
            <w:right w:w="108" w:type="dxa"/>
          </w:tblCellMar>
        </w:tblPrEx>
        <w:trPr>
          <w:trHeight w:val="280" w:hRule="atLeast"/>
        </w:trPr>
        <w:tc>
          <w:tcPr>
            <w:tcW w:w="449" w:type="dxa"/>
            <w:tcBorders>
              <w:top w:val="nil"/>
              <w:left w:val="single" w:color="auto" w:sz="4" w:space="0"/>
              <w:bottom w:val="single" w:color="auto" w:sz="4" w:space="0"/>
              <w:right w:val="single" w:color="auto" w:sz="4" w:space="0"/>
            </w:tcBorders>
            <w:shd w:val="clear" w:color="auto" w:fill="auto"/>
            <w:noWrap/>
            <w:vAlign w:val="center"/>
          </w:tcPr>
          <w:p>
            <w:pPr>
              <w:widowControl/>
              <w:spacing w:line="320" w:lineRule="exact"/>
              <w:jc w:val="center"/>
              <w:rPr>
                <w:rFonts w:eastAsia="方正仿宋简体"/>
                <w:kern w:val="0"/>
                <w:sz w:val="18"/>
                <w:szCs w:val="18"/>
              </w:rPr>
            </w:pPr>
            <w:r>
              <w:rPr>
                <w:rFonts w:eastAsia="方正仿宋简体"/>
                <w:kern w:val="0"/>
                <w:sz w:val="18"/>
                <w:szCs w:val="18"/>
              </w:rPr>
              <w:t>46</w:t>
            </w:r>
          </w:p>
        </w:tc>
        <w:tc>
          <w:tcPr>
            <w:tcW w:w="1360" w:type="dxa"/>
            <w:vMerge w:val="restart"/>
            <w:tcBorders>
              <w:top w:val="nil"/>
              <w:left w:val="single" w:color="auto" w:sz="4" w:space="0"/>
              <w:bottom w:val="single" w:color="auto" w:sz="4" w:space="0"/>
              <w:right w:val="single" w:color="auto" w:sz="4" w:space="0"/>
            </w:tcBorders>
            <w:shd w:val="clear" w:color="auto" w:fill="auto"/>
            <w:vAlign w:val="center"/>
          </w:tcPr>
          <w:p>
            <w:pPr>
              <w:widowControl/>
              <w:spacing w:line="320" w:lineRule="exact"/>
              <w:jc w:val="center"/>
              <w:rPr>
                <w:rFonts w:eastAsia="方正仿宋简体"/>
                <w:kern w:val="0"/>
                <w:sz w:val="18"/>
                <w:szCs w:val="18"/>
              </w:rPr>
            </w:pPr>
            <w:r>
              <w:rPr>
                <w:rFonts w:eastAsia="方正仿宋简体"/>
                <w:kern w:val="0"/>
                <w:sz w:val="18"/>
                <w:szCs w:val="18"/>
              </w:rPr>
              <w:t>六、客户管理</w:t>
            </w:r>
          </w:p>
        </w:tc>
        <w:tc>
          <w:tcPr>
            <w:tcW w:w="1437" w:type="dxa"/>
            <w:tcBorders>
              <w:top w:val="nil"/>
              <w:left w:val="nil"/>
              <w:bottom w:val="single" w:color="auto" w:sz="4" w:space="0"/>
              <w:right w:val="single" w:color="auto" w:sz="4" w:space="0"/>
            </w:tcBorders>
            <w:shd w:val="clear" w:color="auto" w:fill="auto"/>
            <w:vAlign w:val="center"/>
          </w:tcPr>
          <w:p>
            <w:pPr>
              <w:widowControl/>
              <w:spacing w:line="320" w:lineRule="exact"/>
              <w:jc w:val="center"/>
              <w:rPr>
                <w:rFonts w:eastAsia="方正仿宋简体"/>
                <w:kern w:val="0"/>
                <w:sz w:val="18"/>
                <w:szCs w:val="18"/>
              </w:rPr>
            </w:pPr>
            <w:r>
              <w:rPr>
                <w:rFonts w:eastAsia="方正仿宋简体"/>
                <w:kern w:val="0"/>
                <w:sz w:val="18"/>
                <w:szCs w:val="18"/>
              </w:rPr>
              <w:t>（一）业务受理</w:t>
            </w:r>
          </w:p>
        </w:tc>
        <w:tc>
          <w:tcPr>
            <w:tcW w:w="5387" w:type="dxa"/>
            <w:gridSpan w:val="2"/>
            <w:tcBorders>
              <w:top w:val="nil"/>
              <w:left w:val="nil"/>
              <w:bottom w:val="single" w:color="auto" w:sz="4" w:space="0"/>
              <w:right w:val="single" w:color="auto" w:sz="4" w:space="0"/>
            </w:tcBorders>
            <w:shd w:val="clear" w:color="auto" w:fill="auto"/>
            <w:vAlign w:val="center"/>
          </w:tcPr>
          <w:p>
            <w:pPr>
              <w:widowControl/>
              <w:spacing w:line="320" w:lineRule="exact"/>
              <w:rPr>
                <w:rFonts w:eastAsia="方正仿宋简体"/>
                <w:kern w:val="0"/>
                <w:sz w:val="18"/>
                <w:szCs w:val="18"/>
              </w:rPr>
            </w:pPr>
            <w:r>
              <w:rPr>
                <w:rFonts w:eastAsia="方正仿宋简体"/>
                <w:kern w:val="0"/>
                <w:sz w:val="18"/>
                <w:szCs w:val="18"/>
              </w:rPr>
              <w:t>制定了受理客户开展期权交易的业务流程</w:t>
            </w:r>
          </w:p>
        </w:tc>
      </w:tr>
      <w:tr>
        <w:tblPrEx>
          <w:tblCellMar>
            <w:top w:w="0" w:type="dxa"/>
            <w:left w:w="108" w:type="dxa"/>
            <w:bottom w:w="0" w:type="dxa"/>
            <w:right w:w="108" w:type="dxa"/>
          </w:tblCellMar>
        </w:tblPrEx>
        <w:trPr>
          <w:trHeight w:val="280" w:hRule="atLeast"/>
        </w:trPr>
        <w:tc>
          <w:tcPr>
            <w:tcW w:w="449" w:type="dxa"/>
            <w:tcBorders>
              <w:top w:val="nil"/>
              <w:left w:val="single" w:color="auto" w:sz="4" w:space="0"/>
              <w:bottom w:val="single" w:color="auto" w:sz="4" w:space="0"/>
              <w:right w:val="single" w:color="auto" w:sz="4" w:space="0"/>
            </w:tcBorders>
            <w:shd w:val="clear" w:color="auto" w:fill="auto"/>
            <w:noWrap/>
            <w:vAlign w:val="center"/>
          </w:tcPr>
          <w:p>
            <w:pPr>
              <w:widowControl/>
              <w:spacing w:line="320" w:lineRule="exact"/>
              <w:jc w:val="center"/>
              <w:rPr>
                <w:rFonts w:eastAsia="方正仿宋简体"/>
                <w:kern w:val="0"/>
                <w:sz w:val="18"/>
                <w:szCs w:val="18"/>
              </w:rPr>
            </w:pPr>
            <w:r>
              <w:rPr>
                <w:rFonts w:eastAsia="方正仿宋简体"/>
                <w:kern w:val="0"/>
                <w:sz w:val="18"/>
                <w:szCs w:val="18"/>
              </w:rPr>
              <w:t>47</w:t>
            </w:r>
          </w:p>
        </w:tc>
        <w:tc>
          <w:tcPr>
            <w:tcW w:w="1360" w:type="dxa"/>
            <w:vMerge w:val="continue"/>
            <w:tcBorders>
              <w:top w:val="nil"/>
              <w:left w:val="single" w:color="auto" w:sz="4" w:space="0"/>
              <w:bottom w:val="single" w:color="auto" w:sz="4" w:space="0"/>
              <w:right w:val="single" w:color="auto" w:sz="4" w:space="0"/>
            </w:tcBorders>
            <w:vAlign w:val="center"/>
          </w:tcPr>
          <w:p>
            <w:pPr>
              <w:widowControl/>
              <w:spacing w:line="320" w:lineRule="exact"/>
              <w:jc w:val="center"/>
              <w:rPr>
                <w:rFonts w:eastAsia="方正仿宋简体"/>
                <w:kern w:val="0"/>
                <w:sz w:val="18"/>
                <w:szCs w:val="18"/>
              </w:rPr>
            </w:pPr>
          </w:p>
        </w:tc>
        <w:tc>
          <w:tcPr>
            <w:tcW w:w="1437" w:type="dxa"/>
            <w:vMerge w:val="restart"/>
            <w:tcBorders>
              <w:top w:val="nil"/>
              <w:left w:val="single" w:color="auto" w:sz="4" w:space="0"/>
              <w:bottom w:val="single" w:color="auto" w:sz="4" w:space="0"/>
              <w:right w:val="single" w:color="auto" w:sz="4" w:space="0"/>
            </w:tcBorders>
            <w:shd w:val="clear" w:color="auto" w:fill="auto"/>
            <w:vAlign w:val="center"/>
          </w:tcPr>
          <w:p>
            <w:pPr>
              <w:widowControl/>
              <w:spacing w:line="320" w:lineRule="exact"/>
              <w:jc w:val="center"/>
              <w:rPr>
                <w:rFonts w:eastAsia="方正仿宋简体"/>
                <w:kern w:val="0"/>
                <w:sz w:val="18"/>
                <w:szCs w:val="18"/>
              </w:rPr>
            </w:pPr>
            <w:r>
              <w:rPr>
                <w:rFonts w:eastAsia="方正仿宋简体"/>
                <w:kern w:val="0"/>
                <w:sz w:val="18"/>
                <w:szCs w:val="18"/>
              </w:rPr>
              <w:t>（二）账户管理</w:t>
            </w:r>
          </w:p>
        </w:tc>
        <w:tc>
          <w:tcPr>
            <w:tcW w:w="5387" w:type="dxa"/>
            <w:gridSpan w:val="2"/>
            <w:tcBorders>
              <w:top w:val="nil"/>
              <w:left w:val="nil"/>
              <w:bottom w:val="single" w:color="auto" w:sz="4" w:space="0"/>
              <w:right w:val="single" w:color="auto" w:sz="4" w:space="0"/>
            </w:tcBorders>
            <w:shd w:val="clear" w:color="auto" w:fill="auto"/>
            <w:vAlign w:val="center"/>
          </w:tcPr>
          <w:p>
            <w:pPr>
              <w:widowControl/>
              <w:spacing w:line="320" w:lineRule="exact"/>
              <w:rPr>
                <w:rFonts w:eastAsia="方正仿宋简体"/>
                <w:kern w:val="0"/>
                <w:sz w:val="18"/>
                <w:szCs w:val="18"/>
              </w:rPr>
            </w:pPr>
            <w:r>
              <w:rPr>
                <w:rFonts w:eastAsia="方正仿宋简体"/>
                <w:kern w:val="0"/>
                <w:sz w:val="18"/>
                <w:szCs w:val="18"/>
              </w:rPr>
              <w:t>支持客户开立衍生品资金账户</w:t>
            </w:r>
          </w:p>
        </w:tc>
      </w:tr>
      <w:tr>
        <w:tblPrEx>
          <w:tblCellMar>
            <w:top w:w="0" w:type="dxa"/>
            <w:left w:w="108" w:type="dxa"/>
            <w:bottom w:w="0" w:type="dxa"/>
            <w:right w:w="108" w:type="dxa"/>
          </w:tblCellMar>
        </w:tblPrEx>
        <w:trPr>
          <w:trHeight w:val="280" w:hRule="atLeast"/>
        </w:trPr>
        <w:tc>
          <w:tcPr>
            <w:tcW w:w="449" w:type="dxa"/>
            <w:tcBorders>
              <w:top w:val="nil"/>
              <w:left w:val="single" w:color="auto" w:sz="4" w:space="0"/>
              <w:bottom w:val="single" w:color="auto" w:sz="4" w:space="0"/>
              <w:right w:val="single" w:color="auto" w:sz="4" w:space="0"/>
            </w:tcBorders>
            <w:shd w:val="clear" w:color="auto" w:fill="auto"/>
            <w:noWrap/>
            <w:vAlign w:val="center"/>
          </w:tcPr>
          <w:p>
            <w:pPr>
              <w:widowControl/>
              <w:spacing w:line="320" w:lineRule="exact"/>
              <w:jc w:val="center"/>
              <w:rPr>
                <w:rFonts w:eastAsia="方正仿宋简体"/>
                <w:kern w:val="0"/>
                <w:sz w:val="18"/>
                <w:szCs w:val="18"/>
              </w:rPr>
            </w:pPr>
            <w:r>
              <w:rPr>
                <w:rFonts w:eastAsia="方正仿宋简体"/>
                <w:kern w:val="0"/>
                <w:sz w:val="18"/>
                <w:szCs w:val="18"/>
              </w:rPr>
              <w:t>48</w:t>
            </w:r>
          </w:p>
        </w:tc>
        <w:tc>
          <w:tcPr>
            <w:tcW w:w="1360" w:type="dxa"/>
            <w:vMerge w:val="continue"/>
            <w:tcBorders>
              <w:top w:val="nil"/>
              <w:left w:val="single" w:color="auto" w:sz="4" w:space="0"/>
              <w:bottom w:val="single" w:color="auto" w:sz="4" w:space="0"/>
              <w:right w:val="single" w:color="auto" w:sz="4" w:space="0"/>
            </w:tcBorders>
            <w:vAlign w:val="center"/>
          </w:tcPr>
          <w:p>
            <w:pPr>
              <w:widowControl/>
              <w:spacing w:line="320" w:lineRule="exact"/>
              <w:jc w:val="center"/>
              <w:rPr>
                <w:rFonts w:eastAsia="方正仿宋简体"/>
                <w:kern w:val="0"/>
                <w:sz w:val="18"/>
                <w:szCs w:val="18"/>
              </w:rPr>
            </w:pPr>
          </w:p>
        </w:tc>
        <w:tc>
          <w:tcPr>
            <w:tcW w:w="1437" w:type="dxa"/>
            <w:vMerge w:val="continue"/>
            <w:tcBorders>
              <w:top w:val="nil"/>
              <w:left w:val="single" w:color="auto" w:sz="4" w:space="0"/>
              <w:bottom w:val="single" w:color="auto" w:sz="4" w:space="0"/>
              <w:right w:val="single" w:color="auto" w:sz="4" w:space="0"/>
            </w:tcBorders>
            <w:vAlign w:val="center"/>
          </w:tcPr>
          <w:p>
            <w:pPr>
              <w:widowControl/>
              <w:spacing w:line="320" w:lineRule="exact"/>
              <w:jc w:val="center"/>
              <w:rPr>
                <w:rFonts w:eastAsia="方正仿宋简体"/>
                <w:kern w:val="0"/>
                <w:sz w:val="18"/>
                <w:szCs w:val="18"/>
              </w:rPr>
            </w:pPr>
          </w:p>
        </w:tc>
        <w:tc>
          <w:tcPr>
            <w:tcW w:w="5387" w:type="dxa"/>
            <w:gridSpan w:val="2"/>
            <w:tcBorders>
              <w:top w:val="nil"/>
              <w:left w:val="nil"/>
              <w:bottom w:val="single" w:color="auto" w:sz="4" w:space="0"/>
              <w:right w:val="single" w:color="auto" w:sz="4" w:space="0"/>
            </w:tcBorders>
            <w:shd w:val="clear" w:color="auto" w:fill="auto"/>
            <w:vAlign w:val="center"/>
          </w:tcPr>
          <w:p>
            <w:pPr>
              <w:widowControl/>
              <w:spacing w:line="320" w:lineRule="exact"/>
              <w:rPr>
                <w:rFonts w:eastAsia="方正仿宋简体"/>
                <w:kern w:val="0"/>
                <w:sz w:val="18"/>
                <w:szCs w:val="18"/>
              </w:rPr>
            </w:pPr>
            <w:r>
              <w:rPr>
                <w:rFonts w:eastAsia="方正仿宋简体"/>
                <w:kern w:val="0"/>
                <w:sz w:val="18"/>
                <w:szCs w:val="18"/>
              </w:rPr>
              <w:t>支持客户开立衍生品合约账户</w:t>
            </w:r>
          </w:p>
        </w:tc>
      </w:tr>
      <w:tr>
        <w:tblPrEx>
          <w:tblCellMar>
            <w:top w:w="0" w:type="dxa"/>
            <w:left w:w="108" w:type="dxa"/>
            <w:bottom w:w="0" w:type="dxa"/>
            <w:right w:w="108" w:type="dxa"/>
          </w:tblCellMar>
        </w:tblPrEx>
        <w:trPr>
          <w:trHeight w:val="480" w:hRule="atLeast"/>
        </w:trPr>
        <w:tc>
          <w:tcPr>
            <w:tcW w:w="449" w:type="dxa"/>
            <w:tcBorders>
              <w:top w:val="nil"/>
              <w:left w:val="single" w:color="auto" w:sz="4" w:space="0"/>
              <w:bottom w:val="single" w:color="auto" w:sz="4" w:space="0"/>
              <w:right w:val="single" w:color="auto" w:sz="4" w:space="0"/>
            </w:tcBorders>
            <w:shd w:val="clear" w:color="auto" w:fill="auto"/>
            <w:noWrap/>
            <w:vAlign w:val="center"/>
          </w:tcPr>
          <w:p>
            <w:pPr>
              <w:widowControl/>
              <w:spacing w:line="320" w:lineRule="exact"/>
              <w:jc w:val="center"/>
              <w:rPr>
                <w:rFonts w:eastAsia="方正仿宋简体"/>
                <w:kern w:val="0"/>
                <w:sz w:val="18"/>
                <w:szCs w:val="18"/>
              </w:rPr>
            </w:pPr>
            <w:r>
              <w:rPr>
                <w:rFonts w:eastAsia="方正仿宋简体"/>
                <w:kern w:val="0"/>
                <w:sz w:val="18"/>
                <w:szCs w:val="18"/>
              </w:rPr>
              <w:t>49</w:t>
            </w:r>
          </w:p>
        </w:tc>
        <w:tc>
          <w:tcPr>
            <w:tcW w:w="1360" w:type="dxa"/>
            <w:vMerge w:val="continue"/>
            <w:tcBorders>
              <w:top w:val="nil"/>
              <w:left w:val="single" w:color="auto" w:sz="4" w:space="0"/>
              <w:bottom w:val="single" w:color="auto" w:sz="4" w:space="0"/>
              <w:right w:val="single" w:color="auto" w:sz="4" w:space="0"/>
            </w:tcBorders>
            <w:vAlign w:val="center"/>
          </w:tcPr>
          <w:p>
            <w:pPr>
              <w:widowControl/>
              <w:spacing w:line="320" w:lineRule="exact"/>
              <w:jc w:val="center"/>
              <w:rPr>
                <w:rFonts w:eastAsia="方正仿宋简体"/>
                <w:kern w:val="0"/>
                <w:sz w:val="18"/>
                <w:szCs w:val="18"/>
              </w:rPr>
            </w:pPr>
          </w:p>
        </w:tc>
        <w:tc>
          <w:tcPr>
            <w:tcW w:w="1437" w:type="dxa"/>
            <w:vMerge w:val="continue"/>
            <w:tcBorders>
              <w:top w:val="nil"/>
              <w:left w:val="single" w:color="auto" w:sz="4" w:space="0"/>
              <w:bottom w:val="single" w:color="auto" w:sz="4" w:space="0"/>
              <w:right w:val="single" w:color="auto" w:sz="4" w:space="0"/>
            </w:tcBorders>
            <w:vAlign w:val="center"/>
          </w:tcPr>
          <w:p>
            <w:pPr>
              <w:widowControl/>
              <w:spacing w:line="320" w:lineRule="exact"/>
              <w:jc w:val="center"/>
              <w:rPr>
                <w:rFonts w:eastAsia="方正仿宋简体"/>
                <w:kern w:val="0"/>
                <w:sz w:val="18"/>
                <w:szCs w:val="18"/>
              </w:rPr>
            </w:pPr>
          </w:p>
        </w:tc>
        <w:tc>
          <w:tcPr>
            <w:tcW w:w="5387" w:type="dxa"/>
            <w:gridSpan w:val="2"/>
            <w:tcBorders>
              <w:top w:val="nil"/>
              <w:left w:val="nil"/>
              <w:bottom w:val="single" w:color="auto" w:sz="4" w:space="0"/>
              <w:right w:val="single" w:color="auto" w:sz="4" w:space="0"/>
            </w:tcBorders>
            <w:shd w:val="clear" w:color="auto" w:fill="auto"/>
            <w:vAlign w:val="center"/>
          </w:tcPr>
          <w:p>
            <w:pPr>
              <w:widowControl/>
              <w:spacing w:line="320" w:lineRule="exact"/>
              <w:rPr>
                <w:rFonts w:eastAsia="方正仿宋简体"/>
                <w:kern w:val="0"/>
                <w:sz w:val="18"/>
                <w:szCs w:val="18"/>
              </w:rPr>
            </w:pPr>
            <w:r>
              <w:rPr>
                <w:rFonts w:eastAsia="方正仿宋简体"/>
                <w:kern w:val="0"/>
                <w:sz w:val="18"/>
                <w:szCs w:val="18"/>
              </w:rPr>
              <w:t>客户在期权经纪业务部门开立的衍生品资金账户应与股票资金账户分立</w:t>
            </w:r>
          </w:p>
        </w:tc>
      </w:tr>
      <w:tr>
        <w:tblPrEx>
          <w:tblCellMar>
            <w:top w:w="0" w:type="dxa"/>
            <w:left w:w="108" w:type="dxa"/>
            <w:bottom w:w="0" w:type="dxa"/>
            <w:right w:w="108" w:type="dxa"/>
          </w:tblCellMar>
        </w:tblPrEx>
        <w:trPr>
          <w:trHeight w:val="280" w:hRule="atLeast"/>
        </w:trPr>
        <w:tc>
          <w:tcPr>
            <w:tcW w:w="449" w:type="dxa"/>
            <w:tcBorders>
              <w:top w:val="nil"/>
              <w:left w:val="single" w:color="auto" w:sz="4" w:space="0"/>
              <w:bottom w:val="single" w:color="auto" w:sz="4" w:space="0"/>
              <w:right w:val="single" w:color="auto" w:sz="4" w:space="0"/>
            </w:tcBorders>
            <w:shd w:val="clear" w:color="auto" w:fill="auto"/>
            <w:noWrap/>
            <w:vAlign w:val="center"/>
          </w:tcPr>
          <w:p>
            <w:pPr>
              <w:widowControl/>
              <w:spacing w:line="320" w:lineRule="exact"/>
              <w:jc w:val="center"/>
              <w:rPr>
                <w:rFonts w:eastAsia="方正仿宋简体"/>
                <w:kern w:val="0"/>
                <w:sz w:val="18"/>
                <w:szCs w:val="18"/>
              </w:rPr>
            </w:pPr>
            <w:r>
              <w:rPr>
                <w:rFonts w:eastAsia="方正仿宋简体"/>
                <w:kern w:val="0"/>
                <w:sz w:val="18"/>
                <w:szCs w:val="18"/>
              </w:rPr>
              <w:t>50</w:t>
            </w:r>
          </w:p>
        </w:tc>
        <w:tc>
          <w:tcPr>
            <w:tcW w:w="1360" w:type="dxa"/>
            <w:vMerge w:val="continue"/>
            <w:tcBorders>
              <w:top w:val="nil"/>
              <w:left w:val="single" w:color="auto" w:sz="4" w:space="0"/>
              <w:bottom w:val="single" w:color="auto" w:sz="4" w:space="0"/>
              <w:right w:val="single" w:color="auto" w:sz="4" w:space="0"/>
            </w:tcBorders>
            <w:vAlign w:val="center"/>
          </w:tcPr>
          <w:p>
            <w:pPr>
              <w:widowControl/>
              <w:spacing w:line="320" w:lineRule="exact"/>
              <w:jc w:val="center"/>
              <w:rPr>
                <w:rFonts w:eastAsia="方正仿宋简体"/>
                <w:kern w:val="0"/>
                <w:sz w:val="18"/>
                <w:szCs w:val="18"/>
              </w:rPr>
            </w:pPr>
          </w:p>
        </w:tc>
        <w:tc>
          <w:tcPr>
            <w:tcW w:w="1437" w:type="dxa"/>
            <w:vMerge w:val="continue"/>
            <w:tcBorders>
              <w:top w:val="nil"/>
              <w:left w:val="single" w:color="auto" w:sz="4" w:space="0"/>
              <w:bottom w:val="single" w:color="auto" w:sz="4" w:space="0"/>
              <w:right w:val="single" w:color="auto" w:sz="4" w:space="0"/>
            </w:tcBorders>
            <w:vAlign w:val="center"/>
          </w:tcPr>
          <w:p>
            <w:pPr>
              <w:widowControl/>
              <w:spacing w:line="320" w:lineRule="exact"/>
              <w:jc w:val="center"/>
              <w:rPr>
                <w:rFonts w:eastAsia="方正仿宋简体"/>
                <w:kern w:val="0"/>
                <w:sz w:val="18"/>
                <w:szCs w:val="18"/>
              </w:rPr>
            </w:pPr>
          </w:p>
        </w:tc>
        <w:tc>
          <w:tcPr>
            <w:tcW w:w="5387" w:type="dxa"/>
            <w:gridSpan w:val="2"/>
            <w:tcBorders>
              <w:top w:val="nil"/>
              <w:left w:val="nil"/>
              <w:bottom w:val="single" w:color="auto" w:sz="4" w:space="0"/>
              <w:right w:val="single" w:color="auto" w:sz="4" w:space="0"/>
            </w:tcBorders>
            <w:shd w:val="clear" w:color="auto" w:fill="auto"/>
            <w:vAlign w:val="center"/>
          </w:tcPr>
          <w:p>
            <w:pPr>
              <w:widowControl/>
              <w:spacing w:line="320" w:lineRule="exact"/>
              <w:rPr>
                <w:rFonts w:eastAsia="方正仿宋简体"/>
                <w:kern w:val="0"/>
                <w:sz w:val="18"/>
                <w:szCs w:val="18"/>
              </w:rPr>
            </w:pPr>
            <w:r>
              <w:rPr>
                <w:rFonts w:eastAsia="方正仿宋简体"/>
                <w:kern w:val="0"/>
                <w:sz w:val="18"/>
                <w:szCs w:val="18"/>
              </w:rPr>
              <w:t>支持账户的业务权限管理</w:t>
            </w:r>
          </w:p>
        </w:tc>
      </w:tr>
      <w:tr>
        <w:tblPrEx>
          <w:tblCellMar>
            <w:top w:w="0" w:type="dxa"/>
            <w:left w:w="108" w:type="dxa"/>
            <w:bottom w:w="0" w:type="dxa"/>
            <w:right w:w="108" w:type="dxa"/>
          </w:tblCellMar>
        </w:tblPrEx>
        <w:trPr>
          <w:trHeight w:val="280" w:hRule="atLeast"/>
        </w:trPr>
        <w:tc>
          <w:tcPr>
            <w:tcW w:w="449" w:type="dxa"/>
            <w:tcBorders>
              <w:top w:val="nil"/>
              <w:left w:val="single" w:color="auto" w:sz="4" w:space="0"/>
              <w:bottom w:val="single" w:color="auto" w:sz="4" w:space="0"/>
              <w:right w:val="single" w:color="auto" w:sz="4" w:space="0"/>
            </w:tcBorders>
            <w:shd w:val="clear" w:color="auto" w:fill="auto"/>
            <w:noWrap/>
            <w:vAlign w:val="center"/>
          </w:tcPr>
          <w:p>
            <w:pPr>
              <w:widowControl/>
              <w:spacing w:line="320" w:lineRule="exact"/>
              <w:jc w:val="center"/>
              <w:rPr>
                <w:rFonts w:eastAsia="方正仿宋简体"/>
                <w:kern w:val="0"/>
                <w:sz w:val="18"/>
                <w:szCs w:val="18"/>
              </w:rPr>
            </w:pPr>
            <w:r>
              <w:rPr>
                <w:rFonts w:eastAsia="方正仿宋简体"/>
                <w:kern w:val="0"/>
                <w:sz w:val="18"/>
                <w:szCs w:val="18"/>
              </w:rPr>
              <w:t>51</w:t>
            </w:r>
          </w:p>
        </w:tc>
        <w:tc>
          <w:tcPr>
            <w:tcW w:w="1360" w:type="dxa"/>
            <w:vMerge w:val="restart"/>
            <w:tcBorders>
              <w:top w:val="nil"/>
              <w:left w:val="single" w:color="auto" w:sz="4" w:space="0"/>
              <w:bottom w:val="single" w:color="auto" w:sz="4" w:space="0"/>
              <w:right w:val="single" w:color="auto" w:sz="4" w:space="0"/>
            </w:tcBorders>
            <w:shd w:val="clear" w:color="auto" w:fill="auto"/>
            <w:vAlign w:val="center"/>
          </w:tcPr>
          <w:p>
            <w:pPr>
              <w:widowControl/>
              <w:spacing w:line="320" w:lineRule="exact"/>
              <w:jc w:val="center"/>
              <w:rPr>
                <w:rFonts w:eastAsia="方正仿宋简体"/>
                <w:kern w:val="0"/>
                <w:sz w:val="18"/>
                <w:szCs w:val="18"/>
              </w:rPr>
            </w:pPr>
            <w:r>
              <w:rPr>
                <w:rFonts w:eastAsia="方正仿宋简体"/>
                <w:kern w:val="0"/>
                <w:sz w:val="18"/>
                <w:szCs w:val="18"/>
              </w:rPr>
              <w:t>七、投资者教育</w:t>
            </w:r>
          </w:p>
        </w:tc>
        <w:tc>
          <w:tcPr>
            <w:tcW w:w="1437" w:type="dxa"/>
            <w:vMerge w:val="restart"/>
            <w:tcBorders>
              <w:top w:val="nil"/>
              <w:left w:val="single" w:color="auto" w:sz="4" w:space="0"/>
              <w:bottom w:val="single" w:color="auto" w:sz="4" w:space="0"/>
              <w:right w:val="single" w:color="auto" w:sz="4" w:space="0"/>
            </w:tcBorders>
            <w:shd w:val="clear" w:color="auto" w:fill="auto"/>
            <w:vAlign w:val="center"/>
          </w:tcPr>
          <w:p>
            <w:pPr>
              <w:widowControl/>
              <w:spacing w:line="320" w:lineRule="exact"/>
              <w:jc w:val="center"/>
              <w:rPr>
                <w:rFonts w:eastAsia="方正仿宋简体"/>
                <w:kern w:val="0"/>
                <w:sz w:val="18"/>
                <w:szCs w:val="18"/>
              </w:rPr>
            </w:pPr>
          </w:p>
        </w:tc>
        <w:tc>
          <w:tcPr>
            <w:tcW w:w="5387" w:type="dxa"/>
            <w:gridSpan w:val="2"/>
            <w:tcBorders>
              <w:top w:val="nil"/>
              <w:left w:val="nil"/>
              <w:bottom w:val="single" w:color="auto" w:sz="4" w:space="0"/>
              <w:right w:val="single" w:color="auto" w:sz="4" w:space="0"/>
            </w:tcBorders>
            <w:shd w:val="clear" w:color="auto" w:fill="auto"/>
            <w:vAlign w:val="center"/>
          </w:tcPr>
          <w:p>
            <w:pPr>
              <w:widowControl/>
              <w:spacing w:line="320" w:lineRule="exact"/>
              <w:rPr>
                <w:rFonts w:eastAsia="方正仿宋简体"/>
                <w:kern w:val="0"/>
                <w:sz w:val="18"/>
                <w:szCs w:val="18"/>
              </w:rPr>
            </w:pPr>
            <w:r>
              <w:rPr>
                <w:rFonts w:eastAsia="方正仿宋简体"/>
                <w:kern w:val="0"/>
                <w:sz w:val="18"/>
                <w:szCs w:val="18"/>
              </w:rPr>
              <w:t>建立了股票期权投资者持续培育工作机制</w:t>
            </w:r>
          </w:p>
        </w:tc>
      </w:tr>
      <w:tr>
        <w:tblPrEx>
          <w:tblCellMar>
            <w:top w:w="0" w:type="dxa"/>
            <w:left w:w="108" w:type="dxa"/>
            <w:bottom w:w="0" w:type="dxa"/>
            <w:right w:w="108" w:type="dxa"/>
          </w:tblCellMar>
        </w:tblPrEx>
        <w:trPr>
          <w:trHeight w:val="480" w:hRule="atLeast"/>
        </w:trPr>
        <w:tc>
          <w:tcPr>
            <w:tcW w:w="449" w:type="dxa"/>
            <w:tcBorders>
              <w:top w:val="nil"/>
              <w:left w:val="single" w:color="auto" w:sz="4" w:space="0"/>
              <w:bottom w:val="single" w:color="auto" w:sz="4" w:space="0"/>
              <w:right w:val="single" w:color="auto" w:sz="4" w:space="0"/>
            </w:tcBorders>
            <w:shd w:val="clear" w:color="auto" w:fill="auto"/>
            <w:noWrap/>
            <w:vAlign w:val="center"/>
          </w:tcPr>
          <w:p>
            <w:pPr>
              <w:widowControl/>
              <w:spacing w:line="320" w:lineRule="exact"/>
              <w:jc w:val="center"/>
              <w:rPr>
                <w:rFonts w:eastAsia="方正仿宋简体"/>
                <w:kern w:val="0"/>
                <w:sz w:val="18"/>
                <w:szCs w:val="18"/>
              </w:rPr>
            </w:pPr>
            <w:r>
              <w:rPr>
                <w:rFonts w:eastAsia="方正仿宋简体"/>
                <w:kern w:val="0"/>
                <w:sz w:val="18"/>
                <w:szCs w:val="18"/>
              </w:rPr>
              <w:t>52</w:t>
            </w:r>
          </w:p>
        </w:tc>
        <w:tc>
          <w:tcPr>
            <w:tcW w:w="1360" w:type="dxa"/>
            <w:vMerge w:val="continue"/>
            <w:tcBorders>
              <w:top w:val="nil"/>
              <w:left w:val="single" w:color="auto" w:sz="4" w:space="0"/>
              <w:bottom w:val="single" w:color="auto" w:sz="4" w:space="0"/>
              <w:right w:val="single" w:color="auto" w:sz="4" w:space="0"/>
            </w:tcBorders>
            <w:vAlign w:val="center"/>
          </w:tcPr>
          <w:p>
            <w:pPr>
              <w:widowControl/>
              <w:spacing w:line="320" w:lineRule="exact"/>
              <w:jc w:val="center"/>
              <w:rPr>
                <w:rFonts w:eastAsia="方正仿宋简体"/>
                <w:kern w:val="0"/>
                <w:sz w:val="18"/>
                <w:szCs w:val="18"/>
              </w:rPr>
            </w:pPr>
          </w:p>
        </w:tc>
        <w:tc>
          <w:tcPr>
            <w:tcW w:w="1437" w:type="dxa"/>
            <w:vMerge w:val="continue"/>
            <w:tcBorders>
              <w:top w:val="nil"/>
              <w:left w:val="single" w:color="auto" w:sz="4" w:space="0"/>
              <w:bottom w:val="single" w:color="auto" w:sz="4" w:space="0"/>
              <w:right w:val="single" w:color="auto" w:sz="4" w:space="0"/>
            </w:tcBorders>
            <w:vAlign w:val="center"/>
          </w:tcPr>
          <w:p>
            <w:pPr>
              <w:widowControl/>
              <w:spacing w:line="320" w:lineRule="exact"/>
              <w:jc w:val="center"/>
              <w:rPr>
                <w:rFonts w:eastAsia="方正仿宋简体"/>
                <w:kern w:val="0"/>
                <w:sz w:val="18"/>
                <w:szCs w:val="18"/>
              </w:rPr>
            </w:pPr>
          </w:p>
        </w:tc>
        <w:tc>
          <w:tcPr>
            <w:tcW w:w="5387" w:type="dxa"/>
            <w:gridSpan w:val="2"/>
            <w:tcBorders>
              <w:top w:val="nil"/>
              <w:left w:val="nil"/>
              <w:bottom w:val="single" w:color="auto" w:sz="4" w:space="0"/>
              <w:right w:val="single" w:color="auto" w:sz="4" w:space="0"/>
            </w:tcBorders>
            <w:shd w:val="clear" w:color="auto" w:fill="auto"/>
            <w:vAlign w:val="center"/>
          </w:tcPr>
          <w:p>
            <w:pPr>
              <w:widowControl/>
              <w:spacing w:line="320" w:lineRule="exact"/>
              <w:rPr>
                <w:rFonts w:eastAsia="方正仿宋简体"/>
                <w:kern w:val="0"/>
                <w:sz w:val="18"/>
                <w:szCs w:val="18"/>
              </w:rPr>
            </w:pPr>
            <w:r>
              <w:rPr>
                <w:rFonts w:eastAsia="方正仿宋简体"/>
                <w:kern w:val="0"/>
                <w:sz w:val="18"/>
                <w:szCs w:val="18"/>
              </w:rPr>
              <w:t>开展了投资者培训与推广工作，储备了适合参与期权交易的客户</w:t>
            </w:r>
          </w:p>
        </w:tc>
      </w:tr>
      <w:tr>
        <w:tblPrEx>
          <w:tblCellMar>
            <w:top w:w="0" w:type="dxa"/>
            <w:left w:w="108" w:type="dxa"/>
            <w:bottom w:w="0" w:type="dxa"/>
            <w:right w:w="108" w:type="dxa"/>
          </w:tblCellMar>
        </w:tblPrEx>
        <w:trPr>
          <w:trHeight w:val="480" w:hRule="atLeast"/>
        </w:trPr>
        <w:tc>
          <w:tcPr>
            <w:tcW w:w="449" w:type="dxa"/>
            <w:tcBorders>
              <w:top w:val="nil"/>
              <w:left w:val="single" w:color="auto" w:sz="4" w:space="0"/>
              <w:bottom w:val="single" w:color="auto" w:sz="4" w:space="0"/>
              <w:right w:val="single" w:color="auto" w:sz="4" w:space="0"/>
            </w:tcBorders>
            <w:shd w:val="clear" w:color="auto" w:fill="auto"/>
            <w:noWrap/>
            <w:vAlign w:val="center"/>
          </w:tcPr>
          <w:p>
            <w:pPr>
              <w:widowControl/>
              <w:spacing w:line="320" w:lineRule="exact"/>
              <w:jc w:val="center"/>
              <w:rPr>
                <w:rFonts w:eastAsia="方正仿宋简体"/>
                <w:kern w:val="0"/>
                <w:sz w:val="18"/>
                <w:szCs w:val="18"/>
              </w:rPr>
            </w:pPr>
            <w:r>
              <w:rPr>
                <w:rFonts w:eastAsia="方正仿宋简体"/>
                <w:kern w:val="0"/>
                <w:sz w:val="18"/>
                <w:szCs w:val="18"/>
              </w:rPr>
              <w:t>53</w:t>
            </w:r>
          </w:p>
        </w:tc>
        <w:tc>
          <w:tcPr>
            <w:tcW w:w="1360" w:type="dxa"/>
            <w:vMerge w:val="continue"/>
            <w:tcBorders>
              <w:top w:val="nil"/>
              <w:left w:val="single" w:color="auto" w:sz="4" w:space="0"/>
              <w:bottom w:val="single" w:color="auto" w:sz="4" w:space="0"/>
              <w:right w:val="single" w:color="auto" w:sz="4" w:space="0"/>
            </w:tcBorders>
            <w:vAlign w:val="center"/>
          </w:tcPr>
          <w:p>
            <w:pPr>
              <w:widowControl/>
              <w:spacing w:line="320" w:lineRule="exact"/>
              <w:jc w:val="center"/>
              <w:rPr>
                <w:rFonts w:eastAsia="方正仿宋简体"/>
                <w:kern w:val="0"/>
                <w:sz w:val="18"/>
                <w:szCs w:val="18"/>
              </w:rPr>
            </w:pPr>
          </w:p>
        </w:tc>
        <w:tc>
          <w:tcPr>
            <w:tcW w:w="1437" w:type="dxa"/>
            <w:vMerge w:val="continue"/>
            <w:tcBorders>
              <w:top w:val="nil"/>
              <w:left w:val="single" w:color="auto" w:sz="4" w:space="0"/>
              <w:bottom w:val="single" w:color="auto" w:sz="4" w:space="0"/>
              <w:right w:val="single" w:color="auto" w:sz="4" w:space="0"/>
            </w:tcBorders>
            <w:vAlign w:val="center"/>
          </w:tcPr>
          <w:p>
            <w:pPr>
              <w:widowControl/>
              <w:spacing w:line="320" w:lineRule="exact"/>
              <w:jc w:val="center"/>
              <w:rPr>
                <w:rFonts w:eastAsia="方正仿宋简体"/>
                <w:kern w:val="0"/>
                <w:sz w:val="18"/>
                <w:szCs w:val="18"/>
              </w:rPr>
            </w:pPr>
          </w:p>
        </w:tc>
        <w:tc>
          <w:tcPr>
            <w:tcW w:w="5387" w:type="dxa"/>
            <w:gridSpan w:val="2"/>
            <w:tcBorders>
              <w:top w:val="nil"/>
              <w:left w:val="nil"/>
              <w:bottom w:val="single" w:color="auto" w:sz="4" w:space="0"/>
              <w:right w:val="single" w:color="auto" w:sz="4" w:space="0"/>
            </w:tcBorders>
            <w:shd w:val="clear" w:color="auto" w:fill="auto"/>
            <w:vAlign w:val="center"/>
          </w:tcPr>
          <w:p>
            <w:pPr>
              <w:widowControl/>
              <w:spacing w:line="320" w:lineRule="exact"/>
              <w:rPr>
                <w:rFonts w:eastAsia="方正仿宋简体"/>
                <w:kern w:val="0"/>
                <w:sz w:val="18"/>
                <w:szCs w:val="18"/>
              </w:rPr>
            </w:pPr>
            <w:r>
              <w:rPr>
                <w:rFonts w:eastAsia="方正仿宋简体"/>
                <w:kern w:val="0"/>
                <w:sz w:val="18"/>
                <w:szCs w:val="18"/>
              </w:rPr>
              <w:t>完成了规定数量、基本满足参与期权交易条件的投资者培育（保留相关记录备查）</w:t>
            </w:r>
          </w:p>
        </w:tc>
      </w:tr>
      <w:tr>
        <w:tblPrEx>
          <w:tblCellMar>
            <w:top w:w="0" w:type="dxa"/>
            <w:left w:w="108" w:type="dxa"/>
            <w:bottom w:w="0" w:type="dxa"/>
            <w:right w:w="108" w:type="dxa"/>
          </w:tblCellMar>
        </w:tblPrEx>
        <w:trPr>
          <w:trHeight w:val="548" w:hRule="atLeast"/>
        </w:trPr>
        <w:tc>
          <w:tcPr>
            <w:tcW w:w="8633" w:type="dxa"/>
            <w:gridSpan w:val="5"/>
            <w:tcBorders>
              <w:top w:val="single" w:color="auto" w:sz="4" w:space="0"/>
              <w:left w:val="single" w:color="auto" w:sz="4" w:space="0"/>
              <w:right w:val="single" w:color="auto" w:sz="4" w:space="0"/>
            </w:tcBorders>
            <w:shd w:val="clear" w:color="auto" w:fill="auto"/>
            <w:vAlign w:val="center"/>
          </w:tcPr>
          <w:p>
            <w:pPr>
              <w:widowControl/>
              <w:spacing w:line="320" w:lineRule="exact"/>
              <w:ind w:firstLine="360" w:firstLineChars="200"/>
              <w:jc w:val="left"/>
              <w:rPr>
                <w:rFonts w:eastAsia="方正仿宋简体"/>
                <w:kern w:val="0"/>
                <w:sz w:val="18"/>
                <w:szCs w:val="18"/>
              </w:rPr>
            </w:pPr>
            <w:r>
              <w:rPr>
                <w:rFonts w:eastAsia="方正仿宋简体"/>
                <w:kern w:val="0"/>
                <w:sz w:val="18"/>
                <w:szCs w:val="18"/>
              </w:rPr>
              <w:t>本公司承诺，上述项目均已就绪。</w:t>
            </w:r>
          </w:p>
        </w:tc>
      </w:tr>
      <w:tr>
        <w:tblPrEx>
          <w:tblCellMar>
            <w:top w:w="0" w:type="dxa"/>
            <w:left w:w="108" w:type="dxa"/>
            <w:bottom w:w="0" w:type="dxa"/>
            <w:right w:w="108" w:type="dxa"/>
          </w:tblCellMar>
        </w:tblPrEx>
        <w:trPr>
          <w:trHeight w:val="1140" w:hRule="atLeast"/>
        </w:trPr>
        <w:tc>
          <w:tcPr>
            <w:tcW w:w="4691" w:type="dxa"/>
            <w:gridSpan w:val="4"/>
            <w:tcBorders>
              <w:left w:val="single" w:color="auto" w:sz="4" w:space="0"/>
              <w:bottom w:val="single" w:color="auto" w:sz="4" w:space="0"/>
            </w:tcBorders>
            <w:shd w:val="clear" w:color="auto" w:fill="auto"/>
            <w:vAlign w:val="center"/>
          </w:tcPr>
          <w:p>
            <w:pPr>
              <w:widowControl/>
              <w:spacing w:line="320" w:lineRule="exact"/>
              <w:jc w:val="center"/>
              <w:rPr>
                <w:rFonts w:eastAsia="方正仿宋简体"/>
                <w:kern w:val="0"/>
                <w:sz w:val="18"/>
                <w:szCs w:val="18"/>
              </w:rPr>
            </w:pPr>
            <w:r>
              <w:rPr>
                <w:rFonts w:eastAsia="方正仿宋简体"/>
                <w:kern w:val="0"/>
                <w:sz w:val="18"/>
                <w:szCs w:val="18"/>
              </w:rPr>
              <w:t>分管股票期权经纪业务</w:t>
            </w:r>
          </w:p>
          <w:p>
            <w:pPr>
              <w:widowControl/>
              <w:spacing w:line="320" w:lineRule="exact"/>
              <w:jc w:val="center"/>
              <w:rPr>
                <w:rFonts w:eastAsia="方正仿宋简体"/>
                <w:kern w:val="0"/>
                <w:sz w:val="18"/>
                <w:szCs w:val="18"/>
              </w:rPr>
            </w:pPr>
            <w:r>
              <w:rPr>
                <w:rFonts w:eastAsia="方正仿宋简体"/>
                <w:kern w:val="0"/>
                <w:sz w:val="18"/>
                <w:szCs w:val="18"/>
              </w:rPr>
              <w:t>高级管理人员签字:</w:t>
            </w:r>
          </w:p>
        </w:tc>
        <w:tc>
          <w:tcPr>
            <w:tcW w:w="3942" w:type="dxa"/>
            <w:tcBorders>
              <w:bottom w:val="single" w:color="auto" w:sz="4" w:space="0"/>
              <w:right w:val="single" w:color="auto" w:sz="4" w:space="0"/>
            </w:tcBorders>
            <w:shd w:val="clear" w:color="auto" w:fill="auto"/>
            <w:vAlign w:val="center"/>
          </w:tcPr>
          <w:p>
            <w:pPr>
              <w:widowControl/>
              <w:spacing w:line="320" w:lineRule="exact"/>
              <w:ind w:firstLine="360" w:firstLineChars="200"/>
              <w:jc w:val="left"/>
              <w:rPr>
                <w:rFonts w:eastAsia="方正仿宋简体"/>
                <w:kern w:val="0"/>
                <w:sz w:val="18"/>
                <w:szCs w:val="18"/>
              </w:rPr>
            </w:pPr>
            <w:r>
              <w:rPr>
                <w:rFonts w:eastAsia="方正仿宋简体"/>
                <w:kern w:val="0"/>
                <w:sz w:val="18"/>
                <w:szCs w:val="18"/>
              </w:rPr>
              <w:t>公司公章</w:t>
            </w:r>
            <w:r>
              <w:rPr>
                <w:rFonts w:eastAsia="方正仿宋简体"/>
                <w:kern w:val="0"/>
                <w:sz w:val="18"/>
                <w:szCs w:val="18"/>
              </w:rPr>
              <w:br w:type="textWrapping"/>
            </w:r>
            <w:r>
              <w:rPr>
                <w:rFonts w:eastAsia="方正仿宋简体"/>
                <w:kern w:val="0"/>
                <w:sz w:val="18"/>
                <w:szCs w:val="18"/>
              </w:rPr>
              <w:br w:type="textWrapping"/>
            </w:r>
            <w:r>
              <w:rPr>
                <w:rFonts w:eastAsia="方正仿宋简体"/>
                <w:kern w:val="0"/>
                <w:sz w:val="18"/>
                <w:szCs w:val="18"/>
              </w:rPr>
              <w:t xml:space="preserve">    日期：</w:t>
            </w:r>
          </w:p>
        </w:tc>
      </w:tr>
    </w:tbl>
    <w:p>
      <w:pPr>
        <w:contextualSpacing/>
        <w:rPr>
          <w:rFonts w:eastAsia="方正仿宋简体"/>
          <w:sz w:val="24"/>
          <w:szCs w:val="22"/>
        </w:rPr>
      </w:pPr>
    </w:p>
    <w:p>
      <w:pPr>
        <w:tabs>
          <w:tab w:val="left" w:pos="8080"/>
        </w:tabs>
        <w:spacing w:line="440" w:lineRule="exact"/>
        <w:jc w:val="left"/>
        <w:rPr>
          <w:rFonts w:eastAsia="方正仿宋简体"/>
          <w:sz w:val="30"/>
          <w:szCs w:val="30"/>
        </w:rPr>
      </w:pPr>
    </w:p>
    <w:p>
      <w:pPr>
        <w:tabs>
          <w:tab w:val="left" w:pos="8080"/>
        </w:tabs>
        <w:spacing w:line="440" w:lineRule="exact"/>
        <w:jc w:val="left"/>
        <w:rPr>
          <w:rFonts w:eastAsia="方正仿宋简体"/>
          <w:sz w:val="30"/>
          <w:szCs w:val="30"/>
        </w:rPr>
      </w:pPr>
    </w:p>
    <w:p>
      <w:pPr>
        <w:tabs>
          <w:tab w:val="left" w:pos="8080"/>
        </w:tabs>
        <w:spacing w:line="440" w:lineRule="exact"/>
        <w:jc w:val="left"/>
        <w:rPr>
          <w:rFonts w:eastAsia="方正仿宋简体"/>
          <w:sz w:val="30"/>
          <w:szCs w:val="30"/>
        </w:rPr>
      </w:pPr>
    </w:p>
    <w:p>
      <w:pPr>
        <w:tabs>
          <w:tab w:val="left" w:pos="8080"/>
        </w:tabs>
        <w:spacing w:line="440" w:lineRule="exact"/>
        <w:jc w:val="left"/>
        <w:rPr>
          <w:rFonts w:eastAsia="方正仿宋简体"/>
          <w:sz w:val="30"/>
          <w:szCs w:val="30"/>
        </w:rPr>
      </w:pPr>
    </w:p>
    <w:p>
      <w:pPr>
        <w:tabs>
          <w:tab w:val="left" w:pos="8080"/>
        </w:tabs>
        <w:spacing w:line="440" w:lineRule="exact"/>
        <w:jc w:val="left"/>
        <w:rPr>
          <w:rFonts w:eastAsia="方正仿宋简体"/>
          <w:sz w:val="30"/>
          <w:szCs w:val="30"/>
        </w:rPr>
      </w:pPr>
    </w:p>
    <w:p>
      <w:pPr>
        <w:tabs>
          <w:tab w:val="left" w:pos="8080"/>
        </w:tabs>
        <w:spacing w:line="440" w:lineRule="exact"/>
        <w:jc w:val="left"/>
        <w:rPr>
          <w:rFonts w:eastAsia="方正仿宋简体"/>
          <w:sz w:val="30"/>
          <w:szCs w:val="30"/>
        </w:rPr>
      </w:pPr>
    </w:p>
    <w:p>
      <w:pPr>
        <w:tabs>
          <w:tab w:val="left" w:pos="8080"/>
        </w:tabs>
        <w:spacing w:line="440" w:lineRule="exact"/>
        <w:jc w:val="left"/>
        <w:rPr>
          <w:rFonts w:eastAsia="方正仿宋简体"/>
          <w:sz w:val="30"/>
          <w:szCs w:val="30"/>
        </w:rPr>
      </w:pPr>
    </w:p>
    <w:p>
      <w:pPr>
        <w:widowControl/>
        <w:rPr>
          <w:rFonts w:eastAsia="方正仿宋简体"/>
          <w:sz w:val="30"/>
          <w:szCs w:val="30"/>
        </w:rPr>
      </w:pPr>
      <w:bookmarkStart w:id="278" w:name="_Toc534299656"/>
      <w:bookmarkEnd w:id="278"/>
      <w:bookmarkStart w:id="279" w:name="_Toc534299658"/>
      <w:bookmarkEnd w:id="279"/>
      <w:bookmarkStart w:id="280" w:name="_Toc467059044"/>
      <w:bookmarkEnd w:id="280"/>
      <w:bookmarkStart w:id="281" w:name="_Toc467847327"/>
      <w:bookmarkEnd w:id="281"/>
      <w:bookmarkStart w:id="282" w:name="_Toc466021139"/>
      <w:bookmarkEnd w:id="282"/>
      <w:bookmarkStart w:id="283" w:name="_Toc467059031"/>
      <w:bookmarkEnd w:id="283"/>
      <w:bookmarkStart w:id="284" w:name="_Toc467059142"/>
      <w:bookmarkEnd w:id="284"/>
      <w:bookmarkStart w:id="285" w:name="_Toc465345905"/>
      <w:bookmarkEnd w:id="285"/>
      <w:bookmarkStart w:id="286" w:name="_Toc534299659"/>
      <w:bookmarkEnd w:id="286"/>
      <w:bookmarkStart w:id="287" w:name="_Toc467847528"/>
      <w:bookmarkEnd w:id="287"/>
      <w:bookmarkStart w:id="288" w:name="_Toc466021134"/>
      <w:bookmarkEnd w:id="288"/>
      <w:bookmarkStart w:id="289" w:name="_Toc534299660"/>
      <w:bookmarkEnd w:id="289"/>
      <w:bookmarkStart w:id="290" w:name="_Toc486410648"/>
      <w:bookmarkEnd w:id="290"/>
      <w:bookmarkStart w:id="291" w:name="_Toc467847328"/>
      <w:bookmarkEnd w:id="291"/>
      <w:bookmarkStart w:id="292" w:name="_Toc486410649"/>
      <w:bookmarkEnd w:id="292"/>
      <w:bookmarkStart w:id="293" w:name="_Toc467059144"/>
      <w:bookmarkEnd w:id="293"/>
      <w:bookmarkStart w:id="294" w:name="_Toc467847527"/>
      <w:bookmarkEnd w:id="294"/>
      <w:bookmarkStart w:id="295" w:name="_Toc466021129"/>
      <w:bookmarkEnd w:id="295"/>
      <w:bookmarkStart w:id="296" w:name="_Toc466021072"/>
      <w:bookmarkEnd w:id="296"/>
      <w:bookmarkStart w:id="297" w:name="_Toc467847330"/>
      <w:bookmarkEnd w:id="297"/>
      <w:bookmarkStart w:id="298" w:name="_Toc466021172"/>
      <w:bookmarkEnd w:id="298"/>
      <w:bookmarkStart w:id="299" w:name="_Toc465345946"/>
      <w:bookmarkEnd w:id="299"/>
      <w:bookmarkStart w:id="300" w:name="_Toc467059043"/>
      <w:bookmarkEnd w:id="300"/>
      <w:bookmarkStart w:id="301" w:name="_Toc533019152"/>
      <w:bookmarkEnd w:id="301"/>
      <w:bookmarkStart w:id="302" w:name="_Toc465345847"/>
      <w:bookmarkEnd w:id="302"/>
      <w:bookmarkStart w:id="303" w:name="_Toc467059091"/>
      <w:bookmarkEnd w:id="303"/>
      <w:bookmarkStart w:id="304" w:name="_Toc465345949"/>
      <w:bookmarkEnd w:id="304"/>
      <w:bookmarkStart w:id="305" w:name="_Toc467059096"/>
      <w:bookmarkEnd w:id="305"/>
      <w:bookmarkStart w:id="306" w:name="_Toc465345848"/>
      <w:bookmarkEnd w:id="306"/>
      <w:bookmarkStart w:id="307" w:name="_Toc467847530"/>
      <w:bookmarkEnd w:id="307"/>
      <w:bookmarkStart w:id="308" w:name="_Toc533017884"/>
      <w:bookmarkEnd w:id="308"/>
      <w:bookmarkStart w:id="309" w:name="_Toc466021171"/>
      <w:bookmarkEnd w:id="309"/>
      <w:bookmarkStart w:id="310" w:name="_Toc465345915"/>
      <w:bookmarkEnd w:id="310"/>
      <w:bookmarkStart w:id="311" w:name="_Toc465345895"/>
      <w:bookmarkEnd w:id="311"/>
      <w:bookmarkStart w:id="312" w:name="_Toc465345945"/>
      <w:bookmarkEnd w:id="312"/>
      <w:bookmarkStart w:id="313" w:name="_Toc465345910"/>
      <w:bookmarkEnd w:id="313"/>
      <w:bookmarkStart w:id="314" w:name="_Toc466021119"/>
      <w:bookmarkEnd w:id="314"/>
      <w:bookmarkStart w:id="315" w:name="_Toc466021124"/>
      <w:bookmarkEnd w:id="315"/>
      <w:bookmarkStart w:id="316" w:name="_Toc465340934"/>
      <w:bookmarkEnd w:id="316"/>
      <w:bookmarkStart w:id="317" w:name="_Toc466021169"/>
      <w:bookmarkEnd w:id="317"/>
      <w:bookmarkStart w:id="318" w:name="_Toc466021071"/>
      <w:bookmarkEnd w:id="318"/>
      <w:bookmarkStart w:id="319" w:name="_Toc465340821"/>
      <w:bookmarkEnd w:id="319"/>
      <w:bookmarkStart w:id="320" w:name="_Toc467059111"/>
      <w:bookmarkEnd w:id="320"/>
      <w:bookmarkStart w:id="321" w:name="_Toc533058102"/>
      <w:bookmarkEnd w:id="321"/>
      <w:bookmarkStart w:id="322" w:name="_Toc467847529"/>
      <w:bookmarkEnd w:id="322"/>
      <w:bookmarkStart w:id="323" w:name="_Toc467059106"/>
      <w:bookmarkEnd w:id="323"/>
      <w:bookmarkStart w:id="324" w:name="_Toc465345835"/>
      <w:bookmarkEnd w:id="324"/>
      <w:bookmarkStart w:id="325" w:name="_Toc467059101"/>
      <w:bookmarkEnd w:id="325"/>
      <w:bookmarkStart w:id="326" w:name="_Toc467847329"/>
      <w:bookmarkEnd w:id="326"/>
      <w:bookmarkStart w:id="327" w:name="_Toc466021059"/>
      <w:bookmarkEnd w:id="327"/>
      <w:bookmarkStart w:id="328" w:name="_Toc465345947"/>
      <w:bookmarkEnd w:id="328"/>
      <w:bookmarkStart w:id="329" w:name="_Toc534299657"/>
      <w:bookmarkEnd w:id="329"/>
      <w:bookmarkStart w:id="330" w:name="_Toc466021173"/>
      <w:bookmarkEnd w:id="330"/>
      <w:bookmarkStart w:id="331" w:name="_Toc466021170"/>
      <w:bookmarkEnd w:id="331"/>
      <w:bookmarkStart w:id="332" w:name="_Toc467059143"/>
      <w:bookmarkEnd w:id="332"/>
      <w:bookmarkStart w:id="333" w:name="_Toc467059145"/>
      <w:bookmarkEnd w:id="333"/>
      <w:bookmarkStart w:id="334" w:name="_Toc467059141"/>
      <w:bookmarkEnd w:id="334"/>
      <w:bookmarkStart w:id="335" w:name="_Toc465345948"/>
      <w:bookmarkEnd w:id="335"/>
      <w:bookmarkStart w:id="336" w:name="_Toc465345900"/>
      <w:bookmarkEnd w:id="336"/>
    </w:p>
    <w:p>
      <w:pPr>
        <w:pStyle w:val="17"/>
        <w:tabs>
          <w:tab w:val="left" w:pos="8080"/>
        </w:tabs>
        <w:spacing w:line="540" w:lineRule="exact"/>
        <w:ind w:right="538" w:rightChars="256"/>
        <w:jc w:val="left"/>
        <w:rPr>
          <w:rFonts w:ascii="Times New Roman" w:hAnsi="Times New Roman" w:eastAsia="方正仿宋简体"/>
          <w:sz w:val="30"/>
          <w:szCs w:val="30"/>
        </w:rPr>
      </w:pPr>
    </w:p>
    <w:p>
      <w:pPr>
        <w:pStyle w:val="17"/>
        <w:tabs>
          <w:tab w:val="left" w:pos="8080"/>
        </w:tabs>
        <w:spacing w:line="540" w:lineRule="exact"/>
        <w:ind w:right="538" w:rightChars="256"/>
        <w:jc w:val="left"/>
        <w:rPr>
          <w:rFonts w:ascii="Times New Roman" w:hAnsi="Times New Roman" w:eastAsia="方正仿宋简体"/>
          <w:sz w:val="30"/>
          <w:szCs w:val="30"/>
        </w:rPr>
      </w:pPr>
    </w:p>
    <w:p>
      <w:pPr>
        <w:pStyle w:val="17"/>
        <w:tabs>
          <w:tab w:val="left" w:pos="8080"/>
        </w:tabs>
        <w:spacing w:line="440" w:lineRule="exact"/>
        <w:jc w:val="left"/>
        <w:rPr>
          <w:rFonts w:ascii="Times New Roman" w:hAnsi="Times New Roman" w:eastAsia="方正仿宋简体"/>
          <w:sz w:val="30"/>
          <w:szCs w:val="30"/>
        </w:rPr>
      </w:pPr>
    </w:p>
    <w:p>
      <w:pPr>
        <w:pStyle w:val="17"/>
        <w:tabs>
          <w:tab w:val="left" w:pos="8080"/>
        </w:tabs>
        <w:spacing w:line="440" w:lineRule="exact"/>
        <w:jc w:val="left"/>
        <w:rPr>
          <w:rFonts w:ascii="Times New Roman" w:hAnsi="Times New Roman" w:eastAsia="方正仿宋简体"/>
          <w:sz w:val="30"/>
          <w:szCs w:val="30"/>
        </w:rPr>
      </w:pPr>
    </w:p>
    <w:p>
      <w:pPr>
        <w:pStyle w:val="17"/>
        <w:tabs>
          <w:tab w:val="left" w:pos="8080"/>
        </w:tabs>
        <w:spacing w:line="440" w:lineRule="exact"/>
        <w:jc w:val="left"/>
        <w:rPr>
          <w:rFonts w:ascii="Times New Roman" w:hAnsi="Times New Roman" w:eastAsia="方正仿宋简体"/>
          <w:sz w:val="30"/>
          <w:szCs w:val="30"/>
        </w:rPr>
      </w:pPr>
    </w:p>
    <w:p>
      <w:pPr>
        <w:pStyle w:val="17"/>
        <w:tabs>
          <w:tab w:val="left" w:pos="8080"/>
        </w:tabs>
        <w:spacing w:line="440" w:lineRule="exact"/>
        <w:jc w:val="left"/>
        <w:rPr>
          <w:rFonts w:ascii="Times New Roman" w:hAnsi="Times New Roman" w:eastAsia="方正仿宋简体"/>
          <w:sz w:val="30"/>
          <w:szCs w:val="30"/>
        </w:rPr>
      </w:pPr>
    </w:p>
    <w:p>
      <w:pPr>
        <w:pStyle w:val="17"/>
        <w:tabs>
          <w:tab w:val="left" w:pos="8080"/>
        </w:tabs>
        <w:spacing w:line="440" w:lineRule="exact"/>
        <w:jc w:val="left"/>
        <w:rPr>
          <w:rFonts w:ascii="Times New Roman" w:hAnsi="Times New Roman" w:eastAsia="方正仿宋简体"/>
          <w:sz w:val="30"/>
          <w:szCs w:val="30"/>
        </w:rPr>
      </w:pPr>
    </w:p>
    <w:p>
      <w:pPr>
        <w:pStyle w:val="17"/>
        <w:tabs>
          <w:tab w:val="left" w:pos="8080"/>
        </w:tabs>
        <w:spacing w:line="440" w:lineRule="exact"/>
        <w:jc w:val="left"/>
        <w:rPr>
          <w:rFonts w:ascii="Times New Roman" w:hAnsi="Times New Roman" w:eastAsia="方正仿宋简体"/>
          <w:sz w:val="30"/>
          <w:szCs w:val="30"/>
        </w:rPr>
      </w:pPr>
    </w:p>
    <w:p>
      <w:pPr>
        <w:pStyle w:val="17"/>
        <w:tabs>
          <w:tab w:val="left" w:pos="8080"/>
        </w:tabs>
        <w:spacing w:line="440" w:lineRule="exact"/>
        <w:jc w:val="left"/>
        <w:rPr>
          <w:rFonts w:ascii="Times New Roman" w:hAnsi="Times New Roman" w:eastAsia="方正仿宋简体"/>
          <w:sz w:val="30"/>
          <w:szCs w:val="30"/>
        </w:rPr>
      </w:pPr>
    </w:p>
    <w:p>
      <w:pPr>
        <w:pStyle w:val="17"/>
        <w:tabs>
          <w:tab w:val="left" w:pos="8080"/>
        </w:tabs>
        <w:spacing w:line="440" w:lineRule="exact"/>
        <w:jc w:val="left"/>
        <w:rPr>
          <w:rFonts w:ascii="Times New Roman" w:hAnsi="Times New Roman" w:eastAsia="方正仿宋简体"/>
          <w:sz w:val="30"/>
          <w:szCs w:val="30"/>
        </w:rPr>
      </w:pPr>
    </w:p>
    <w:p>
      <w:pPr>
        <w:pStyle w:val="17"/>
        <w:tabs>
          <w:tab w:val="left" w:pos="8080"/>
        </w:tabs>
        <w:spacing w:line="440" w:lineRule="exact"/>
        <w:jc w:val="left"/>
        <w:rPr>
          <w:rFonts w:ascii="Times New Roman" w:hAnsi="Times New Roman" w:eastAsia="方正仿宋简体"/>
          <w:sz w:val="30"/>
          <w:szCs w:val="30"/>
        </w:rPr>
      </w:pPr>
    </w:p>
    <w:p>
      <w:pPr>
        <w:pStyle w:val="17"/>
        <w:tabs>
          <w:tab w:val="left" w:pos="8080"/>
        </w:tabs>
        <w:spacing w:line="440" w:lineRule="exact"/>
        <w:jc w:val="left"/>
        <w:rPr>
          <w:rFonts w:ascii="Times New Roman" w:hAnsi="Times New Roman" w:eastAsia="方正仿宋简体"/>
          <w:sz w:val="30"/>
          <w:szCs w:val="30"/>
        </w:rPr>
      </w:pPr>
    </w:p>
    <w:p>
      <w:pPr>
        <w:pStyle w:val="17"/>
        <w:tabs>
          <w:tab w:val="left" w:pos="8080"/>
        </w:tabs>
        <w:spacing w:line="440" w:lineRule="exact"/>
        <w:jc w:val="left"/>
        <w:rPr>
          <w:rFonts w:ascii="Times New Roman" w:hAnsi="Times New Roman" w:eastAsia="方正仿宋简体"/>
          <w:sz w:val="30"/>
          <w:szCs w:val="30"/>
        </w:rPr>
      </w:pPr>
    </w:p>
    <w:sectPr>
      <w:footerReference r:id="rId4" w:type="default"/>
      <w:footerReference r:id="rId5" w:type="even"/>
      <w:pgSz w:w="11907" w:h="16840"/>
      <w:pgMar w:top="2098" w:right="1588" w:bottom="1985" w:left="1701" w:header="0" w:footer="1418"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2"/>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楷体简体">
    <w:altName w:val="方正楷体_GBK"/>
    <w:panose1 w:val="02010601030101010101"/>
    <w:charset w:val="86"/>
    <w:family w:val="auto"/>
    <w:pitch w:val="default"/>
    <w:sig w:usb0="00000000" w:usb1="00000000" w:usb2="00000000" w:usb3="00000000" w:csb0="00040000" w:csb1="00000000"/>
  </w:font>
  <w:font w:name="仿宋_GB2312">
    <w:altName w:val="仿宋"/>
    <w:panose1 w:val="00000000000000000000"/>
    <w:charset w:val="86"/>
    <w:family w:val="modern"/>
    <w:pitch w:val="default"/>
    <w:sig w:usb0="00000000" w:usb1="00000000" w:usb2="00000010" w:usb3="00000000" w:csb0="00040000" w:csb1="00000000"/>
  </w:font>
  <w:font w:name="Cambria">
    <w:panose1 w:val="02040503050406030204"/>
    <w:charset w:val="00"/>
    <w:family w:val="roman"/>
    <w:pitch w:val="default"/>
    <w:sig w:usb0="E00002FF" w:usb1="400004FF" w:usb2="00000000" w:usb3="00000000" w:csb0="2000019F" w:csb1="00000000"/>
  </w:font>
  <w:font w:name="方正仿宋简体">
    <w:altName w:val="方正仿宋_GBK"/>
    <w:panose1 w:val="02010601030101010101"/>
    <w:charset w:val="86"/>
    <w:family w:val="auto"/>
    <w:pitch w:val="default"/>
    <w:sig w:usb0="00000000" w:usb1="00000000" w:usb2="00000000" w:usb3="00000000" w:csb0="00040000" w:csb1="00000000"/>
  </w:font>
  <w:font w:name="方正小标宋简体">
    <w:panose1 w:val="02000000000000000000"/>
    <w:charset w:val="86"/>
    <w:family w:val="auto"/>
    <w:pitch w:val="default"/>
    <w:sig w:usb0="00000001" w:usb1="08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Arial Unicode MS">
    <w:panose1 w:val="020B0604020202020204"/>
    <w:charset w:val="86"/>
    <w:family w:val="swiss"/>
    <w:pitch w:val="default"/>
    <w:sig w:usb0="FFFFFFFF" w:usb1="E9FFFFFF" w:usb2="0000003F" w:usb3="00000000" w:csb0="603F01FF" w:csb1="FFFF0000"/>
  </w:font>
  <w:font w:name="仿宋">
    <w:panose1 w:val="02010609060101010101"/>
    <w:charset w:val="86"/>
    <w:family w:val="auto"/>
    <w:pitch w:val="default"/>
    <w:sig w:usb0="800002BF" w:usb1="38CF7CFA" w:usb2="00000016" w:usb3="00000000" w:csb0="00040001" w:csb1="00000000"/>
  </w:font>
  <w:font w:name="方正仿宋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rPr>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rPr>
        <w:sz w:val="28"/>
        <w:szCs w:val="28"/>
      </w:rPr>
    </w:pPr>
    <w:r>
      <w:rPr>
        <w:sz w:val="28"/>
      </w:rPr>
      <w:pict>
        <v:shape id="_x0000_s2049" o:spid="_x0000_s2049" o:spt="202" type="#_x0000_t202" style="position:absolute;left:0pt;margin-top:0pt;height:144pt;width:144pt;mso-position-horizontal:outside;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pPr>
                  <w:tabs>
                    <w:tab w:val="center" w:pos="4153"/>
                    <w:tab w:val="right" w:pos="8306"/>
                  </w:tabs>
                  <w:snapToGrid w:val="0"/>
                  <w:jc w:val="left"/>
                </w:pPr>
                <w:r>
                  <w:rPr>
                    <w:rFonts w:hint="eastAsia" w:ascii="宋体" w:hAnsi="宋体"/>
                    <w:sz w:val="28"/>
                    <w:szCs w:val="28"/>
                  </w:rPr>
                  <w:t xml:space="preserve">— </w:t>
                </w:r>
                <w:r>
                  <w:rPr>
                    <w:rFonts w:ascii="宋体" w:hAnsi="宋体"/>
                    <w:sz w:val="28"/>
                    <w:szCs w:val="28"/>
                  </w:rPr>
                  <w:fldChar w:fldCharType="begin"/>
                </w:r>
                <w:r>
                  <w:rPr>
                    <w:rFonts w:ascii="宋体" w:hAnsi="宋体"/>
                    <w:sz w:val="28"/>
                    <w:szCs w:val="28"/>
                  </w:rPr>
                  <w:instrText xml:space="preserve">PAGE  </w:instrText>
                </w:r>
                <w:r>
                  <w:rPr>
                    <w:rFonts w:ascii="宋体" w:hAnsi="宋体"/>
                    <w:sz w:val="28"/>
                    <w:szCs w:val="28"/>
                  </w:rPr>
                  <w:fldChar w:fldCharType="separate"/>
                </w:r>
                <w:r>
                  <w:rPr>
                    <w:rFonts w:ascii="宋体" w:hAnsi="宋体"/>
                    <w:sz w:val="28"/>
                    <w:szCs w:val="28"/>
                  </w:rPr>
                  <w:t>187</w:t>
                </w:r>
                <w:r>
                  <w:rPr>
                    <w:rFonts w:ascii="宋体" w:hAnsi="宋体"/>
                    <w:sz w:val="28"/>
                    <w:szCs w:val="28"/>
                  </w:rPr>
                  <w:fldChar w:fldCharType="end"/>
                </w:r>
                <w:r>
                  <w:rPr>
                    <w:rFonts w:hint="eastAsia" w:ascii="宋体" w:hAnsi="宋体"/>
                    <w:sz w:val="28"/>
                    <w:szCs w:val="28"/>
                  </w:rPr>
                  <w:t xml:space="preserve"> —</w:t>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ind w:right="360" w:firstLine="360"/>
      <w:rPr>
        <w:sz w:val="28"/>
        <w:szCs w:val="28"/>
      </w:rPr>
    </w:pPr>
    <w:r>
      <w:rPr>
        <w:sz w:val="28"/>
      </w:rPr>
      <w:pict>
        <v:shape id="_x0000_s2050" o:spid="_x0000_s2050" o:spt="202" type="#_x0000_t202" style="position:absolute;left:0pt;margin-top:0pt;height:144pt;width:144pt;mso-position-horizontal:outside;mso-position-horizontal-relative:margin;mso-wrap-style:none;z-index:251660288;mso-width-relative:page;mso-height-relative:page;" filled="f" stroked="f" coordsize="21600,21600">
          <v:path/>
          <v:fill on="f" focussize="0,0"/>
          <v:stroke on="f"/>
          <v:imagedata o:title=""/>
          <o:lock v:ext="edit" aspectratio="f"/>
          <v:textbox inset="0mm,0mm,0mm,0mm" style="mso-fit-shape-to-text:t;">
            <w:txbxContent>
              <w:p>
                <w:pPr>
                  <w:tabs>
                    <w:tab w:val="center" w:pos="4153"/>
                    <w:tab w:val="right" w:pos="8306"/>
                  </w:tabs>
                  <w:snapToGrid w:val="0"/>
                  <w:jc w:val="left"/>
                </w:pPr>
                <w:r>
                  <w:rPr>
                    <w:rFonts w:hint="eastAsia" w:ascii="宋体" w:hAnsi="宋体"/>
                    <w:sz w:val="28"/>
                    <w:szCs w:val="28"/>
                  </w:rPr>
                  <w:t xml:space="preserve">— </w:t>
                </w:r>
                <w:r>
                  <w:rPr>
                    <w:rFonts w:ascii="宋体" w:hAnsi="宋体"/>
                    <w:sz w:val="28"/>
                    <w:szCs w:val="28"/>
                  </w:rPr>
                  <w:fldChar w:fldCharType="begin"/>
                </w:r>
                <w:r>
                  <w:rPr>
                    <w:rFonts w:ascii="宋体" w:hAnsi="宋体"/>
                    <w:sz w:val="28"/>
                    <w:szCs w:val="28"/>
                  </w:rPr>
                  <w:instrText xml:space="preserve">PAGE  </w:instrText>
                </w:r>
                <w:r>
                  <w:rPr>
                    <w:rFonts w:ascii="宋体" w:hAnsi="宋体"/>
                    <w:sz w:val="28"/>
                    <w:szCs w:val="28"/>
                  </w:rPr>
                  <w:fldChar w:fldCharType="separate"/>
                </w:r>
                <w:r>
                  <w:rPr>
                    <w:rFonts w:ascii="宋体" w:hAnsi="宋体"/>
                    <w:sz w:val="28"/>
                    <w:szCs w:val="28"/>
                  </w:rPr>
                  <w:t>188</w:t>
                </w:r>
                <w:r>
                  <w:rPr>
                    <w:rFonts w:ascii="宋体" w:hAnsi="宋体"/>
                    <w:sz w:val="28"/>
                    <w:szCs w:val="28"/>
                  </w:rPr>
                  <w:fldChar w:fldCharType="end"/>
                </w:r>
                <w:r>
                  <w:rPr>
                    <w:rFonts w:hint="eastAsia" w:ascii="宋体" w:hAnsi="宋体"/>
                    <w:sz w:val="28"/>
                    <w:szCs w:val="28"/>
                  </w:rPr>
                  <w:t xml:space="preserve"> —</w:t>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131406"/>
    <w:multiLevelType w:val="multilevel"/>
    <w:tmpl w:val="00131406"/>
    <w:lvl w:ilvl="0" w:tentative="0">
      <w:start w:val="1"/>
      <w:numFmt w:val="decimal"/>
      <w:suff w:val="space"/>
      <w:lvlText w:val="（%1）"/>
      <w:lvlJc w:val="left"/>
      <w:pPr>
        <w:ind w:left="0" w:firstLine="1260"/>
      </w:pPr>
      <w:rPr>
        <w:rFonts w:hint="default"/>
      </w:rPr>
    </w:lvl>
    <w:lvl w:ilvl="1" w:tentative="0">
      <w:start w:val="1"/>
      <w:numFmt w:val="lowerLetter"/>
      <w:lvlText w:val="%2)"/>
      <w:lvlJc w:val="left"/>
      <w:pPr>
        <w:ind w:left="1344" w:hanging="420"/>
      </w:pPr>
    </w:lvl>
    <w:lvl w:ilvl="2" w:tentative="0">
      <w:start w:val="1"/>
      <w:numFmt w:val="lowerRoman"/>
      <w:lvlText w:val="%3."/>
      <w:lvlJc w:val="right"/>
      <w:pPr>
        <w:ind w:left="1764" w:hanging="420"/>
      </w:pPr>
    </w:lvl>
    <w:lvl w:ilvl="3" w:tentative="0">
      <w:start w:val="1"/>
      <w:numFmt w:val="decimal"/>
      <w:lvlText w:val="%4."/>
      <w:lvlJc w:val="left"/>
      <w:pPr>
        <w:ind w:left="2184" w:hanging="420"/>
      </w:pPr>
    </w:lvl>
    <w:lvl w:ilvl="4" w:tentative="0">
      <w:start w:val="1"/>
      <w:numFmt w:val="lowerLetter"/>
      <w:lvlText w:val="%5)"/>
      <w:lvlJc w:val="left"/>
      <w:pPr>
        <w:ind w:left="2604" w:hanging="420"/>
      </w:pPr>
    </w:lvl>
    <w:lvl w:ilvl="5" w:tentative="0">
      <w:start w:val="1"/>
      <w:numFmt w:val="lowerRoman"/>
      <w:lvlText w:val="%6."/>
      <w:lvlJc w:val="right"/>
      <w:pPr>
        <w:ind w:left="3024" w:hanging="420"/>
      </w:pPr>
    </w:lvl>
    <w:lvl w:ilvl="6" w:tentative="0">
      <w:start w:val="1"/>
      <w:numFmt w:val="decimal"/>
      <w:lvlText w:val="%7."/>
      <w:lvlJc w:val="left"/>
      <w:pPr>
        <w:ind w:left="3444" w:hanging="420"/>
      </w:pPr>
    </w:lvl>
    <w:lvl w:ilvl="7" w:tentative="0">
      <w:start w:val="1"/>
      <w:numFmt w:val="lowerLetter"/>
      <w:lvlText w:val="%8)"/>
      <w:lvlJc w:val="left"/>
      <w:pPr>
        <w:ind w:left="3864" w:hanging="420"/>
      </w:pPr>
    </w:lvl>
    <w:lvl w:ilvl="8" w:tentative="0">
      <w:start w:val="1"/>
      <w:numFmt w:val="lowerRoman"/>
      <w:lvlText w:val="%9."/>
      <w:lvlJc w:val="right"/>
      <w:pPr>
        <w:ind w:left="4284" w:hanging="420"/>
      </w:pPr>
    </w:lvl>
  </w:abstractNum>
  <w:abstractNum w:abstractNumId="1">
    <w:nsid w:val="02437ACD"/>
    <w:multiLevelType w:val="multilevel"/>
    <w:tmpl w:val="02437ACD"/>
    <w:lvl w:ilvl="0" w:tentative="0">
      <w:start w:val="1"/>
      <w:numFmt w:val="decimal"/>
      <w:suff w:val="nothing"/>
      <w:lvlText w:val="（%1）"/>
      <w:lvlJc w:val="left"/>
      <w:pPr>
        <w:ind w:left="2405"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3AB573E"/>
    <w:multiLevelType w:val="multilevel"/>
    <w:tmpl w:val="03AB573E"/>
    <w:lvl w:ilvl="0" w:tentative="0">
      <w:start w:val="1"/>
      <w:numFmt w:val="chineseCountingThousand"/>
      <w:suff w:val="nothing"/>
      <w:lvlText w:val="%1、"/>
      <w:lvlJc w:val="left"/>
      <w:pPr>
        <w:ind w:left="1022"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03CD09F4"/>
    <w:multiLevelType w:val="multilevel"/>
    <w:tmpl w:val="03CD09F4"/>
    <w:lvl w:ilvl="0" w:tentative="0">
      <w:start w:val="1"/>
      <w:numFmt w:val="chineseCountingThousand"/>
      <w:suff w:val="space"/>
      <w:lvlText w:val="（%1）"/>
      <w:lvlJc w:val="left"/>
      <w:pPr>
        <w:ind w:left="1129" w:hanging="420"/>
      </w:pPr>
      <w:rPr>
        <w:rFonts w:hint="eastAsia"/>
      </w:rPr>
    </w:lvl>
    <w:lvl w:ilvl="1" w:tentative="0">
      <w:start w:val="1"/>
      <w:numFmt w:val="lowerLetter"/>
      <w:lvlText w:val="%2)"/>
      <w:lvlJc w:val="left"/>
      <w:pPr>
        <w:ind w:left="909" w:hanging="420"/>
      </w:pPr>
    </w:lvl>
    <w:lvl w:ilvl="2" w:tentative="0">
      <w:start w:val="1"/>
      <w:numFmt w:val="lowerRoman"/>
      <w:lvlText w:val="%3."/>
      <w:lvlJc w:val="right"/>
      <w:pPr>
        <w:ind w:left="1329" w:hanging="420"/>
      </w:pPr>
    </w:lvl>
    <w:lvl w:ilvl="3" w:tentative="0">
      <w:start w:val="1"/>
      <w:numFmt w:val="decimal"/>
      <w:lvlText w:val="%4."/>
      <w:lvlJc w:val="left"/>
      <w:pPr>
        <w:ind w:left="1749" w:hanging="420"/>
      </w:pPr>
    </w:lvl>
    <w:lvl w:ilvl="4" w:tentative="0">
      <w:start w:val="1"/>
      <w:numFmt w:val="lowerLetter"/>
      <w:lvlText w:val="%5)"/>
      <w:lvlJc w:val="left"/>
      <w:pPr>
        <w:ind w:left="2169" w:hanging="420"/>
      </w:pPr>
    </w:lvl>
    <w:lvl w:ilvl="5" w:tentative="0">
      <w:start w:val="1"/>
      <w:numFmt w:val="lowerRoman"/>
      <w:lvlText w:val="%6."/>
      <w:lvlJc w:val="right"/>
      <w:pPr>
        <w:ind w:left="2589" w:hanging="420"/>
      </w:pPr>
    </w:lvl>
    <w:lvl w:ilvl="6" w:tentative="0">
      <w:start w:val="1"/>
      <w:numFmt w:val="decimal"/>
      <w:lvlText w:val="%7."/>
      <w:lvlJc w:val="left"/>
      <w:pPr>
        <w:ind w:left="3009" w:hanging="420"/>
      </w:pPr>
    </w:lvl>
    <w:lvl w:ilvl="7" w:tentative="0">
      <w:start w:val="1"/>
      <w:numFmt w:val="lowerLetter"/>
      <w:lvlText w:val="%8)"/>
      <w:lvlJc w:val="left"/>
      <w:pPr>
        <w:ind w:left="3429" w:hanging="420"/>
      </w:pPr>
    </w:lvl>
    <w:lvl w:ilvl="8" w:tentative="0">
      <w:start w:val="1"/>
      <w:numFmt w:val="lowerRoman"/>
      <w:lvlText w:val="%9."/>
      <w:lvlJc w:val="right"/>
      <w:pPr>
        <w:ind w:left="3849" w:hanging="420"/>
      </w:pPr>
    </w:lvl>
  </w:abstractNum>
  <w:abstractNum w:abstractNumId="4">
    <w:nsid w:val="07573437"/>
    <w:multiLevelType w:val="multilevel"/>
    <w:tmpl w:val="07573437"/>
    <w:lvl w:ilvl="0" w:tentative="0">
      <w:start w:val="1"/>
      <w:numFmt w:val="decimal"/>
      <w:suff w:val="space"/>
      <w:lvlText w:val="%1."/>
      <w:lvlJc w:val="left"/>
      <w:pPr>
        <w:ind w:left="168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07626B39"/>
    <w:multiLevelType w:val="multilevel"/>
    <w:tmpl w:val="07626B39"/>
    <w:lvl w:ilvl="0" w:tentative="0">
      <w:start w:val="1"/>
      <w:numFmt w:val="decimal"/>
      <w:lvlText w:val="（%1）"/>
      <w:lvlJc w:val="left"/>
      <w:pPr>
        <w:ind w:left="1020" w:hanging="420"/>
      </w:pPr>
      <w:rPr>
        <w:rFonts w:hint="default"/>
      </w:rPr>
    </w:lvl>
    <w:lvl w:ilvl="1" w:tentative="0">
      <w:start w:val="1"/>
      <w:numFmt w:val="decimal"/>
      <w:suff w:val="nothing"/>
      <w:lvlText w:val="（%2）"/>
      <w:lvlJc w:val="left"/>
      <w:pPr>
        <w:ind w:left="1022" w:hanging="420"/>
      </w:pPr>
      <w:rPr>
        <w:rFonts w:hint="default"/>
      </w:rPr>
    </w:lvl>
    <w:lvl w:ilvl="2" w:tentative="0">
      <w:start w:val="1"/>
      <w:numFmt w:val="lowerRoman"/>
      <w:lvlText w:val="%3."/>
      <w:lvlJc w:val="right"/>
      <w:pPr>
        <w:ind w:left="1860" w:hanging="420"/>
      </w:pPr>
    </w:lvl>
    <w:lvl w:ilvl="3" w:tentative="0">
      <w:start w:val="1"/>
      <w:numFmt w:val="decimal"/>
      <w:lvlText w:val="%4."/>
      <w:lvlJc w:val="left"/>
      <w:pPr>
        <w:ind w:left="2280" w:hanging="420"/>
      </w:pPr>
    </w:lvl>
    <w:lvl w:ilvl="4" w:tentative="0">
      <w:start w:val="1"/>
      <w:numFmt w:val="lowerLetter"/>
      <w:lvlText w:val="%5)"/>
      <w:lvlJc w:val="left"/>
      <w:pPr>
        <w:ind w:left="2700" w:hanging="420"/>
      </w:pPr>
    </w:lvl>
    <w:lvl w:ilvl="5" w:tentative="0">
      <w:start w:val="1"/>
      <w:numFmt w:val="lowerRoman"/>
      <w:lvlText w:val="%6."/>
      <w:lvlJc w:val="right"/>
      <w:pPr>
        <w:ind w:left="3120" w:hanging="420"/>
      </w:pPr>
    </w:lvl>
    <w:lvl w:ilvl="6" w:tentative="0">
      <w:start w:val="1"/>
      <w:numFmt w:val="decimal"/>
      <w:lvlText w:val="%7."/>
      <w:lvlJc w:val="left"/>
      <w:pPr>
        <w:ind w:left="3540" w:hanging="420"/>
      </w:pPr>
    </w:lvl>
    <w:lvl w:ilvl="7" w:tentative="0">
      <w:start w:val="1"/>
      <w:numFmt w:val="lowerLetter"/>
      <w:lvlText w:val="%8)"/>
      <w:lvlJc w:val="left"/>
      <w:pPr>
        <w:ind w:left="3960" w:hanging="420"/>
      </w:pPr>
    </w:lvl>
    <w:lvl w:ilvl="8" w:tentative="0">
      <w:start w:val="1"/>
      <w:numFmt w:val="lowerRoman"/>
      <w:lvlText w:val="%9."/>
      <w:lvlJc w:val="right"/>
      <w:pPr>
        <w:ind w:left="4380" w:hanging="420"/>
      </w:pPr>
    </w:lvl>
  </w:abstractNum>
  <w:abstractNum w:abstractNumId="6">
    <w:nsid w:val="07917D2C"/>
    <w:multiLevelType w:val="multilevel"/>
    <w:tmpl w:val="07917D2C"/>
    <w:lvl w:ilvl="0" w:tentative="0">
      <w:start w:val="1"/>
      <w:numFmt w:val="decimal"/>
      <w:suff w:val="space"/>
      <w:lvlText w:val="%1."/>
      <w:lvlJc w:val="left"/>
      <w:pPr>
        <w:ind w:left="1022" w:hanging="420"/>
      </w:pPr>
      <w:rPr>
        <w:rFonts w:hint="eastAsia"/>
      </w:rPr>
    </w:lvl>
    <w:lvl w:ilvl="1" w:tentative="0">
      <w:start w:val="1"/>
      <w:numFmt w:val="lowerLetter"/>
      <w:lvlText w:val="%2)"/>
      <w:lvlJc w:val="left"/>
      <w:pPr>
        <w:ind w:left="1440" w:hanging="420"/>
      </w:pPr>
    </w:lvl>
    <w:lvl w:ilvl="2" w:tentative="0">
      <w:start w:val="1"/>
      <w:numFmt w:val="lowerRoman"/>
      <w:lvlText w:val="%3."/>
      <w:lvlJc w:val="right"/>
      <w:pPr>
        <w:ind w:left="1860" w:hanging="420"/>
      </w:pPr>
    </w:lvl>
    <w:lvl w:ilvl="3" w:tentative="0">
      <w:start w:val="1"/>
      <w:numFmt w:val="decimal"/>
      <w:lvlText w:val="%4."/>
      <w:lvlJc w:val="left"/>
      <w:pPr>
        <w:ind w:left="2280" w:hanging="420"/>
      </w:pPr>
    </w:lvl>
    <w:lvl w:ilvl="4" w:tentative="0">
      <w:start w:val="1"/>
      <w:numFmt w:val="lowerLetter"/>
      <w:lvlText w:val="%5)"/>
      <w:lvlJc w:val="left"/>
      <w:pPr>
        <w:ind w:left="2700" w:hanging="420"/>
      </w:pPr>
    </w:lvl>
    <w:lvl w:ilvl="5" w:tentative="0">
      <w:start w:val="1"/>
      <w:numFmt w:val="lowerRoman"/>
      <w:lvlText w:val="%6."/>
      <w:lvlJc w:val="right"/>
      <w:pPr>
        <w:ind w:left="3120" w:hanging="420"/>
      </w:pPr>
    </w:lvl>
    <w:lvl w:ilvl="6" w:tentative="0">
      <w:start w:val="1"/>
      <w:numFmt w:val="decimal"/>
      <w:lvlText w:val="%7."/>
      <w:lvlJc w:val="left"/>
      <w:pPr>
        <w:ind w:left="3540" w:hanging="420"/>
      </w:pPr>
    </w:lvl>
    <w:lvl w:ilvl="7" w:tentative="0">
      <w:start w:val="1"/>
      <w:numFmt w:val="lowerLetter"/>
      <w:lvlText w:val="%8)"/>
      <w:lvlJc w:val="left"/>
      <w:pPr>
        <w:ind w:left="3960" w:hanging="420"/>
      </w:pPr>
    </w:lvl>
    <w:lvl w:ilvl="8" w:tentative="0">
      <w:start w:val="1"/>
      <w:numFmt w:val="lowerRoman"/>
      <w:lvlText w:val="%9."/>
      <w:lvlJc w:val="right"/>
      <w:pPr>
        <w:ind w:left="4380" w:hanging="420"/>
      </w:pPr>
    </w:lvl>
  </w:abstractNum>
  <w:abstractNum w:abstractNumId="7">
    <w:nsid w:val="0A7D0A49"/>
    <w:multiLevelType w:val="multilevel"/>
    <w:tmpl w:val="0A7D0A49"/>
    <w:lvl w:ilvl="0" w:tentative="0">
      <w:start w:val="1"/>
      <w:numFmt w:val="chineseCountingThousand"/>
      <w:suff w:val="nothing"/>
      <w:lvlText w:val="%1、"/>
      <w:lvlJc w:val="left"/>
      <w:pPr>
        <w:ind w:left="1022"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B9F0929"/>
    <w:multiLevelType w:val="multilevel"/>
    <w:tmpl w:val="0B9F0929"/>
    <w:lvl w:ilvl="0" w:tentative="0">
      <w:start w:val="1"/>
      <w:numFmt w:val="chineseCountingThousand"/>
      <w:suff w:val="nothing"/>
      <w:lvlText w:val="（%1）"/>
      <w:lvlJc w:val="left"/>
      <w:pPr>
        <w:ind w:left="602" w:firstLine="0"/>
      </w:pPr>
      <w:rPr>
        <w:rFonts w:hint="eastAsia"/>
      </w:rPr>
    </w:lvl>
    <w:lvl w:ilvl="1" w:tentative="0">
      <w:start w:val="1"/>
      <w:numFmt w:val="decimal"/>
      <w:lvlText w:val="%2、"/>
      <w:lvlJc w:val="left"/>
      <w:pPr>
        <w:ind w:left="1395" w:hanging="975"/>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BC07727"/>
    <w:multiLevelType w:val="multilevel"/>
    <w:tmpl w:val="0BC07727"/>
    <w:lvl w:ilvl="0" w:tentative="0">
      <w:start w:val="1"/>
      <w:numFmt w:val="chineseCountingThousand"/>
      <w:suff w:val="nothing"/>
      <w:lvlText w:val="%1、"/>
      <w:lvlJc w:val="left"/>
      <w:pPr>
        <w:ind w:left="1022"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0C071396"/>
    <w:multiLevelType w:val="multilevel"/>
    <w:tmpl w:val="0C071396"/>
    <w:lvl w:ilvl="0" w:tentative="0">
      <w:start w:val="1"/>
      <w:numFmt w:val="decimal"/>
      <w:suff w:val="space"/>
      <w:lvlText w:val="（%1）"/>
      <w:lvlJc w:val="left"/>
      <w:pPr>
        <w:ind w:left="924" w:hanging="420"/>
      </w:pPr>
      <w:rPr>
        <w:rFonts w:hint="default"/>
      </w:rPr>
    </w:lvl>
    <w:lvl w:ilvl="1" w:tentative="0">
      <w:start w:val="1"/>
      <w:numFmt w:val="lowerLetter"/>
      <w:lvlText w:val="%2)"/>
      <w:lvlJc w:val="left"/>
      <w:pPr>
        <w:ind w:left="1344" w:hanging="420"/>
      </w:pPr>
    </w:lvl>
    <w:lvl w:ilvl="2" w:tentative="0">
      <w:start w:val="1"/>
      <w:numFmt w:val="lowerRoman"/>
      <w:lvlText w:val="%3."/>
      <w:lvlJc w:val="right"/>
      <w:pPr>
        <w:ind w:left="1764" w:hanging="420"/>
      </w:pPr>
    </w:lvl>
    <w:lvl w:ilvl="3" w:tentative="0">
      <w:start w:val="1"/>
      <w:numFmt w:val="decimal"/>
      <w:lvlText w:val="%4."/>
      <w:lvlJc w:val="left"/>
      <w:pPr>
        <w:ind w:left="2184" w:hanging="420"/>
      </w:pPr>
    </w:lvl>
    <w:lvl w:ilvl="4" w:tentative="0">
      <w:start w:val="1"/>
      <w:numFmt w:val="lowerLetter"/>
      <w:lvlText w:val="%5)"/>
      <w:lvlJc w:val="left"/>
      <w:pPr>
        <w:ind w:left="2604" w:hanging="420"/>
      </w:pPr>
    </w:lvl>
    <w:lvl w:ilvl="5" w:tentative="0">
      <w:start w:val="1"/>
      <w:numFmt w:val="lowerRoman"/>
      <w:lvlText w:val="%6."/>
      <w:lvlJc w:val="right"/>
      <w:pPr>
        <w:ind w:left="3024" w:hanging="420"/>
      </w:pPr>
    </w:lvl>
    <w:lvl w:ilvl="6" w:tentative="0">
      <w:start w:val="1"/>
      <w:numFmt w:val="decimal"/>
      <w:lvlText w:val="%7."/>
      <w:lvlJc w:val="left"/>
      <w:pPr>
        <w:ind w:left="3444" w:hanging="420"/>
      </w:pPr>
    </w:lvl>
    <w:lvl w:ilvl="7" w:tentative="0">
      <w:start w:val="1"/>
      <w:numFmt w:val="lowerLetter"/>
      <w:lvlText w:val="%8)"/>
      <w:lvlJc w:val="left"/>
      <w:pPr>
        <w:ind w:left="3864" w:hanging="420"/>
      </w:pPr>
    </w:lvl>
    <w:lvl w:ilvl="8" w:tentative="0">
      <w:start w:val="1"/>
      <w:numFmt w:val="lowerRoman"/>
      <w:lvlText w:val="%9."/>
      <w:lvlJc w:val="right"/>
      <w:pPr>
        <w:ind w:left="4284" w:hanging="420"/>
      </w:pPr>
    </w:lvl>
  </w:abstractNum>
  <w:abstractNum w:abstractNumId="11">
    <w:nsid w:val="0D5E7FAF"/>
    <w:multiLevelType w:val="multilevel"/>
    <w:tmpl w:val="0D5E7FAF"/>
    <w:lvl w:ilvl="0" w:tentative="0">
      <w:start w:val="1"/>
      <w:numFmt w:val="decimal"/>
      <w:suff w:val="space"/>
      <w:lvlText w:val="（%1）"/>
      <w:lvlJc w:val="left"/>
      <w:pPr>
        <w:ind w:left="1680" w:hanging="420"/>
      </w:pPr>
      <w:rPr>
        <w:rFonts w:hint="default"/>
      </w:rPr>
    </w:lvl>
    <w:lvl w:ilvl="1" w:tentative="0">
      <w:start w:val="1"/>
      <w:numFmt w:val="lowerLetter"/>
      <w:lvlText w:val="%2)"/>
      <w:lvlJc w:val="left"/>
      <w:pPr>
        <w:ind w:left="1344" w:hanging="420"/>
      </w:pPr>
    </w:lvl>
    <w:lvl w:ilvl="2" w:tentative="0">
      <w:start w:val="1"/>
      <w:numFmt w:val="lowerRoman"/>
      <w:lvlText w:val="%3."/>
      <w:lvlJc w:val="right"/>
      <w:pPr>
        <w:ind w:left="1764" w:hanging="420"/>
      </w:pPr>
    </w:lvl>
    <w:lvl w:ilvl="3" w:tentative="0">
      <w:start w:val="1"/>
      <w:numFmt w:val="decimal"/>
      <w:lvlText w:val="%4."/>
      <w:lvlJc w:val="left"/>
      <w:pPr>
        <w:ind w:left="2184" w:hanging="420"/>
      </w:pPr>
    </w:lvl>
    <w:lvl w:ilvl="4" w:tentative="0">
      <w:start w:val="1"/>
      <w:numFmt w:val="lowerLetter"/>
      <w:lvlText w:val="%5)"/>
      <w:lvlJc w:val="left"/>
      <w:pPr>
        <w:ind w:left="2604" w:hanging="420"/>
      </w:pPr>
    </w:lvl>
    <w:lvl w:ilvl="5" w:tentative="0">
      <w:start w:val="1"/>
      <w:numFmt w:val="lowerRoman"/>
      <w:lvlText w:val="%6."/>
      <w:lvlJc w:val="right"/>
      <w:pPr>
        <w:ind w:left="3024" w:hanging="420"/>
      </w:pPr>
    </w:lvl>
    <w:lvl w:ilvl="6" w:tentative="0">
      <w:start w:val="1"/>
      <w:numFmt w:val="decimal"/>
      <w:lvlText w:val="%7."/>
      <w:lvlJc w:val="left"/>
      <w:pPr>
        <w:ind w:left="3444" w:hanging="420"/>
      </w:pPr>
    </w:lvl>
    <w:lvl w:ilvl="7" w:tentative="0">
      <w:start w:val="1"/>
      <w:numFmt w:val="lowerLetter"/>
      <w:lvlText w:val="%8)"/>
      <w:lvlJc w:val="left"/>
      <w:pPr>
        <w:ind w:left="3864" w:hanging="420"/>
      </w:pPr>
    </w:lvl>
    <w:lvl w:ilvl="8" w:tentative="0">
      <w:start w:val="1"/>
      <w:numFmt w:val="lowerRoman"/>
      <w:lvlText w:val="%9."/>
      <w:lvlJc w:val="right"/>
      <w:pPr>
        <w:ind w:left="4284" w:hanging="420"/>
      </w:pPr>
    </w:lvl>
  </w:abstractNum>
  <w:abstractNum w:abstractNumId="12">
    <w:nsid w:val="0F347FE7"/>
    <w:multiLevelType w:val="multilevel"/>
    <w:tmpl w:val="0F347FE7"/>
    <w:lvl w:ilvl="0" w:tentative="0">
      <w:start w:val="1"/>
      <w:numFmt w:val="decimal"/>
      <w:suff w:val="space"/>
      <w:lvlText w:val="（%1）"/>
      <w:lvlJc w:val="left"/>
      <w:pPr>
        <w:ind w:left="924" w:hanging="420"/>
      </w:pPr>
      <w:rPr>
        <w:rFonts w:hint="default"/>
      </w:rPr>
    </w:lvl>
    <w:lvl w:ilvl="1" w:tentative="0">
      <w:start w:val="1"/>
      <w:numFmt w:val="lowerLetter"/>
      <w:lvlText w:val="%2)"/>
      <w:lvlJc w:val="left"/>
      <w:pPr>
        <w:ind w:left="1344" w:hanging="420"/>
      </w:pPr>
    </w:lvl>
    <w:lvl w:ilvl="2" w:tentative="0">
      <w:start w:val="1"/>
      <w:numFmt w:val="lowerRoman"/>
      <w:lvlText w:val="%3."/>
      <w:lvlJc w:val="right"/>
      <w:pPr>
        <w:ind w:left="1764" w:hanging="420"/>
      </w:pPr>
    </w:lvl>
    <w:lvl w:ilvl="3" w:tentative="0">
      <w:start w:val="1"/>
      <w:numFmt w:val="decimal"/>
      <w:lvlText w:val="%4."/>
      <w:lvlJc w:val="left"/>
      <w:pPr>
        <w:ind w:left="2184" w:hanging="420"/>
      </w:pPr>
    </w:lvl>
    <w:lvl w:ilvl="4" w:tentative="0">
      <w:start w:val="1"/>
      <w:numFmt w:val="lowerLetter"/>
      <w:lvlText w:val="%5)"/>
      <w:lvlJc w:val="left"/>
      <w:pPr>
        <w:ind w:left="2604" w:hanging="420"/>
      </w:pPr>
    </w:lvl>
    <w:lvl w:ilvl="5" w:tentative="0">
      <w:start w:val="1"/>
      <w:numFmt w:val="lowerRoman"/>
      <w:lvlText w:val="%6."/>
      <w:lvlJc w:val="right"/>
      <w:pPr>
        <w:ind w:left="3024" w:hanging="420"/>
      </w:pPr>
    </w:lvl>
    <w:lvl w:ilvl="6" w:tentative="0">
      <w:start w:val="1"/>
      <w:numFmt w:val="decimal"/>
      <w:lvlText w:val="%7."/>
      <w:lvlJc w:val="left"/>
      <w:pPr>
        <w:ind w:left="3444" w:hanging="420"/>
      </w:pPr>
    </w:lvl>
    <w:lvl w:ilvl="7" w:tentative="0">
      <w:start w:val="1"/>
      <w:numFmt w:val="lowerLetter"/>
      <w:lvlText w:val="%8)"/>
      <w:lvlJc w:val="left"/>
      <w:pPr>
        <w:ind w:left="3864" w:hanging="420"/>
      </w:pPr>
    </w:lvl>
    <w:lvl w:ilvl="8" w:tentative="0">
      <w:start w:val="1"/>
      <w:numFmt w:val="lowerRoman"/>
      <w:lvlText w:val="%9."/>
      <w:lvlJc w:val="right"/>
      <w:pPr>
        <w:ind w:left="4284" w:hanging="420"/>
      </w:pPr>
    </w:lvl>
  </w:abstractNum>
  <w:abstractNum w:abstractNumId="13">
    <w:nsid w:val="10500A67"/>
    <w:multiLevelType w:val="multilevel"/>
    <w:tmpl w:val="10500A67"/>
    <w:lvl w:ilvl="0" w:tentative="0">
      <w:start w:val="1"/>
      <w:numFmt w:val="decimal"/>
      <w:suff w:val="space"/>
      <w:lvlText w:val="%1."/>
      <w:lvlJc w:val="left"/>
      <w:pPr>
        <w:ind w:left="168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118D102D"/>
    <w:multiLevelType w:val="multilevel"/>
    <w:tmpl w:val="118D102D"/>
    <w:lvl w:ilvl="0" w:tentative="0">
      <w:start w:val="1"/>
      <w:numFmt w:val="chineseCountingThousand"/>
      <w:lvlText w:val="第%1条"/>
      <w:lvlJc w:val="left"/>
      <w:pPr>
        <w:ind w:left="420" w:hanging="420"/>
      </w:pPr>
      <w:rPr>
        <w:rFonts w:hint="eastAsia" w:ascii="方正仿宋简体" w:eastAsia="方正仿宋简体" w:cs="Times New Roman"/>
        <w:b/>
        <w:sz w:val="30"/>
        <w:szCs w:val="30"/>
        <w:lang w:val="en-US"/>
      </w:rPr>
    </w:lvl>
    <w:lvl w:ilvl="1" w:tentative="0">
      <w:start w:val="1"/>
      <w:numFmt w:val="lowerLetter"/>
      <w:lvlText w:val="%2)"/>
      <w:lvlJc w:val="left"/>
      <w:pPr>
        <w:ind w:left="414" w:hanging="420"/>
      </w:pPr>
      <w:rPr>
        <w:rFonts w:cs="Times New Roman"/>
      </w:rPr>
    </w:lvl>
    <w:lvl w:ilvl="2" w:tentative="0">
      <w:start w:val="1"/>
      <w:numFmt w:val="lowerRoman"/>
      <w:lvlText w:val="%3."/>
      <w:lvlJc w:val="right"/>
      <w:pPr>
        <w:ind w:left="834" w:hanging="420"/>
      </w:pPr>
      <w:rPr>
        <w:rFonts w:cs="Times New Roman"/>
      </w:rPr>
    </w:lvl>
    <w:lvl w:ilvl="3" w:tentative="0">
      <w:start w:val="1"/>
      <w:numFmt w:val="decimal"/>
      <w:lvlText w:val="%4."/>
      <w:lvlJc w:val="left"/>
      <w:pPr>
        <w:ind w:left="1254" w:hanging="420"/>
      </w:pPr>
      <w:rPr>
        <w:rFonts w:cs="Times New Roman"/>
      </w:rPr>
    </w:lvl>
    <w:lvl w:ilvl="4" w:tentative="0">
      <w:start w:val="1"/>
      <w:numFmt w:val="lowerLetter"/>
      <w:lvlText w:val="%5)"/>
      <w:lvlJc w:val="left"/>
      <w:pPr>
        <w:ind w:left="1674" w:hanging="420"/>
      </w:pPr>
      <w:rPr>
        <w:rFonts w:cs="Times New Roman"/>
      </w:rPr>
    </w:lvl>
    <w:lvl w:ilvl="5" w:tentative="0">
      <w:start w:val="1"/>
      <w:numFmt w:val="lowerRoman"/>
      <w:lvlText w:val="%6."/>
      <w:lvlJc w:val="right"/>
      <w:pPr>
        <w:ind w:left="2094" w:hanging="420"/>
      </w:pPr>
      <w:rPr>
        <w:rFonts w:cs="Times New Roman"/>
      </w:rPr>
    </w:lvl>
    <w:lvl w:ilvl="6" w:tentative="0">
      <w:start w:val="1"/>
      <w:numFmt w:val="decimal"/>
      <w:lvlText w:val="%7."/>
      <w:lvlJc w:val="left"/>
      <w:pPr>
        <w:ind w:left="2514" w:hanging="420"/>
      </w:pPr>
      <w:rPr>
        <w:rFonts w:cs="Times New Roman"/>
      </w:rPr>
    </w:lvl>
    <w:lvl w:ilvl="7" w:tentative="0">
      <w:start w:val="1"/>
      <w:numFmt w:val="lowerLetter"/>
      <w:lvlText w:val="%8)"/>
      <w:lvlJc w:val="left"/>
      <w:pPr>
        <w:ind w:left="2934" w:hanging="420"/>
      </w:pPr>
      <w:rPr>
        <w:rFonts w:cs="Times New Roman"/>
      </w:rPr>
    </w:lvl>
    <w:lvl w:ilvl="8" w:tentative="0">
      <w:start w:val="1"/>
      <w:numFmt w:val="lowerRoman"/>
      <w:lvlText w:val="%9."/>
      <w:lvlJc w:val="right"/>
      <w:pPr>
        <w:ind w:left="3354" w:hanging="420"/>
      </w:pPr>
      <w:rPr>
        <w:rFonts w:cs="Times New Roman"/>
      </w:rPr>
    </w:lvl>
  </w:abstractNum>
  <w:abstractNum w:abstractNumId="15">
    <w:nsid w:val="119C42D2"/>
    <w:multiLevelType w:val="multilevel"/>
    <w:tmpl w:val="119C42D2"/>
    <w:lvl w:ilvl="0" w:tentative="0">
      <w:start w:val="1"/>
      <w:numFmt w:val="decimal"/>
      <w:suff w:val="space"/>
      <w:lvlText w:val="%1."/>
      <w:lvlJc w:val="left"/>
      <w:pPr>
        <w:ind w:left="168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12DF19B6"/>
    <w:multiLevelType w:val="multilevel"/>
    <w:tmpl w:val="12DF19B6"/>
    <w:lvl w:ilvl="0" w:tentative="0">
      <w:start w:val="1"/>
      <w:numFmt w:val="chineseCountingThousand"/>
      <w:suff w:val="space"/>
      <w:lvlText w:val="（%1）"/>
      <w:lvlJc w:val="left"/>
      <w:pPr>
        <w:ind w:left="1129" w:hanging="420"/>
      </w:pPr>
      <w:rPr>
        <w:rFonts w:hint="eastAsia"/>
      </w:rPr>
    </w:lvl>
    <w:lvl w:ilvl="1" w:tentative="0">
      <w:start w:val="1"/>
      <w:numFmt w:val="lowerLetter"/>
      <w:lvlText w:val="%2)"/>
      <w:lvlJc w:val="left"/>
      <w:pPr>
        <w:ind w:left="909" w:hanging="420"/>
      </w:pPr>
    </w:lvl>
    <w:lvl w:ilvl="2" w:tentative="0">
      <w:start w:val="1"/>
      <w:numFmt w:val="lowerRoman"/>
      <w:lvlText w:val="%3."/>
      <w:lvlJc w:val="right"/>
      <w:pPr>
        <w:ind w:left="1329" w:hanging="420"/>
      </w:pPr>
    </w:lvl>
    <w:lvl w:ilvl="3" w:tentative="0">
      <w:start w:val="1"/>
      <w:numFmt w:val="decimal"/>
      <w:lvlText w:val="%4."/>
      <w:lvlJc w:val="left"/>
      <w:pPr>
        <w:ind w:left="1749" w:hanging="420"/>
      </w:pPr>
    </w:lvl>
    <w:lvl w:ilvl="4" w:tentative="0">
      <w:start w:val="1"/>
      <w:numFmt w:val="lowerLetter"/>
      <w:lvlText w:val="%5)"/>
      <w:lvlJc w:val="left"/>
      <w:pPr>
        <w:ind w:left="2169" w:hanging="420"/>
      </w:pPr>
    </w:lvl>
    <w:lvl w:ilvl="5" w:tentative="0">
      <w:start w:val="1"/>
      <w:numFmt w:val="lowerRoman"/>
      <w:lvlText w:val="%6."/>
      <w:lvlJc w:val="right"/>
      <w:pPr>
        <w:ind w:left="2589" w:hanging="420"/>
      </w:pPr>
    </w:lvl>
    <w:lvl w:ilvl="6" w:tentative="0">
      <w:start w:val="1"/>
      <w:numFmt w:val="decimal"/>
      <w:lvlText w:val="%7."/>
      <w:lvlJc w:val="left"/>
      <w:pPr>
        <w:ind w:left="3009" w:hanging="420"/>
      </w:pPr>
    </w:lvl>
    <w:lvl w:ilvl="7" w:tentative="0">
      <w:start w:val="1"/>
      <w:numFmt w:val="lowerLetter"/>
      <w:lvlText w:val="%8)"/>
      <w:lvlJc w:val="left"/>
      <w:pPr>
        <w:ind w:left="3429" w:hanging="420"/>
      </w:pPr>
    </w:lvl>
    <w:lvl w:ilvl="8" w:tentative="0">
      <w:start w:val="1"/>
      <w:numFmt w:val="lowerRoman"/>
      <w:lvlText w:val="%9."/>
      <w:lvlJc w:val="right"/>
      <w:pPr>
        <w:ind w:left="3849" w:hanging="420"/>
      </w:pPr>
    </w:lvl>
  </w:abstractNum>
  <w:abstractNum w:abstractNumId="17">
    <w:nsid w:val="12FC7A09"/>
    <w:multiLevelType w:val="multilevel"/>
    <w:tmpl w:val="12FC7A09"/>
    <w:lvl w:ilvl="0" w:tentative="0">
      <w:start w:val="1"/>
      <w:numFmt w:val="decimal"/>
      <w:lvlText w:val="%1."/>
      <w:lvlJc w:val="left"/>
      <w:pPr>
        <w:ind w:left="1020" w:hanging="420"/>
      </w:pPr>
    </w:lvl>
    <w:lvl w:ilvl="1" w:tentative="0">
      <w:start w:val="1"/>
      <w:numFmt w:val="decimal"/>
      <w:lvlText w:val="（%2）"/>
      <w:lvlJc w:val="left"/>
      <w:pPr>
        <w:ind w:left="2100" w:hanging="1080"/>
      </w:pPr>
      <w:rPr>
        <w:rFonts w:hint="default"/>
      </w:rPr>
    </w:lvl>
    <w:lvl w:ilvl="2" w:tentative="0">
      <w:start w:val="1"/>
      <w:numFmt w:val="decimal"/>
      <w:suff w:val="space"/>
      <w:lvlText w:val="%3."/>
      <w:lvlJc w:val="left"/>
      <w:pPr>
        <w:ind w:left="1860" w:hanging="420"/>
      </w:pPr>
      <w:rPr>
        <w:rFonts w:hint="eastAsia"/>
      </w:rPr>
    </w:lvl>
    <w:lvl w:ilvl="3" w:tentative="0">
      <w:start w:val="1"/>
      <w:numFmt w:val="decimal"/>
      <w:lvlText w:val="%4."/>
      <w:lvlJc w:val="left"/>
      <w:pPr>
        <w:ind w:left="2280" w:hanging="420"/>
      </w:pPr>
    </w:lvl>
    <w:lvl w:ilvl="4" w:tentative="0">
      <w:start w:val="1"/>
      <w:numFmt w:val="lowerLetter"/>
      <w:lvlText w:val="%5)"/>
      <w:lvlJc w:val="left"/>
      <w:pPr>
        <w:ind w:left="2700" w:hanging="420"/>
      </w:pPr>
    </w:lvl>
    <w:lvl w:ilvl="5" w:tentative="0">
      <w:start w:val="1"/>
      <w:numFmt w:val="lowerRoman"/>
      <w:lvlText w:val="%6."/>
      <w:lvlJc w:val="right"/>
      <w:pPr>
        <w:ind w:left="3120" w:hanging="420"/>
      </w:pPr>
    </w:lvl>
    <w:lvl w:ilvl="6" w:tentative="0">
      <w:start w:val="1"/>
      <w:numFmt w:val="decimal"/>
      <w:lvlText w:val="%7."/>
      <w:lvlJc w:val="left"/>
      <w:pPr>
        <w:ind w:left="3540" w:hanging="420"/>
      </w:pPr>
    </w:lvl>
    <w:lvl w:ilvl="7" w:tentative="0">
      <w:start w:val="1"/>
      <w:numFmt w:val="lowerLetter"/>
      <w:lvlText w:val="%8)"/>
      <w:lvlJc w:val="left"/>
      <w:pPr>
        <w:ind w:left="3960" w:hanging="420"/>
      </w:pPr>
    </w:lvl>
    <w:lvl w:ilvl="8" w:tentative="0">
      <w:start w:val="1"/>
      <w:numFmt w:val="lowerRoman"/>
      <w:lvlText w:val="%9."/>
      <w:lvlJc w:val="right"/>
      <w:pPr>
        <w:ind w:left="4380" w:hanging="420"/>
      </w:pPr>
    </w:lvl>
  </w:abstractNum>
  <w:abstractNum w:abstractNumId="18">
    <w:nsid w:val="135F607E"/>
    <w:multiLevelType w:val="multilevel"/>
    <w:tmpl w:val="135F607E"/>
    <w:lvl w:ilvl="0" w:tentative="0">
      <w:start w:val="1"/>
      <w:numFmt w:val="decimal"/>
      <w:suff w:val="space"/>
      <w:lvlText w:val="%1."/>
      <w:lvlJc w:val="left"/>
      <w:pPr>
        <w:ind w:left="168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9">
    <w:nsid w:val="155F2366"/>
    <w:multiLevelType w:val="multilevel"/>
    <w:tmpl w:val="155F2366"/>
    <w:lvl w:ilvl="0" w:tentative="0">
      <w:start w:val="1"/>
      <w:numFmt w:val="decimal"/>
      <w:suff w:val="space"/>
      <w:lvlText w:val="%1."/>
      <w:lvlJc w:val="left"/>
      <w:pPr>
        <w:ind w:left="168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0">
    <w:nsid w:val="161725B7"/>
    <w:multiLevelType w:val="multilevel"/>
    <w:tmpl w:val="161725B7"/>
    <w:lvl w:ilvl="0" w:tentative="0">
      <w:start w:val="1"/>
      <w:numFmt w:val="chineseCountingThousand"/>
      <w:suff w:val="nothing"/>
      <w:lvlText w:val="（%1）"/>
      <w:lvlJc w:val="left"/>
      <w:pPr>
        <w:ind w:left="1129" w:hanging="420"/>
      </w:pPr>
      <w:rPr>
        <w:rFonts w:hint="eastAsia"/>
      </w:rPr>
    </w:lvl>
    <w:lvl w:ilvl="1" w:tentative="0">
      <w:start w:val="1"/>
      <w:numFmt w:val="lowerLetter"/>
      <w:lvlText w:val="%2)"/>
      <w:lvlJc w:val="left"/>
      <w:pPr>
        <w:ind w:left="909" w:hanging="420"/>
      </w:pPr>
    </w:lvl>
    <w:lvl w:ilvl="2" w:tentative="0">
      <w:start w:val="1"/>
      <w:numFmt w:val="lowerRoman"/>
      <w:lvlText w:val="%3."/>
      <w:lvlJc w:val="right"/>
      <w:pPr>
        <w:ind w:left="1329" w:hanging="420"/>
      </w:pPr>
    </w:lvl>
    <w:lvl w:ilvl="3" w:tentative="0">
      <w:start w:val="1"/>
      <w:numFmt w:val="decimal"/>
      <w:lvlText w:val="%4."/>
      <w:lvlJc w:val="left"/>
      <w:pPr>
        <w:ind w:left="1749" w:hanging="420"/>
      </w:pPr>
    </w:lvl>
    <w:lvl w:ilvl="4" w:tentative="0">
      <w:start w:val="1"/>
      <w:numFmt w:val="lowerLetter"/>
      <w:lvlText w:val="%5)"/>
      <w:lvlJc w:val="left"/>
      <w:pPr>
        <w:ind w:left="2169" w:hanging="420"/>
      </w:pPr>
    </w:lvl>
    <w:lvl w:ilvl="5" w:tentative="0">
      <w:start w:val="1"/>
      <w:numFmt w:val="lowerRoman"/>
      <w:lvlText w:val="%6."/>
      <w:lvlJc w:val="right"/>
      <w:pPr>
        <w:ind w:left="2589" w:hanging="420"/>
      </w:pPr>
    </w:lvl>
    <w:lvl w:ilvl="6" w:tentative="0">
      <w:start w:val="1"/>
      <w:numFmt w:val="decimal"/>
      <w:lvlText w:val="%7."/>
      <w:lvlJc w:val="left"/>
      <w:pPr>
        <w:ind w:left="3009" w:hanging="420"/>
      </w:pPr>
    </w:lvl>
    <w:lvl w:ilvl="7" w:tentative="0">
      <w:start w:val="1"/>
      <w:numFmt w:val="lowerLetter"/>
      <w:lvlText w:val="%8)"/>
      <w:lvlJc w:val="left"/>
      <w:pPr>
        <w:ind w:left="3429" w:hanging="420"/>
      </w:pPr>
    </w:lvl>
    <w:lvl w:ilvl="8" w:tentative="0">
      <w:start w:val="1"/>
      <w:numFmt w:val="lowerRoman"/>
      <w:lvlText w:val="%9."/>
      <w:lvlJc w:val="right"/>
      <w:pPr>
        <w:ind w:left="3849" w:hanging="420"/>
      </w:pPr>
    </w:lvl>
  </w:abstractNum>
  <w:abstractNum w:abstractNumId="21">
    <w:nsid w:val="168E03A1"/>
    <w:multiLevelType w:val="multilevel"/>
    <w:tmpl w:val="168E03A1"/>
    <w:lvl w:ilvl="0" w:tentative="0">
      <w:start w:val="1"/>
      <w:numFmt w:val="chineseCountingThousand"/>
      <w:suff w:val="space"/>
      <w:lvlText w:val="（%1）"/>
      <w:lvlJc w:val="left"/>
      <w:pPr>
        <w:ind w:left="1129" w:hanging="420"/>
      </w:pPr>
      <w:rPr>
        <w:rFonts w:hint="eastAsia"/>
      </w:rPr>
    </w:lvl>
    <w:lvl w:ilvl="1" w:tentative="0">
      <w:start w:val="1"/>
      <w:numFmt w:val="lowerLetter"/>
      <w:lvlText w:val="%2)"/>
      <w:lvlJc w:val="left"/>
      <w:pPr>
        <w:ind w:left="909" w:hanging="420"/>
      </w:pPr>
    </w:lvl>
    <w:lvl w:ilvl="2" w:tentative="0">
      <w:start w:val="1"/>
      <w:numFmt w:val="lowerRoman"/>
      <w:lvlText w:val="%3."/>
      <w:lvlJc w:val="right"/>
      <w:pPr>
        <w:ind w:left="1329" w:hanging="420"/>
      </w:pPr>
    </w:lvl>
    <w:lvl w:ilvl="3" w:tentative="0">
      <w:start w:val="1"/>
      <w:numFmt w:val="decimal"/>
      <w:lvlText w:val="%4."/>
      <w:lvlJc w:val="left"/>
      <w:pPr>
        <w:ind w:left="1749" w:hanging="420"/>
      </w:pPr>
    </w:lvl>
    <w:lvl w:ilvl="4" w:tentative="0">
      <w:start w:val="1"/>
      <w:numFmt w:val="lowerLetter"/>
      <w:lvlText w:val="%5)"/>
      <w:lvlJc w:val="left"/>
      <w:pPr>
        <w:ind w:left="2169" w:hanging="420"/>
      </w:pPr>
    </w:lvl>
    <w:lvl w:ilvl="5" w:tentative="0">
      <w:start w:val="1"/>
      <w:numFmt w:val="lowerRoman"/>
      <w:lvlText w:val="%6."/>
      <w:lvlJc w:val="right"/>
      <w:pPr>
        <w:ind w:left="2589" w:hanging="420"/>
      </w:pPr>
    </w:lvl>
    <w:lvl w:ilvl="6" w:tentative="0">
      <w:start w:val="1"/>
      <w:numFmt w:val="decimal"/>
      <w:lvlText w:val="%7."/>
      <w:lvlJc w:val="left"/>
      <w:pPr>
        <w:ind w:left="3009" w:hanging="420"/>
      </w:pPr>
    </w:lvl>
    <w:lvl w:ilvl="7" w:tentative="0">
      <w:start w:val="1"/>
      <w:numFmt w:val="lowerLetter"/>
      <w:lvlText w:val="%8)"/>
      <w:lvlJc w:val="left"/>
      <w:pPr>
        <w:ind w:left="3429" w:hanging="420"/>
      </w:pPr>
    </w:lvl>
    <w:lvl w:ilvl="8" w:tentative="0">
      <w:start w:val="1"/>
      <w:numFmt w:val="lowerRoman"/>
      <w:lvlText w:val="%9."/>
      <w:lvlJc w:val="right"/>
      <w:pPr>
        <w:ind w:left="3849" w:hanging="420"/>
      </w:pPr>
    </w:lvl>
  </w:abstractNum>
  <w:abstractNum w:abstractNumId="22">
    <w:nsid w:val="16AB4752"/>
    <w:multiLevelType w:val="multilevel"/>
    <w:tmpl w:val="16AB4752"/>
    <w:lvl w:ilvl="0" w:tentative="0">
      <w:start w:val="1"/>
      <w:numFmt w:val="decimal"/>
      <w:suff w:val="space"/>
      <w:lvlText w:val="（%1）"/>
      <w:lvlJc w:val="left"/>
      <w:pPr>
        <w:ind w:left="1680" w:hanging="420"/>
      </w:pPr>
      <w:rPr>
        <w:rFonts w:hint="default"/>
      </w:rPr>
    </w:lvl>
    <w:lvl w:ilvl="1" w:tentative="0">
      <w:start w:val="1"/>
      <w:numFmt w:val="lowerLetter"/>
      <w:lvlText w:val="%2)"/>
      <w:lvlJc w:val="left"/>
      <w:pPr>
        <w:ind w:left="1344" w:hanging="420"/>
      </w:pPr>
    </w:lvl>
    <w:lvl w:ilvl="2" w:tentative="0">
      <w:start w:val="1"/>
      <w:numFmt w:val="lowerRoman"/>
      <w:lvlText w:val="%3."/>
      <w:lvlJc w:val="right"/>
      <w:pPr>
        <w:ind w:left="1764" w:hanging="420"/>
      </w:pPr>
    </w:lvl>
    <w:lvl w:ilvl="3" w:tentative="0">
      <w:start w:val="1"/>
      <w:numFmt w:val="decimal"/>
      <w:lvlText w:val="%4."/>
      <w:lvlJc w:val="left"/>
      <w:pPr>
        <w:ind w:left="2184" w:hanging="420"/>
      </w:pPr>
    </w:lvl>
    <w:lvl w:ilvl="4" w:tentative="0">
      <w:start w:val="1"/>
      <w:numFmt w:val="lowerLetter"/>
      <w:lvlText w:val="%5)"/>
      <w:lvlJc w:val="left"/>
      <w:pPr>
        <w:ind w:left="2604" w:hanging="420"/>
      </w:pPr>
    </w:lvl>
    <w:lvl w:ilvl="5" w:tentative="0">
      <w:start w:val="1"/>
      <w:numFmt w:val="lowerRoman"/>
      <w:lvlText w:val="%6."/>
      <w:lvlJc w:val="right"/>
      <w:pPr>
        <w:ind w:left="3024" w:hanging="420"/>
      </w:pPr>
    </w:lvl>
    <w:lvl w:ilvl="6" w:tentative="0">
      <w:start w:val="1"/>
      <w:numFmt w:val="decimal"/>
      <w:lvlText w:val="%7."/>
      <w:lvlJc w:val="left"/>
      <w:pPr>
        <w:ind w:left="3444" w:hanging="420"/>
      </w:pPr>
    </w:lvl>
    <w:lvl w:ilvl="7" w:tentative="0">
      <w:start w:val="1"/>
      <w:numFmt w:val="lowerLetter"/>
      <w:lvlText w:val="%8)"/>
      <w:lvlJc w:val="left"/>
      <w:pPr>
        <w:ind w:left="3864" w:hanging="420"/>
      </w:pPr>
    </w:lvl>
    <w:lvl w:ilvl="8" w:tentative="0">
      <w:start w:val="1"/>
      <w:numFmt w:val="lowerRoman"/>
      <w:lvlText w:val="%9."/>
      <w:lvlJc w:val="right"/>
      <w:pPr>
        <w:ind w:left="4284" w:hanging="420"/>
      </w:pPr>
    </w:lvl>
  </w:abstractNum>
  <w:abstractNum w:abstractNumId="23">
    <w:nsid w:val="16C83C6A"/>
    <w:multiLevelType w:val="multilevel"/>
    <w:tmpl w:val="16C83C6A"/>
    <w:lvl w:ilvl="0" w:tentative="0">
      <w:start w:val="1"/>
      <w:numFmt w:val="chineseCountingThousand"/>
      <w:suff w:val="nothing"/>
      <w:lvlText w:val="%1、"/>
      <w:lvlJc w:val="left"/>
      <w:pPr>
        <w:ind w:left="1022"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4">
    <w:nsid w:val="183D1052"/>
    <w:multiLevelType w:val="multilevel"/>
    <w:tmpl w:val="183D1052"/>
    <w:lvl w:ilvl="0" w:tentative="0">
      <w:start w:val="1"/>
      <w:numFmt w:val="chineseCountingThousand"/>
      <w:suff w:val="nothing"/>
      <w:lvlText w:val="（%1）"/>
      <w:lvlJc w:val="left"/>
      <w:pPr>
        <w:ind w:left="1022"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18C8716E"/>
    <w:multiLevelType w:val="multilevel"/>
    <w:tmpl w:val="18C8716E"/>
    <w:lvl w:ilvl="0" w:tentative="0">
      <w:start w:val="1"/>
      <w:numFmt w:val="decimal"/>
      <w:suff w:val="space"/>
      <w:lvlText w:val="%1."/>
      <w:lvlJc w:val="left"/>
      <w:pPr>
        <w:ind w:left="168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6">
    <w:nsid w:val="19835950"/>
    <w:multiLevelType w:val="multilevel"/>
    <w:tmpl w:val="19835950"/>
    <w:lvl w:ilvl="0" w:tentative="0">
      <w:start w:val="1"/>
      <w:numFmt w:val="decimal"/>
      <w:suff w:val="space"/>
      <w:lvlText w:val="%1．"/>
      <w:lvlJc w:val="left"/>
      <w:pPr>
        <w:ind w:left="1680" w:hanging="420"/>
      </w:pPr>
      <w:rPr>
        <w:rFonts w:hint="eastAsia"/>
        <w:b/>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1A584DF2"/>
    <w:multiLevelType w:val="multilevel"/>
    <w:tmpl w:val="1A584DF2"/>
    <w:lvl w:ilvl="0" w:tentative="0">
      <w:start w:val="1"/>
      <w:numFmt w:val="decimal"/>
      <w:suff w:val="space"/>
      <w:lvlText w:val="（%1）"/>
      <w:lvlJc w:val="left"/>
      <w:pPr>
        <w:ind w:left="1680" w:hanging="420"/>
      </w:pPr>
      <w:rPr>
        <w:rFonts w:hint="default"/>
      </w:rPr>
    </w:lvl>
    <w:lvl w:ilvl="1" w:tentative="0">
      <w:start w:val="1"/>
      <w:numFmt w:val="lowerLetter"/>
      <w:lvlText w:val="%2)"/>
      <w:lvlJc w:val="left"/>
      <w:pPr>
        <w:ind w:left="1344" w:hanging="420"/>
      </w:pPr>
    </w:lvl>
    <w:lvl w:ilvl="2" w:tentative="0">
      <w:start w:val="1"/>
      <w:numFmt w:val="lowerRoman"/>
      <w:lvlText w:val="%3."/>
      <w:lvlJc w:val="right"/>
      <w:pPr>
        <w:ind w:left="1764" w:hanging="420"/>
      </w:pPr>
    </w:lvl>
    <w:lvl w:ilvl="3" w:tentative="0">
      <w:start w:val="1"/>
      <w:numFmt w:val="decimal"/>
      <w:lvlText w:val="%4."/>
      <w:lvlJc w:val="left"/>
      <w:pPr>
        <w:ind w:left="2184" w:hanging="420"/>
      </w:pPr>
    </w:lvl>
    <w:lvl w:ilvl="4" w:tentative="0">
      <w:start w:val="1"/>
      <w:numFmt w:val="lowerLetter"/>
      <w:lvlText w:val="%5)"/>
      <w:lvlJc w:val="left"/>
      <w:pPr>
        <w:ind w:left="2604" w:hanging="420"/>
      </w:pPr>
    </w:lvl>
    <w:lvl w:ilvl="5" w:tentative="0">
      <w:start w:val="1"/>
      <w:numFmt w:val="lowerRoman"/>
      <w:lvlText w:val="%6."/>
      <w:lvlJc w:val="right"/>
      <w:pPr>
        <w:ind w:left="3024" w:hanging="420"/>
      </w:pPr>
    </w:lvl>
    <w:lvl w:ilvl="6" w:tentative="0">
      <w:start w:val="1"/>
      <w:numFmt w:val="decimal"/>
      <w:lvlText w:val="%7."/>
      <w:lvlJc w:val="left"/>
      <w:pPr>
        <w:ind w:left="3444" w:hanging="420"/>
      </w:pPr>
    </w:lvl>
    <w:lvl w:ilvl="7" w:tentative="0">
      <w:start w:val="1"/>
      <w:numFmt w:val="lowerLetter"/>
      <w:lvlText w:val="%8)"/>
      <w:lvlJc w:val="left"/>
      <w:pPr>
        <w:ind w:left="3864" w:hanging="420"/>
      </w:pPr>
    </w:lvl>
    <w:lvl w:ilvl="8" w:tentative="0">
      <w:start w:val="1"/>
      <w:numFmt w:val="lowerRoman"/>
      <w:lvlText w:val="%9."/>
      <w:lvlJc w:val="right"/>
      <w:pPr>
        <w:ind w:left="4284" w:hanging="420"/>
      </w:pPr>
    </w:lvl>
  </w:abstractNum>
  <w:abstractNum w:abstractNumId="28">
    <w:nsid w:val="1A9624B5"/>
    <w:multiLevelType w:val="multilevel"/>
    <w:tmpl w:val="1A9624B5"/>
    <w:lvl w:ilvl="0" w:tentative="0">
      <w:start w:val="1"/>
      <w:numFmt w:val="chineseCountingThousand"/>
      <w:suff w:val="space"/>
      <w:lvlText w:val="（%1）"/>
      <w:lvlJc w:val="left"/>
      <w:pPr>
        <w:ind w:left="1129" w:hanging="420"/>
      </w:pPr>
      <w:rPr>
        <w:rFonts w:hint="eastAsia"/>
      </w:rPr>
    </w:lvl>
    <w:lvl w:ilvl="1" w:tentative="0">
      <w:start w:val="1"/>
      <w:numFmt w:val="lowerLetter"/>
      <w:lvlText w:val="%2)"/>
      <w:lvlJc w:val="left"/>
      <w:pPr>
        <w:ind w:left="909" w:hanging="420"/>
      </w:pPr>
    </w:lvl>
    <w:lvl w:ilvl="2" w:tentative="0">
      <w:start w:val="1"/>
      <w:numFmt w:val="lowerRoman"/>
      <w:lvlText w:val="%3."/>
      <w:lvlJc w:val="right"/>
      <w:pPr>
        <w:ind w:left="1329" w:hanging="420"/>
      </w:pPr>
    </w:lvl>
    <w:lvl w:ilvl="3" w:tentative="0">
      <w:start w:val="1"/>
      <w:numFmt w:val="decimal"/>
      <w:lvlText w:val="%4."/>
      <w:lvlJc w:val="left"/>
      <w:pPr>
        <w:ind w:left="1749" w:hanging="420"/>
      </w:pPr>
    </w:lvl>
    <w:lvl w:ilvl="4" w:tentative="0">
      <w:start w:val="1"/>
      <w:numFmt w:val="lowerLetter"/>
      <w:lvlText w:val="%5)"/>
      <w:lvlJc w:val="left"/>
      <w:pPr>
        <w:ind w:left="2169" w:hanging="420"/>
      </w:pPr>
    </w:lvl>
    <w:lvl w:ilvl="5" w:tentative="0">
      <w:start w:val="1"/>
      <w:numFmt w:val="lowerRoman"/>
      <w:lvlText w:val="%6."/>
      <w:lvlJc w:val="right"/>
      <w:pPr>
        <w:ind w:left="2589" w:hanging="420"/>
      </w:pPr>
    </w:lvl>
    <w:lvl w:ilvl="6" w:tentative="0">
      <w:start w:val="1"/>
      <w:numFmt w:val="decimal"/>
      <w:lvlText w:val="%7."/>
      <w:lvlJc w:val="left"/>
      <w:pPr>
        <w:ind w:left="3009" w:hanging="420"/>
      </w:pPr>
    </w:lvl>
    <w:lvl w:ilvl="7" w:tentative="0">
      <w:start w:val="1"/>
      <w:numFmt w:val="lowerLetter"/>
      <w:lvlText w:val="%8)"/>
      <w:lvlJc w:val="left"/>
      <w:pPr>
        <w:ind w:left="3429" w:hanging="420"/>
      </w:pPr>
    </w:lvl>
    <w:lvl w:ilvl="8" w:tentative="0">
      <w:start w:val="1"/>
      <w:numFmt w:val="lowerRoman"/>
      <w:lvlText w:val="%9."/>
      <w:lvlJc w:val="right"/>
      <w:pPr>
        <w:ind w:left="3849" w:hanging="420"/>
      </w:pPr>
    </w:lvl>
  </w:abstractNum>
  <w:abstractNum w:abstractNumId="29">
    <w:nsid w:val="1C620E5B"/>
    <w:multiLevelType w:val="multilevel"/>
    <w:tmpl w:val="1C620E5B"/>
    <w:lvl w:ilvl="0" w:tentative="0">
      <w:start w:val="1"/>
      <w:numFmt w:val="chineseCountingThousand"/>
      <w:lvlText w:val="第%1条"/>
      <w:lvlJc w:val="left"/>
      <w:pPr>
        <w:ind w:left="420" w:hanging="420"/>
      </w:pPr>
      <w:rPr>
        <w:rFonts w:hint="eastAsia" w:ascii="方正仿宋简体" w:hAnsi="仿宋" w:eastAsia="方正仿宋简体"/>
        <w:b/>
        <w:lang w:val="en-US"/>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0">
    <w:nsid w:val="1C7C05C7"/>
    <w:multiLevelType w:val="multilevel"/>
    <w:tmpl w:val="1C7C05C7"/>
    <w:lvl w:ilvl="0" w:tentative="0">
      <w:start w:val="1"/>
      <w:numFmt w:val="chineseCountingThousand"/>
      <w:suff w:val="nothing"/>
      <w:lvlText w:val="%1、"/>
      <w:lvlJc w:val="left"/>
      <w:pPr>
        <w:ind w:left="1022" w:hanging="420"/>
      </w:pPr>
      <w:rPr>
        <w:rFonts w:hint="eastAsia" w:ascii="仿宋_GB2312" w:hAnsi="仿宋" w:eastAsia="仿宋_GB2312"/>
        <w:b/>
        <w:sz w:val="28"/>
        <w:szCs w:val="28"/>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1">
    <w:nsid w:val="1CFF0F9D"/>
    <w:multiLevelType w:val="multilevel"/>
    <w:tmpl w:val="1CFF0F9D"/>
    <w:lvl w:ilvl="0" w:tentative="0">
      <w:start w:val="1"/>
      <w:numFmt w:val="chineseCountingThousand"/>
      <w:suff w:val="nothing"/>
      <w:lvlText w:val="（%1）"/>
      <w:lvlJc w:val="left"/>
      <w:pPr>
        <w:ind w:left="1022"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2">
    <w:nsid w:val="1DF33318"/>
    <w:multiLevelType w:val="multilevel"/>
    <w:tmpl w:val="1DF33318"/>
    <w:lvl w:ilvl="0" w:tentative="0">
      <w:start w:val="1"/>
      <w:numFmt w:val="decimal"/>
      <w:suff w:val="nothing"/>
      <w:lvlText w:val="（%1）"/>
      <w:lvlJc w:val="left"/>
      <w:pPr>
        <w:ind w:left="1022"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3">
    <w:nsid w:val="1ED57631"/>
    <w:multiLevelType w:val="multilevel"/>
    <w:tmpl w:val="1ED57631"/>
    <w:lvl w:ilvl="0" w:tentative="0">
      <w:start w:val="1"/>
      <w:numFmt w:val="bullet"/>
      <w:lvlText w:val="□"/>
      <w:lvlJc w:val="left"/>
      <w:pPr>
        <w:ind w:left="360" w:hanging="360"/>
      </w:pPr>
      <w:rPr>
        <w:rFonts w:hint="eastAsia" w:ascii="仿宋_GB2312" w:hAnsi="Times New Roman" w:eastAsia="仿宋_GB2312" w:cs="宋体"/>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34">
    <w:nsid w:val="1F455157"/>
    <w:multiLevelType w:val="multilevel"/>
    <w:tmpl w:val="1F455157"/>
    <w:lvl w:ilvl="0" w:tentative="0">
      <w:start w:val="1"/>
      <w:numFmt w:val="decimal"/>
      <w:lvlText w:val="%1."/>
      <w:lvlJc w:val="left"/>
      <w:pPr>
        <w:ind w:left="420" w:hanging="420"/>
      </w:pPr>
    </w:lvl>
    <w:lvl w:ilvl="1" w:tentative="0">
      <w:start w:val="1"/>
      <w:numFmt w:val="decimal"/>
      <w:suff w:val="nothing"/>
      <w:lvlText w:val="（%2）"/>
      <w:lvlJc w:val="left"/>
      <w:pPr>
        <w:ind w:left="602" w:firstLine="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5">
    <w:nsid w:val="20550811"/>
    <w:multiLevelType w:val="multilevel"/>
    <w:tmpl w:val="20550811"/>
    <w:lvl w:ilvl="0" w:tentative="0">
      <w:start w:val="1"/>
      <w:numFmt w:val="chineseCountingThousand"/>
      <w:lvlText w:val="（%1）"/>
      <w:lvlJc w:val="left"/>
      <w:pPr>
        <w:ind w:left="1020" w:hanging="420"/>
      </w:pPr>
      <w:rPr>
        <w:rFonts w:hint="default"/>
      </w:rPr>
    </w:lvl>
    <w:lvl w:ilvl="1" w:tentative="0">
      <w:start w:val="1"/>
      <w:numFmt w:val="chineseCountingThousand"/>
      <w:suff w:val="space"/>
      <w:lvlText w:val="（%2）"/>
      <w:lvlJc w:val="left"/>
      <w:pPr>
        <w:ind w:left="1022" w:hanging="420"/>
      </w:pPr>
      <w:rPr>
        <w:rFonts w:hint="default"/>
      </w:rPr>
    </w:lvl>
    <w:lvl w:ilvl="2" w:tentative="0">
      <w:start w:val="1"/>
      <w:numFmt w:val="lowerRoman"/>
      <w:lvlText w:val="%3."/>
      <w:lvlJc w:val="right"/>
      <w:pPr>
        <w:ind w:left="1860" w:hanging="420"/>
      </w:pPr>
    </w:lvl>
    <w:lvl w:ilvl="3" w:tentative="0">
      <w:start w:val="1"/>
      <w:numFmt w:val="decimal"/>
      <w:lvlText w:val="%4."/>
      <w:lvlJc w:val="left"/>
      <w:pPr>
        <w:ind w:left="2280" w:hanging="420"/>
      </w:pPr>
    </w:lvl>
    <w:lvl w:ilvl="4" w:tentative="0">
      <w:start w:val="1"/>
      <w:numFmt w:val="lowerLetter"/>
      <w:lvlText w:val="%5)"/>
      <w:lvlJc w:val="left"/>
      <w:pPr>
        <w:ind w:left="2700" w:hanging="420"/>
      </w:pPr>
    </w:lvl>
    <w:lvl w:ilvl="5" w:tentative="0">
      <w:start w:val="1"/>
      <w:numFmt w:val="lowerRoman"/>
      <w:lvlText w:val="%6."/>
      <w:lvlJc w:val="right"/>
      <w:pPr>
        <w:ind w:left="3120" w:hanging="420"/>
      </w:pPr>
    </w:lvl>
    <w:lvl w:ilvl="6" w:tentative="0">
      <w:start w:val="1"/>
      <w:numFmt w:val="decimal"/>
      <w:lvlText w:val="%7."/>
      <w:lvlJc w:val="left"/>
      <w:pPr>
        <w:ind w:left="3540" w:hanging="420"/>
      </w:pPr>
    </w:lvl>
    <w:lvl w:ilvl="7" w:tentative="0">
      <w:start w:val="1"/>
      <w:numFmt w:val="lowerLetter"/>
      <w:lvlText w:val="%8)"/>
      <w:lvlJc w:val="left"/>
      <w:pPr>
        <w:ind w:left="3960" w:hanging="420"/>
      </w:pPr>
    </w:lvl>
    <w:lvl w:ilvl="8" w:tentative="0">
      <w:start w:val="1"/>
      <w:numFmt w:val="lowerRoman"/>
      <w:lvlText w:val="%9."/>
      <w:lvlJc w:val="right"/>
      <w:pPr>
        <w:ind w:left="4380" w:hanging="420"/>
      </w:pPr>
    </w:lvl>
  </w:abstractNum>
  <w:abstractNum w:abstractNumId="36">
    <w:nsid w:val="20FA49B5"/>
    <w:multiLevelType w:val="multilevel"/>
    <w:tmpl w:val="20FA49B5"/>
    <w:lvl w:ilvl="0" w:tentative="0">
      <w:start w:val="1"/>
      <w:numFmt w:val="chineseCountingThousand"/>
      <w:suff w:val="space"/>
      <w:lvlText w:val="（%1）"/>
      <w:lvlJc w:val="left"/>
      <w:pPr>
        <w:ind w:left="1129" w:hanging="420"/>
      </w:pPr>
      <w:rPr>
        <w:rFonts w:hint="eastAsia"/>
      </w:rPr>
    </w:lvl>
    <w:lvl w:ilvl="1" w:tentative="0">
      <w:start w:val="1"/>
      <w:numFmt w:val="lowerLetter"/>
      <w:lvlText w:val="%2)"/>
      <w:lvlJc w:val="left"/>
      <w:pPr>
        <w:ind w:left="909" w:hanging="420"/>
      </w:pPr>
    </w:lvl>
    <w:lvl w:ilvl="2" w:tentative="0">
      <w:start w:val="1"/>
      <w:numFmt w:val="lowerRoman"/>
      <w:lvlText w:val="%3."/>
      <w:lvlJc w:val="right"/>
      <w:pPr>
        <w:ind w:left="1329" w:hanging="420"/>
      </w:pPr>
    </w:lvl>
    <w:lvl w:ilvl="3" w:tentative="0">
      <w:start w:val="1"/>
      <w:numFmt w:val="decimal"/>
      <w:lvlText w:val="%4."/>
      <w:lvlJc w:val="left"/>
      <w:pPr>
        <w:ind w:left="1749" w:hanging="420"/>
      </w:pPr>
    </w:lvl>
    <w:lvl w:ilvl="4" w:tentative="0">
      <w:start w:val="1"/>
      <w:numFmt w:val="lowerLetter"/>
      <w:lvlText w:val="%5)"/>
      <w:lvlJc w:val="left"/>
      <w:pPr>
        <w:ind w:left="2169" w:hanging="420"/>
      </w:pPr>
    </w:lvl>
    <w:lvl w:ilvl="5" w:tentative="0">
      <w:start w:val="1"/>
      <w:numFmt w:val="lowerRoman"/>
      <w:lvlText w:val="%6."/>
      <w:lvlJc w:val="right"/>
      <w:pPr>
        <w:ind w:left="2589" w:hanging="420"/>
      </w:pPr>
    </w:lvl>
    <w:lvl w:ilvl="6" w:tentative="0">
      <w:start w:val="1"/>
      <w:numFmt w:val="decimal"/>
      <w:lvlText w:val="%7."/>
      <w:lvlJc w:val="left"/>
      <w:pPr>
        <w:ind w:left="3009" w:hanging="420"/>
      </w:pPr>
    </w:lvl>
    <w:lvl w:ilvl="7" w:tentative="0">
      <w:start w:val="1"/>
      <w:numFmt w:val="lowerLetter"/>
      <w:lvlText w:val="%8)"/>
      <w:lvlJc w:val="left"/>
      <w:pPr>
        <w:ind w:left="3429" w:hanging="420"/>
      </w:pPr>
    </w:lvl>
    <w:lvl w:ilvl="8" w:tentative="0">
      <w:start w:val="1"/>
      <w:numFmt w:val="lowerRoman"/>
      <w:lvlText w:val="%9."/>
      <w:lvlJc w:val="right"/>
      <w:pPr>
        <w:ind w:left="3849" w:hanging="420"/>
      </w:pPr>
    </w:lvl>
  </w:abstractNum>
  <w:abstractNum w:abstractNumId="37">
    <w:nsid w:val="21271089"/>
    <w:multiLevelType w:val="multilevel"/>
    <w:tmpl w:val="21271089"/>
    <w:lvl w:ilvl="0" w:tentative="0">
      <w:start w:val="1"/>
      <w:numFmt w:val="decimal"/>
      <w:lvlText w:val="%1、"/>
      <w:lvlJc w:val="left"/>
      <w:pPr>
        <w:tabs>
          <w:tab w:val="left" w:pos="720"/>
        </w:tabs>
        <w:ind w:left="720" w:hanging="720"/>
      </w:pPr>
      <w:rPr>
        <w:rFonts w:hint="eastAsia"/>
      </w:rPr>
    </w:lvl>
    <w:lvl w:ilvl="1" w:tentative="0">
      <w:start w:val="1"/>
      <w:numFmt w:val="japaneseCounting"/>
      <w:lvlText w:val="%2、"/>
      <w:lvlJc w:val="left"/>
      <w:pPr>
        <w:tabs>
          <w:tab w:val="left" w:pos="1140"/>
        </w:tabs>
        <w:ind w:left="1140" w:hanging="720"/>
      </w:pPr>
      <w:rPr>
        <w:rFonts w:hint="eastAsia"/>
      </w:rPr>
    </w:lvl>
    <w:lvl w:ilvl="2" w:tentative="0">
      <w:start w:val="1"/>
      <w:numFmt w:val="decimal"/>
      <w:lvlText w:val="%3）"/>
      <w:lvlJc w:val="left"/>
      <w:pPr>
        <w:tabs>
          <w:tab w:val="left" w:pos="1560"/>
        </w:tabs>
        <w:ind w:left="1560" w:hanging="720"/>
      </w:pPr>
      <w:rPr>
        <w:rFonts w:hint="eastAsia"/>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pStyle w:val="61"/>
      <w:lvlText w:val="%9."/>
      <w:lvlJc w:val="right"/>
      <w:pPr>
        <w:tabs>
          <w:tab w:val="left" w:pos="3780"/>
        </w:tabs>
        <w:ind w:left="3780" w:hanging="420"/>
      </w:pPr>
    </w:lvl>
  </w:abstractNum>
  <w:abstractNum w:abstractNumId="38">
    <w:nsid w:val="21962EE4"/>
    <w:multiLevelType w:val="multilevel"/>
    <w:tmpl w:val="21962EE4"/>
    <w:lvl w:ilvl="0" w:tentative="0">
      <w:start w:val="1"/>
      <w:numFmt w:val="decimal"/>
      <w:suff w:val="space"/>
      <w:lvlText w:val="%1."/>
      <w:lvlJc w:val="left"/>
      <w:pPr>
        <w:ind w:left="602"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9">
    <w:nsid w:val="221C5356"/>
    <w:multiLevelType w:val="multilevel"/>
    <w:tmpl w:val="221C5356"/>
    <w:lvl w:ilvl="0" w:tentative="0">
      <w:start w:val="1"/>
      <w:numFmt w:val="chineseCountingThousand"/>
      <w:lvlText w:val="（%1）"/>
      <w:lvlJc w:val="left"/>
      <w:pPr>
        <w:ind w:left="1020" w:hanging="420"/>
      </w:pPr>
      <w:rPr>
        <w:rFonts w:hint="default"/>
      </w:rPr>
    </w:lvl>
    <w:lvl w:ilvl="1" w:tentative="0">
      <w:start w:val="1"/>
      <w:numFmt w:val="chineseCountingThousand"/>
      <w:suff w:val="nothing"/>
      <w:lvlText w:val="（%2）"/>
      <w:lvlJc w:val="left"/>
      <w:pPr>
        <w:ind w:left="1022" w:hanging="420"/>
      </w:pPr>
      <w:rPr>
        <w:rFonts w:hint="default"/>
      </w:rPr>
    </w:lvl>
    <w:lvl w:ilvl="2" w:tentative="0">
      <w:start w:val="1"/>
      <w:numFmt w:val="lowerRoman"/>
      <w:lvlText w:val="%3."/>
      <w:lvlJc w:val="right"/>
      <w:pPr>
        <w:ind w:left="1860" w:hanging="420"/>
      </w:pPr>
    </w:lvl>
    <w:lvl w:ilvl="3" w:tentative="0">
      <w:start w:val="1"/>
      <w:numFmt w:val="decimal"/>
      <w:lvlText w:val="%4."/>
      <w:lvlJc w:val="left"/>
      <w:pPr>
        <w:ind w:left="2280" w:hanging="420"/>
      </w:pPr>
    </w:lvl>
    <w:lvl w:ilvl="4" w:tentative="0">
      <w:start w:val="1"/>
      <w:numFmt w:val="lowerLetter"/>
      <w:lvlText w:val="%5)"/>
      <w:lvlJc w:val="left"/>
      <w:pPr>
        <w:ind w:left="2700" w:hanging="420"/>
      </w:pPr>
    </w:lvl>
    <w:lvl w:ilvl="5" w:tentative="0">
      <w:start w:val="1"/>
      <w:numFmt w:val="lowerRoman"/>
      <w:lvlText w:val="%6."/>
      <w:lvlJc w:val="right"/>
      <w:pPr>
        <w:ind w:left="3120" w:hanging="420"/>
      </w:pPr>
    </w:lvl>
    <w:lvl w:ilvl="6" w:tentative="0">
      <w:start w:val="1"/>
      <w:numFmt w:val="decimal"/>
      <w:lvlText w:val="%7."/>
      <w:lvlJc w:val="left"/>
      <w:pPr>
        <w:ind w:left="3540" w:hanging="420"/>
      </w:pPr>
    </w:lvl>
    <w:lvl w:ilvl="7" w:tentative="0">
      <w:start w:val="1"/>
      <w:numFmt w:val="lowerLetter"/>
      <w:lvlText w:val="%8)"/>
      <w:lvlJc w:val="left"/>
      <w:pPr>
        <w:ind w:left="3960" w:hanging="420"/>
      </w:pPr>
    </w:lvl>
    <w:lvl w:ilvl="8" w:tentative="0">
      <w:start w:val="1"/>
      <w:numFmt w:val="lowerRoman"/>
      <w:lvlText w:val="%9."/>
      <w:lvlJc w:val="right"/>
      <w:pPr>
        <w:ind w:left="4380" w:hanging="420"/>
      </w:pPr>
    </w:lvl>
  </w:abstractNum>
  <w:abstractNum w:abstractNumId="40">
    <w:nsid w:val="25903F41"/>
    <w:multiLevelType w:val="multilevel"/>
    <w:tmpl w:val="25903F41"/>
    <w:lvl w:ilvl="0" w:tentative="0">
      <w:start w:val="1"/>
      <w:numFmt w:val="decimal"/>
      <w:suff w:val="space"/>
      <w:lvlText w:val="（%1）"/>
      <w:lvlJc w:val="left"/>
      <w:pPr>
        <w:ind w:left="420" w:hanging="420"/>
      </w:pPr>
      <w:rPr>
        <w:rFonts w:hint="default"/>
        <w:lang w:val="en-US"/>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1">
    <w:nsid w:val="276D4398"/>
    <w:multiLevelType w:val="multilevel"/>
    <w:tmpl w:val="276D4398"/>
    <w:lvl w:ilvl="0" w:tentative="0">
      <w:start w:val="1"/>
      <w:numFmt w:val="decimal"/>
      <w:suff w:val="space"/>
      <w:lvlText w:val="%1．"/>
      <w:lvlJc w:val="left"/>
      <w:pPr>
        <w:ind w:left="168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2">
    <w:nsid w:val="281A3897"/>
    <w:multiLevelType w:val="multilevel"/>
    <w:tmpl w:val="281A3897"/>
    <w:lvl w:ilvl="0" w:tentative="0">
      <w:start w:val="1"/>
      <w:numFmt w:val="japaneseCounting"/>
      <w:lvlText w:val="第%1章"/>
      <w:lvlJc w:val="left"/>
      <w:pPr>
        <w:ind w:left="720" w:hanging="360"/>
      </w:pPr>
      <w:rPr>
        <w:rFonts w:hint="default" w:ascii="黑体" w:hAnsi="黑体" w:eastAsia="黑体"/>
        <w:b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3">
    <w:nsid w:val="297C282D"/>
    <w:multiLevelType w:val="multilevel"/>
    <w:tmpl w:val="297C282D"/>
    <w:lvl w:ilvl="0" w:tentative="0">
      <w:start w:val="1"/>
      <w:numFmt w:val="decimal"/>
      <w:suff w:val="space"/>
      <w:lvlText w:val="（%1）"/>
      <w:lvlJc w:val="left"/>
      <w:pPr>
        <w:ind w:left="924" w:hanging="420"/>
      </w:pPr>
      <w:rPr>
        <w:rFonts w:hint="default"/>
      </w:rPr>
    </w:lvl>
    <w:lvl w:ilvl="1" w:tentative="0">
      <w:start w:val="1"/>
      <w:numFmt w:val="lowerLetter"/>
      <w:lvlText w:val="%2)"/>
      <w:lvlJc w:val="left"/>
      <w:pPr>
        <w:ind w:left="1344" w:hanging="420"/>
      </w:pPr>
    </w:lvl>
    <w:lvl w:ilvl="2" w:tentative="0">
      <w:start w:val="1"/>
      <w:numFmt w:val="lowerRoman"/>
      <w:lvlText w:val="%3."/>
      <w:lvlJc w:val="right"/>
      <w:pPr>
        <w:ind w:left="1764" w:hanging="420"/>
      </w:pPr>
    </w:lvl>
    <w:lvl w:ilvl="3" w:tentative="0">
      <w:start w:val="1"/>
      <w:numFmt w:val="decimal"/>
      <w:lvlText w:val="%4."/>
      <w:lvlJc w:val="left"/>
      <w:pPr>
        <w:ind w:left="2184" w:hanging="420"/>
      </w:pPr>
    </w:lvl>
    <w:lvl w:ilvl="4" w:tentative="0">
      <w:start w:val="1"/>
      <w:numFmt w:val="lowerLetter"/>
      <w:lvlText w:val="%5)"/>
      <w:lvlJc w:val="left"/>
      <w:pPr>
        <w:ind w:left="2604" w:hanging="420"/>
      </w:pPr>
    </w:lvl>
    <w:lvl w:ilvl="5" w:tentative="0">
      <w:start w:val="1"/>
      <w:numFmt w:val="lowerRoman"/>
      <w:lvlText w:val="%6."/>
      <w:lvlJc w:val="right"/>
      <w:pPr>
        <w:ind w:left="3024" w:hanging="420"/>
      </w:pPr>
    </w:lvl>
    <w:lvl w:ilvl="6" w:tentative="0">
      <w:start w:val="1"/>
      <w:numFmt w:val="decimal"/>
      <w:lvlText w:val="%7."/>
      <w:lvlJc w:val="left"/>
      <w:pPr>
        <w:ind w:left="3444" w:hanging="420"/>
      </w:pPr>
    </w:lvl>
    <w:lvl w:ilvl="7" w:tentative="0">
      <w:start w:val="1"/>
      <w:numFmt w:val="lowerLetter"/>
      <w:lvlText w:val="%8)"/>
      <w:lvlJc w:val="left"/>
      <w:pPr>
        <w:ind w:left="3864" w:hanging="420"/>
      </w:pPr>
    </w:lvl>
    <w:lvl w:ilvl="8" w:tentative="0">
      <w:start w:val="1"/>
      <w:numFmt w:val="lowerRoman"/>
      <w:lvlText w:val="%9."/>
      <w:lvlJc w:val="right"/>
      <w:pPr>
        <w:ind w:left="4284" w:hanging="420"/>
      </w:pPr>
    </w:lvl>
  </w:abstractNum>
  <w:abstractNum w:abstractNumId="44">
    <w:nsid w:val="2A0B131B"/>
    <w:multiLevelType w:val="multilevel"/>
    <w:tmpl w:val="2A0B131B"/>
    <w:lvl w:ilvl="0" w:tentative="0">
      <w:start w:val="1"/>
      <w:numFmt w:val="chineseCountingThousand"/>
      <w:suff w:val="nothing"/>
      <w:lvlText w:val="%1、"/>
      <w:lvlJc w:val="left"/>
      <w:pPr>
        <w:ind w:left="1022"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5">
    <w:nsid w:val="2A8A278E"/>
    <w:multiLevelType w:val="multilevel"/>
    <w:tmpl w:val="2A8A278E"/>
    <w:lvl w:ilvl="0" w:tentative="0">
      <w:start w:val="1"/>
      <w:numFmt w:val="chineseCountingThousand"/>
      <w:suff w:val="nothing"/>
      <w:lvlText w:val="%1、"/>
      <w:lvlJc w:val="left"/>
      <w:pPr>
        <w:ind w:left="1022"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6">
    <w:nsid w:val="2BD6770B"/>
    <w:multiLevelType w:val="multilevel"/>
    <w:tmpl w:val="2BD6770B"/>
    <w:lvl w:ilvl="0" w:tentative="0">
      <w:start w:val="1"/>
      <w:numFmt w:val="decimal"/>
      <w:suff w:val="space"/>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7">
    <w:nsid w:val="2C1018C7"/>
    <w:multiLevelType w:val="multilevel"/>
    <w:tmpl w:val="2C1018C7"/>
    <w:lvl w:ilvl="0" w:tentative="0">
      <w:start w:val="1"/>
      <w:numFmt w:val="decimal"/>
      <w:suff w:val="space"/>
      <w:lvlText w:val="%1."/>
      <w:lvlJc w:val="left"/>
      <w:pPr>
        <w:ind w:left="168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8">
    <w:nsid w:val="2C2B218C"/>
    <w:multiLevelType w:val="multilevel"/>
    <w:tmpl w:val="2C2B218C"/>
    <w:lvl w:ilvl="0" w:tentative="0">
      <w:start w:val="1"/>
      <w:numFmt w:val="decimal"/>
      <w:lvlText w:val="%1."/>
      <w:lvlJc w:val="left"/>
      <w:pPr>
        <w:ind w:left="980" w:hanging="420"/>
      </w:pPr>
    </w:lvl>
    <w:lvl w:ilvl="1" w:tentative="0">
      <w:start w:val="1"/>
      <w:numFmt w:val="chineseCountingThousand"/>
      <w:suff w:val="nothing"/>
      <w:lvlText w:val="（%2）"/>
      <w:lvlJc w:val="left"/>
      <w:pPr>
        <w:ind w:left="851" w:firstLine="0"/>
      </w:pPr>
      <w:rPr>
        <w:rFonts w:hint="eastAsia"/>
      </w:rPr>
    </w:lvl>
    <w:lvl w:ilvl="2" w:tentative="0">
      <w:start w:val="4"/>
      <w:numFmt w:val="japaneseCounting"/>
      <w:lvlText w:val="（%3）"/>
      <w:lvlJc w:val="left"/>
      <w:pPr>
        <w:ind w:left="2285" w:hanging="885"/>
      </w:pPr>
      <w:rPr>
        <w:rFonts w:hint="default"/>
      </w:r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49">
    <w:nsid w:val="2CBC7211"/>
    <w:multiLevelType w:val="multilevel"/>
    <w:tmpl w:val="2CBC7211"/>
    <w:lvl w:ilvl="0" w:tentative="0">
      <w:start w:val="1"/>
      <w:numFmt w:val="chineseCountingThousand"/>
      <w:suff w:val="space"/>
      <w:lvlText w:val="第%1章"/>
      <w:lvlJc w:val="left"/>
      <w:pPr>
        <w:ind w:left="1697" w:hanging="1095"/>
      </w:pPr>
      <w:rPr>
        <w:rFonts w:hint="eastAsia" w:ascii="黑体" w:hAnsi="黑体" w:eastAsia="黑体"/>
        <w:b w:val="0"/>
        <w:sz w:val="30"/>
        <w:szCs w:val="30"/>
      </w:rPr>
    </w:lvl>
    <w:lvl w:ilvl="1" w:tentative="0">
      <w:start w:val="1"/>
      <w:numFmt w:val="lowerLetter"/>
      <w:lvlText w:val="%2)"/>
      <w:lvlJc w:val="left"/>
      <w:pPr>
        <w:ind w:left="1442" w:hanging="420"/>
      </w:pPr>
    </w:lvl>
    <w:lvl w:ilvl="2" w:tentative="0">
      <w:start w:val="1"/>
      <w:numFmt w:val="lowerRoman"/>
      <w:lvlText w:val="%3."/>
      <w:lvlJc w:val="right"/>
      <w:pPr>
        <w:ind w:left="1862" w:hanging="420"/>
      </w:pPr>
    </w:lvl>
    <w:lvl w:ilvl="3" w:tentative="0">
      <w:start w:val="1"/>
      <w:numFmt w:val="decimal"/>
      <w:lvlText w:val="%4."/>
      <w:lvlJc w:val="left"/>
      <w:pPr>
        <w:ind w:left="2282" w:hanging="420"/>
      </w:pPr>
    </w:lvl>
    <w:lvl w:ilvl="4" w:tentative="0">
      <w:start w:val="1"/>
      <w:numFmt w:val="lowerLetter"/>
      <w:lvlText w:val="%5)"/>
      <w:lvlJc w:val="left"/>
      <w:pPr>
        <w:ind w:left="2702" w:hanging="420"/>
      </w:pPr>
    </w:lvl>
    <w:lvl w:ilvl="5" w:tentative="0">
      <w:start w:val="1"/>
      <w:numFmt w:val="lowerRoman"/>
      <w:lvlText w:val="%6."/>
      <w:lvlJc w:val="right"/>
      <w:pPr>
        <w:ind w:left="3122" w:hanging="420"/>
      </w:pPr>
    </w:lvl>
    <w:lvl w:ilvl="6" w:tentative="0">
      <w:start w:val="1"/>
      <w:numFmt w:val="decimal"/>
      <w:lvlText w:val="%7."/>
      <w:lvlJc w:val="left"/>
      <w:pPr>
        <w:ind w:left="3542" w:hanging="420"/>
      </w:pPr>
    </w:lvl>
    <w:lvl w:ilvl="7" w:tentative="0">
      <w:start w:val="1"/>
      <w:numFmt w:val="lowerLetter"/>
      <w:lvlText w:val="%8)"/>
      <w:lvlJc w:val="left"/>
      <w:pPr>
        <w:ind w:left="3962" w:hanging="420"/>
      </w:pPr>
    </w:lvl>
    <w:lvl w:ilvl="8" w:tentative="0">
      <w:start w:val="1"/>
      <w:numFmt w:val="lowerRoman"/>
      <w:lvlText w:val="%9."/>
      <w:lvlJc w:val="right"/>
      <w:pPr>
        <w:ind w:left="4382" w:hanging="420"/>
      </w:pPr>
    </w:lvl>
  </w:abstractNum>
  <w:abstractNum w:abstractNumId="50">
    <w:nsid w:val="2CD47A6E"/>
    <w:multiLevelType w:val="multilevel"/>
    <w:tmpl w:val="2CD47A6E"/>
    <w:lvl w:ilvl="0" w:tentative="0">
      <w:start w:val="1"/>
      <w:numFmt w:val="decimal"/>
      <w:lvlText w:val="%1."/>
      <w:lvlJc w:val="left"/>
      <w:pPr>
        <w:ind w:left="0" w:firstLine="709"/>
      </w:pPr>
      <w:rPr>
        <w:rFonts w:hint="eastAsia"/>
        <w:lang w:val="en-US"/>
      </w:rPr>
    </w:lvl>
    <w:lvl w:ilvl="1" w:tentative="0">
      <w:start w:val="1"/>
      <w:numFmt w:val="lowerLetter"/>
      <w:lvlText w:val="%2)"/>
      <w:lvlJc w:val="left"/>
      <w:pPr>
        <w:ind w:left="1344" w:hanging="420"/>
      </w:pPr>
    </w:lvl>
    <w:lvl w:ilvl="2" w:tentative="0">
      <w:start w:val="1"/>
      <w:numFmt w:val="lowerRoman"/>
      <w:lvlText w:val="%3."/>
      <w:lvlJc w:val="right"/>
      <w:pPr>
        <w:ind w:left="1764" w:hanging="420"/>
      </w:pPr>
    </w:lvl>
    <w:lvl w:ilvl="3" w:tentative="0">
      <w:start w:val="1"/>
      <w:numFmt w:val="decimal"/>
      <w:lvlText w:val="%4."/>
      <w:lvlJc w:val="left"/>
      <w:pPr>
        <w:ind w:left="2184" w:hanging="420"/>
      </w:pPr>
    </w:lvl>
    <w:lvl w:ilvl="4" w:tentative="0">
      <w:start w:val="1"/>
      <w:numFmt w:val="lowerLetter"/>
      <w:lvlText w:val="%5)"/>
      <w:lvlJc w:val="left"/>
      <w:pPr>
        <w:ind w:left="2604" w:hanging="420"/>
      </w:pPr>
    </w:lvl>
    <w:lvl w:ilvl="5" w:tentative="0">
      <w:start w:val="1"/>
      <w:numFmt w:val="lowerRoman"/>
      <w:lvlText w:val="%6."/>
      <w:lvlJc w:val="right"/>
      <w:pPr>
        <w:ind w:left="3024" w:hanging="420"/>
      </w:pPr>
    </w:lvl>
    <w:lvl w:ilvl="6" w:tentative="0">
      <w:start w:val="1"/>
      <w:numFmt w:val="decimal"/>
      <w:lvlText w:val="%7."/>
      <w:lvlJc w:val="left"/>
      <w:pPr>
        <w:ind w:left="3444" w:hanging="420"/>
      </w:pPr>
    </w:lvl>
    <w:lvl w:ilvl="7" w:tentative="0">
      <w:start w:val="1"/>
      <w:numFmt w:val="lowerLetter"/>
      <w:lvlText w:val="%8)"/>
      <w:lvlJc w:val="left"/>
      <w:pPr>
        <w:ind w:left="3864" w:hanging="420"/>
      </w:pPr>
    </w:lvl>
    <w:lvl w:ilvl="8" w:tentative="0">
      <w:start w:val="1"/>
      <w:numFmt w:val="lowerRoman"/>
      <w:lvlText w:val="%9."/>
      <w:lvlJc w:val="right"/>
      <w:pPr>
        <w:ind w:left="4284" w:hanging="420"/>
      </w:pPr>
    </w:lvl>
  </w:abstractNum>
  <w:abstractNum w:abstractNumId="51">
    <w:nsid w:val="2D251638"/>
    <w:multiLevelType w:val="multilevel"/>
    <w:tmpl w:val="2D251638"/>
    <w:lvl w:ilvl="0" w:tentative="0">
      <w:start w:val="1"/>
      <w:numFmt w:val="chineseCountingThousand"/>
      <w:lvlText w:val="（%1）"/>
      <w:lvlJc w:val="left"/>
      <w:pPr>
        <w:ind w:left="420" w:hanging="420"/>
      </w:pPr>
      <w:rPr>
        <w:rFonts w:hint="default"/>
      </w:rPr>
    </w:lvl>
    <w:lvl w:ilvl="1" w:tentative="0">
      <w:start w:val="1"/>
      <w:numFmt w:val="chineseCountingThousand"/>
      <w:suff w:val="nothing"/>
      <w:lvlText w:val="（%2）"/>
      <w:lvlJc w:val="left"/>
      <w:pPr>
        <w:ind w:left="602" w:firstLine="0"/>
      </w:pPr>
      <w:rPr>
        <w:rFonts w:hint="default"/>
        <w:lang w:val="zh-CN"/>
      </w:rPr>
    </w:lvl>
    <w:lvl w:ilvl="2" w:tentative="0">
      <w:start w:val="1"/>
      <w:numFmt w:val="japaneseCounting"/>
      <w:lvlText w:val="（%3）"/>
      <w:lvlJc w:val="left"/>
      <w:pPr>
        <w:ind w:left="1725" w:hanging="885"/>
      </w:pPr>
      <w:rPr>
        <w:rFonts w:hint="default"/>
      </w:r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2">
    <w:nsid w:val="2EBF7FCE"/>
    <w:multiLevelType w:val="multilevel"/>
    <w:tmpl w:val="2EBF7FCE"/>
    <w:lvl w:ilvl="0" w:tentative="0">
      <w:start w:val="1"/>
      <w:numFmt w:val="chineseCountingThousand"/>
      <w:suff w:val="space"/>
      <w:lvlText w:val="（%1）"/>
      <w:lvlJc w:val="left"/>
      <w:pPr>
        <w:ind w:left="1129" w:hanging="420"/>
      </w:pPr>
      <w:rPr>
        <w:rFonts w:hint="eastAsia"/>
      </w:rPr>
    </w:lvl>
    <w:lvl w:ilvl="1" w:tentative="0">
      <w:start w:val="1"/>
      <w:numFmt w:val="lowerLetter"/>
      <w:lvlText w:val="%2)"/>
      <w:lvlJc w:val="left"/>
      <w:pPr>
        <w:ind w:left="909" w:hanging="420"/>
      </w:pPr>
    </w:lvl>
    <w:lvl w:ilvl="2" w:tentative="0">
      <w:start w:val="1"/>
      <w:numFmt w:val="lowerRoman"/>
      <w:lvlText w:val="%3."/>
      <w:lvlJc w:val="right"/>
      <w:pPr>
        <w:ind w:left="1329" w:hanging="420"/>
      </w:pPr>
    </w:lvl>
    <w:lvl w:ilvl="3" w:tentative="0">
      <w:start w:val="1"/>
      <w:numFmt w:val="decimal"/>
      <w:lvlText w:val="%4."/>
      <w:lvlJc w:val="left"/>
      <w:pPr>
        <w:ind w:left="1749" w:hanging="420"/>
      </w:pPr>
    </w:lvl>
    <w:lvl w:ilvl="4" w:tentative="0">
      <w:start w:val="1"/>
      <w:numFmt w:val="lowerLetter"/>
      <w:lvlText w:val="%5)"/>
      <w:lvlJc w:val="left"/>
      <w:pPr>
        <w:ind w:left="2169" w:hanging="420"/>
      </w:pPr>
    </w:lvl>
    <w:lvl w:ilvl="5" w:tentative="0">
      <w:start w:val="1"/>
      <w:numFmt w:val="lowerRoman"/>
      <w:lvlText w:val="%6."/>
      <w:lvlJc w:val="right"/>
      <w:pPr>
        <w:ind w:left="2589" w:hanging="420"/>
      </w:pPr>
    </w:lvl>
    <w:lvl w:ilvl="6" w:tentative="0">
      <w:start w:val="1"/>
      <w:numFmt w:val="decimal"/>
      <w:lvlText w:val="%7."/>
      <w:lvlJc w:val="left"/>
      <w:pPr>
        <w:ind w:left="3009" w:hanging="420"/>
      </w:pPr>
    </w:lvl>
    <w:lvl w:ilvl="7" w:tentative="0">
      <w:start w:val="1"/>
      <w:numFmt w:val="lowerLetter"/>
      <w:lvlText w:val="%8)"/>
      <w:lvlJc w:val="left"/>
      <w:pPr>
        <w:ind w:left="3429" w:hanging="420"/>
      </w:pPr>
    </w:lvl>
    <w:lvl w:ilvl="8" w:tentative="0">
      <w:start w:val="1"/>
      <w:numFmt w:val="lowerRoman"/>
      <w:lvlText w:val="%9."/>
      <w:lvlJc w:val="right"/>
      <w:pPr>
        <w:ind w:left="3849" w:hanging="420"/>
      </w:pPr>
    </w:lvl>
  </w:abstractNum>
  <w:abstractNum w:abstractNumId="53">
    <w:nsid w:val="2F4E0CBB"/>
    <w:multiLevelType w:val="multilevel"/>
    <w:tmpl w:val="2F4E0CBB"/>
    <w:lvl w:ilvl="0" w:tentative="0">
      <w:start w:val="1"/>
      <w:numFmt w:val="decimal"/>
      <w:lvlText w:val="%1."/>
      <w:lvlJc w:val="left"/>
      <w:pPr>
        <w:ind w:left="1020" w:hanging="420"/>
      </w:pPr>
      <w:rPr>
        <w:rFonts w:hint="eastAsia"/>
      </w:rPr>
    </w:lvl>
    <w:lvl w:ilvl="1" w:tentative="0">
      <w:start w:val="1"/>
      <w:numFmt w:val="lowerLetter"/>
      <w:lvlText w:val="%2)"/>
      <w:lvlJc w:val="left"/>
      <w:pPr>
        <w:ind w:left="1440" w:hanging="420"/>
      </w:pPr>
    </w:lvl>
    <w:lvl w:ilvl="2" w:tentative="0">
      <w:start w:val="1"/>
      <w:numFmt w:val="lowerRoman"/>
      <w:lvlText w:val="%3."/>
      <w:lvlJc w:val="right"/>
      <w:pPr>
        <w:ind w:left="1860" w:hanging="420"/>
      </w:pPr>
    </w:lvl>
    <w:lvl w:ilvl="3" w:tentative="0">
      <w:start w:val="1"/>
      <w:numFmt w:val="decimal"/>
      <w:lvlText w:val="%4."/>
      <w:lvlJc w:val="left"/>
      <w:pPr>
        <w:ind w:left="2280" w:hanging="420"/>
      </w:pPr>
    </w:lvl>
    <w:lvl w:ilvl="4" w:tentative="0">
      <w:start w:val="1"/>
      <w:numFmt w:val="lowerLetter"/>
      <w:lvlText w:val="%5)"/>
      <w:lvlJc w:val="left"/>
      <w:pPr>
        <w:ind w:left="2700" w:hanging="420"/>
      </w:pPr>
    </w:lvl>
    <w:lvl w:ilvl="5" w:tentative="0">
      <w:start w:val="1"/>
      <w:numFmt w:val="lowerRoman"/>
      <w:lvlText w:val="%6."/>
      <w:lvlJc w:val="right"/>
      <w:pPr>
        <w:ind w:left="3120" w:hanging="420"/>
      </w:pPr>
    </w:lvl>
    <w:lvl w:ilvl="6" w:tentative="0">
      <w:start w:val="1"/>
      <w:numFmt w:val="decimal"/>
      <w:lvlText w:val="%7."/>
      <w:lvlJc w:val="left"/>
      <w:pPr>
        <w:ind w:left="3540" w:hanging="420"/>
      </w:pPr>
    </w:lvl>
    <w:lvl w:ilvl="7" w:tentative="0">
      <w:start w:val="1"/>
      <w:numFmt w:val="lowerLetter"/>
      <w:lvlText w:val="%8)"/>
      <w:lvlJc w:val="left"/>
      <w:pPr>
        <w:ind w:left="3960" w:hanging="420"/>
      </w:pPr>
    </w:lvl>
    <w:lvl w:ilvl="8" w:tentative="0">
      <w:start w:val="1"/>
      <w:numFmt w:val="lowerRoman"/>
      <w:lvlText w:val="%9."/>
      <w:lvlJc w:val="right"/>
      <w:pPr>
        <w:ind w:left="4380" w:hanging="420"/>
      </w:pPr>
    </w:lvl>
  </w:abstractNum>
  <w:abstractNum w:abstractNumId="54">
    <w:nsid w:val="306B485A"/>
    <w:multiLevelType w:val="multilevel"/>
    <w:tmpl w:val="306B485A"/>
    <w:lvl w:ilvl="0" w:tentative="0">
      <w:start w:val="1"/>
      <w:numFmt w:val="chineseCountingThousand"/>
      <w:suff w:val="space"/>
      <w:lvlText w:val="%1、"/>
      <w:lvlJc w:val="left"/>
      <w:pPr>
        <w:ind w:left="1060" w:hanging="420"/>
      </w:pPr>
      <w:rPr>
        <w:rFonts w:hint="eastAsia"/>
        <w:b/>
      </w:rPr>
    </w:lvl>
    <w:lvl w:ilvl="1" w:tentative="0">
      <w:start w:val="1"/>
      <w:numFmt w:val="decimal"/>
      <w:lvlText w:val="（%2）"/>
      <w:lvlJc w:val="left"/>
      <w:pPr>
        <w:ind w:left="1140" w:hanging="72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5">
    <w:nsid w:val="31275C4A"/>
    <w:multiLevelType w:val="multilevel"/>
    <w:tmpl w:val="31275C4A"/>
    <w:lvl w:ilvl="0" w:tentative="0">
      <w:start w:val="1"/>
      <w:numFmt w:val="chineseCountingThousand"/>
      <w:lvlText w:val="(%1)"/>
      <w:lvlJc w:val="left"/>
      <w:pPr>
        <w:ind w:left="980" w:hanging="420"/>
      </w:pPr>
    </w:lvl>
    <w:lvl w:ilvl="1" w:tentative="0">
      <w:start w:val="1"/>
      <w:numFmt w:val="chineseCountingThousand"/>
      <w:suff w:val="space"/>
      <w:lvlText w:val="（%2）"/>
      <w:lvlJc w:val="left"/>
      <w:pPr>
        <w:ind w:left="420" w:hanging="420"/>
      </w:pPr>
      <w:rPr>
        <w:rFonts w:hint="eastAsia"/>
        <w:lang w:val="zh-CN"/>
      </w:r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56">
    <w:nsid w:val="31321275"/>
    <w:multiLevelType w:val="multilevel"/>
    <w:tmpl w:val="31321275"/>
    <w:lvl w:ilvl="0" w:tentative="0">
      <w:start w:val="1"/>
      <w:numFmt w:val="decimal"/>
      <w:suff w:val="space"/>
      <w:lvlText w:val="%1."/>
      <w:lvlJc w:val="left"/>
      <w:pPr>
        <w:ind w:left="168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7">
    <w:nsid w:val="3299633A"/>
    <w:multiLevelType w:val="multilevel"/>
    <w:tmpl w:val="3299633A"/>
    <w:lvl w:ilvl="0" w:tentative="0">
      <w:start w:val="1"/>
      <w:numFmt w:val="chineseCountingThousand"/>
      <w:suff w:val="space"/>
      <w:lvlText w:val="（%1）"/>
      <w:lvlJc w:val="left"/>
      <w:pPr>
        <w:ind w:left="1129" w:hanging="420"/>
      </w:pPr>
      <w:rPr>
        <w:rFonts w:hint="eastAsia"/>
      </w:rPr>
    </w:lvl>
    <w:lvl w:ilvl="1" w:tentative="0">
      <w:start w:val="1"/>
      <w:numFmt w:val="lowerLetter"/>
      <w:lvlText w:val="%2)"/>
      <w:lvlJc w:val="left"/>
      <w:pPr>
        <w:ind w:left="909" w:hanging="420"/>
      </w:pPr>
    </w:lvl>
    <w:lvl w:ilvl="2" w:tentative="0">
      <w:start w:val="1"/>
      <w:numFmt w:val="lowerRoman"/>
      <w:lvlText w:val="%3."/>
      <w:lvlJc w:val="right"/>
      <w:pPr>
        <w:ind w:left="1329" w:hanging="420"/>
      </w:pPr>
    </w:lvl>
    <w:lvl w:ilvl="3" w:tentative="0">
      <w:start w:val="1"/>
      <w:numFmt w:val="decimal"/>
      <w:lvlText w:val="%4."/>
      <w:lvlJc w:val="left"/>
      <w:pPr>
        <w:ind w:left="1749" w:hanging="420"/>
      </w:pPr>
    </w:lvl>
    <w:lvl w:ilvl="4" w:tentative="0">
      <w:start w:val="1"/>
      <w:numFmt w:val="lowerLetter"/>
      <w:lvlText w:val="%5)"/>
      <w:lvlJc w:val="left"/>
      <w:pPr>
        <w:ind w:left="2169" w:hanging="420"/>
      </w:pPr>
    </w:lvl>
    <w:lvl w:ilvl="5" w:tentative="0">
      <w:start w:val="1"/>
      <w:numFmt w:val="lowerRoman"/>
      <w:lvlText w:val="%6."/>
      <w:lvlJc w:val="right"/>
      <w:pPr>
        <w:ind w:left="2589" w:hanging="420"/>
      </w:pPr>
    </w:lvl>
    <w:lvl w:ilvl="6" w:tentative="0">
      <w:start w:val="1"/>
      <w:numFmt w:val="decimal"/>
      <w:lvlText w:val="%7."/>
      <w:lvlJc w:val="left"/>
      <w:pPr>
        <w:ind w:left="3009" w:hanging="420"/>
      </w:pPr>
    </w:lvl>
    <w:lvl w:ilvl="7" w:tentative="0">
      <w:start w:val="1"/>
      <w:numFmt w:val="lowerLetter"/>
      <w:lvlText w:val="%8)"/>
      <w:lvlJc w:val="left"/>
      <w:pPr>
        <w:ind w:left="3429" w:hanging="420"/>
      </w:pPr>
    </w:lvl>
    <w:lvl w:ilvl="8" w:tentative="0">
      <w:start w:val="1"/>
      <w:numFmt w:val="lowerRoman"/>
      <w:lvlText w:val="%9."/>
      <w:lvlJc w:val="right"/>
      <w:pPr>
        <w:ind w:left="3849" w:hanging="420"/>
      </w:pPr>
    </w:lvl>
  </w:abstractNum>
  <w:abstractNum w:abstractNumId="58">
    <w:nsid w:val="32AB1563"/>
    <w:multiLevelType w:val="multilevel"/>
    <w:tmpl w:val="32AB1563"/>
    <w:lvl w:ilvl="0" w:tentative="0">
      <w:start w:val="1"/>
      <w:numFmt w:val="decimal"/>
      <w:suff w:val="space"/>
      <w:lvlText w:val="%1."/>
      <w:lvlJc w:val="left"/>
      <w:pPr>
        <w:ind w:left="168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9">
    <w:nsid w:val="33A4575C"/>
    <w:multiLevelType w:val="multilevel"/>
    <w:tmpl w:val="33A4575C"/>
    <w:lvl w:ilvl="0" w:tentative="0">
      <w:start w:val="1"/>
      <w:numFmt w:val="decimal"/>
      <w:suff w:val="space"/>
      <w:lvlText w:val="（%1）"/>
      <w:lvlJc w:val="left"/>
      <w:pPr>
        <w:ind w:left="924" w:hanging="420"/>
      </w:pPr>
      <w:rPr>
        <w:rFonts w:hint="default"/>
        <w:lang w:val="en-US"/>
      </w:rPr>
    </w:lvl>
    <w:lvl w:ilvl="1" w:tentative="0">
      <w:start w:val="1"/>
      <w:numFmt w:val="lowerLetter"/>
      <w:lvlText w:val="%2)"/>
      <w:lvlJc w:val="left"/>
      <w:pPr>
        <w:ind w:left="1344" w:hanging="420"/>
      </w:pPr>
    </w:lvl>
    <w:lvl w:ilvl="2" w:tentative="0">
      <w:start w:val="1"/>
      <w:numFmt w:val="lowerRoman"/>
      <w:lvlText w:val="%3."/>
      <w:lvlJc w:val="right"/>
      <w:pPr>
        <w:ind w:left="1764" w:hanging="420"/>
      </w:pPr>
    </w:lvl>
    <w:lvl w:ilvl="3" w:tentative="0">
      <w:start w:val="1"/>
      <w:numFmt w:val="decimal"/>
      <w:lvlText w:val="%4."/>
      <w:lvlJc w:val="left"/>
      <w:pPr>
        <w:ind w:left="2184" w:hanging="420"/>
      </w:pPr>
    </w:lvl>
    <w:lvl w:ilvl="4" w:tentative="0">
      <w:start w:val="1"/>
      <w:numFmt w:val="lowerLetter"/>
      <w:lvlText w:val="%5)"/>
      <w:lvlJc w:val="left"/>
      <w:pPr>
        <w:ind w:left="2604" w:hanging="420"/>
      </w:pPr>
    </w:lvl>
    <w:lvl w:ilvl="5" w:tentative="0">
      <w:start w:val="1"/>
      <w:numFmt w:val="lowerRoman"/>
      <w:lvlText w:val="%6."/>
      <w:lvlJc w:val="right"/>
      <w:pPr>
        <w:ind w:left="3024" w:hanging="420"/>
      </w:pPr>
    </w:lvl>
    <w:lvl w:ilvl="6" w:tentative="0">
      <w:start w:val="1"/>
      <w:numFmt w:val="decimal"/>
      <w:lvlText w:val="%7."/>
      <w:lvlJc w:val="left"/>
      <w:pPr>
        <w:ind w:left="3444" w:hanging="420"/>
      </w:pPr>
    </w:lvl>
    <w:lvl w:ilvl="7" w:tentative="0">
      <w:start w:val="1"/>
      <w:numFmt w:val="lowerLetter"/>
      <w:lvlText w:val="%8)"/>
      <w:lvlJc w:val="left"/>
      <w:pPr>
        <w:ind w:left="3864" w:hanging="420"/>
      </w:pPr>
    </w:lvl>
    <w:lvl w:ilvl="8" w:tentative="0">
      <w:start w:val="1"/>
      <w:numFmt w:val="lowerRoman"/>
      <w:lvlText w:val="%9."/>
      <w:lvlJc w:val="right"/>
      <w:pPr>
        <w:ind w:left="4284" w:hanging="420"/>
      </w:pPr>
    </w:lvl>
  </w:abstractNum>
  <w:abstractNum w:abstractNumId="60">
    <w:nsid w:val="34B837B8"/>
    <w:multiLevelType w:val="multilevel"/>
    <w:tmpl w:val="34B837B8"/>
    <w:lvl w:ilvl="0" w:tentative="0">
      <w:start w:val="1"/>
      <w:numFmt w:val="decimal"/>
      <w:suff w:val="space"/>
      <w:lvlText w:val="%1."/>
      <w:lvlJc w:val="left"/>
      <w:pPr>
        <w:ind w:left="168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1">
    <w:nsid w:val="35CC17CC"/>
    <w:multiLevelType w:val="multilevel"/>
    <w:tmpl w:val="35CC17CC"/>
    <w:lvl w:ilvl="0" w:tentative="0">
      <w:start w:val="1"/>
      <w:numFmt w:val="decimal"/>
      <w:suff w:val="space"/>
      <w:lvlText w:val="（%1）"/>
      <w:lvlJc w:val="left"/>
      <w:pPr>
        <w:ind w:left="924" w:hanging="420"/>
      </w:pPr>
      <w:rPr>
        <w:rFonts w:hint="default"/>
        <w:lang w:val="en-US"/>
      </w:rPr>
    </w:lvl>
    <w:lvl w:ilvl="1" w:tentative="0">
      <w:start w:val="1"/>
      <w:numFmt w:val="lowerLetter"/>
      <w:lvlText w:val="%2)"/>
      <w:lvlJc w:val="left"/>
      <w:pPr>
        <w:ind w:left="1344" w:hanging="420"/>
      </w:pPr>
    </w:lvl>
    <w:lvl w:ilvl="2" w:tentative="0">
      <w:start w:val="1"/>
      <w:numFmt w:val="lowerRoman"/>
      <w:lvlText w:val="%3."/>
      <w:lvlJc w:val="right"/>
      <w:pPr>
        <w:ind w:left="1764" w:hanging="420"/>
      </w:pPr>
    </w:lvl>
    <w:lvl w:ilvl="3" w:tentative="0">
      <w:start w:val="1"/>
      <w:numFmt w:val="decimal"/>
      <w:lvlText w:val="%4."/>
      <w:lvlJc w:val="left"/>
      <w:pPr>
        <w:ind w:left="2184" w:hanging="420"/>
      </w:pPr>
    </w:lvl>
    <w:lvl w:ilvl="4" w:tentative="0">
      <w:start w:val="1"/>
      <w:numFmt w:val="lowerLetter"/>
      <w:lvlText w:val="%5)"/>
      <w:lvlJc w:val="left"/>
      <w:pPr>
        <w:ind w:left="2604" w:hanging="420"/>
      </w:pPr>
    </w:lvl>
    <w:lvl w:ilvl="5" w:tentative="0">
      <w:start w:val="1"/>
      <w:numFmt w:val="lowerRoman"/>
      <w:lvlText w:val="%6."/>
      <w:lvlJc w:val="right"/>
      <w:pPr>
        <w:ind w:left="3024" w:hanging="420"/>
      </w:pPr>
    </w:lvl>
    <w:lvl w:ilvl="6" w:tentative="0">
      <w:start w:val="1"/>
      <w:numFmt w:val="decimal"/>
      <w:lvlText w:val="%7."/>
      <w:lvlJc w:val="left"/>
      <w:pPr>
        <w:ind w:left="3444" w:hanging="420"/>
      </w:pPr>
    </w:lvl>
    <w:lvl w:ilvl="7" w:tentative="0">
      <w:start w:val="1"/>
      <w:numFmt w:val="lowerLetter"/>
      <w:lvlText w:val="%8)"/>
      <w:lvlJc w:val="left"/>
      <w:pPr>
        <w:ind w:left="3864" w:hanging="420"/>
      </w:pPr>
    </w:lvl>
    <w:lvl w:ilvl="8" w:tentative="0">
      <w:start w:val="1"/>
      <w:numFmt w:val="lowerRoman"/>
      <w:lvlText w:val="%9."/>
      <w:lvlJc w:val="right"/>
      <w:pPr>
        <w:ind w:left="4284" w:hanging="420"/>
      </w:pPr>
    </w:lvl>
  </w:abstractNum>
  <w:abstractNum w:abstractNumId="62">
    <w:nsid w:val="376C738E"/>
    <w:multiLevelType w:val="multilevel"/>
    <w:tmpl w:val="376C738E"/>
    <w:lvl w:ilvl="0" w:tentative="0">
      <w:start w:val="1"/>
      <w:numFmt w:val="decimal"/>
      <w:suff w:val="space"/>
      <w:lvlText w:val="%1."/>
      <w:lvlJc w:val="left"/>
      <w:pPr>
        <w:ind w:left="602"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3">
    <w:nsid w:val="37E477C9"/>
    <w:multiLevelType w:val="multilevel"/>
    <w:tmpl w:val="37E477C9"/>
    <w:lvl w:ilvl="0" w:tentative="0">
      <w:start w:val="1"/>
      <w:numFmt w:val="decimal"/>
      <w:suff w:val="space"/>
      <w:lvlText w:val="%1."/>
      <w:lvlJc w:val="left"/>
      <w:pPr>
        <w:ind w:left="168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4">
    <w:nsid w:val="39245023"/>
    <w:multiLevelType w:val="multilevel"/>
    <w:tmpl w:val="39245023"/>
    <w:lvl w:ilvl="0" w:tentative="0">
      <w:start w:val="1"/>
      <w:numFmt w:val="decimal"/>
      <w:suff w:val="space"/>
      <w:lvlText w:val="（%1）"/>
      <w:lvlJc w:val="left"/>
      <w:pPr>
        <w:ind w:left="924" w:hanging="420"/>
      </w:pPr>
      <w:rPr>
        <w:rFonts w:hint="default"/>
      </w:rPr>
    </w:lvl>
    <w:lvl w:ilvl="1" w:tentative="0">
      <w:start w:val="1"/>
      <w:numFmt w:val="lowerLetter"/>
      <w:lvlText w:val="%2)"/>
      <w:lvlJc w:val="left"/>
      <w:pPr>
        <w:ind w:left="1344" w:hanging="420"/>
      </w:pPr>
    </w:lvl>
    <w:lvl w:ilvl="2" w:tentative="0">
      <w:start w:val="1"/>
      <w:numFmt w:val="lowerRoman"/>
      <w:lvlText w:val="%3."/>
      <w:lvlJc w:val="right"/>
      <w:pPr>
        <w:ind w:left="1764" w:hanging="420"/>
      </w:pPr>
    </w:lvl>
    <w:lvl w:ilvl="3" w:tentative="0">
      <w:start w:val="1"/>
      <w:numFmt w:val="decimal"/>
      <w:lvlText w:val="%4."/>
      <w:lvlJc w:val="left"/>
      <w:pPr>
        <w:ind w:left="2184" w:hanging="420"/>
      </w:pPr>
    </w:lvl>
    <w:lvl w:ilvl="4" w:tentative="0">
      <w:start w:val="1"/>
      <w:numFmt w:val="lowerLetter"/>
      <w:lvlText w:val="%5)"/>
      <w:lvlJc w:val="left"/>
      <w:pPr>
        <w:ind w:left="2604" w:hanging="420"/>
      </w:pPr>
    </w:lvl>
    <w:lvl w:ilvl="5" w:tentative="0">
      <w:start w:val="1"/>
      <w:numFmt w:val="lowerRoman"/>
      <w:lvlText w:val="%6."/>
      <w:lvlJc w:val="right"/>
      <w:pPr>
        <w:ind w:left="3024" w:hanging="420"/>
      </w:pPr>
    </w:lvl>
    <w:lvl w:ilvl="6" w:tentative="0">
      <w:start w:val="1"/>
      <w:numFmt w:val="decimal"/>
      <w:lvlText w:val="%7."/>
      <w:lvlJc w:val="left"/>
      <w:pPr>
        <w:ind w:left="3444" w:hanging="420"/>
      </w:pPr>
    </w:lvl>
    <w:lvl w:ilvl="7" w:tentative="0">
      <w:start w:val="1"/>
      <w:numFmt w:val="lowerLetter"/>
      <w:lvlText w:val="%8)"/>
      <w:lvlJc w:val="left"/>
      <w:pPr>
        <w:ind w:left="3864" w:hanging="420"/>
      </w:pPr>
    </w:lvl>
    <w:lvl w:ilvl="8" w:tentative="0">
      <w:start w:val="1"/>
      <w:numFmt w:val="lowerRoman"/>
      <w:lvlText w:val="%9."/>
      <w:lvlJc w:val="right"/>
      <w:pPr>
        <w:ind w:left="4284" w:hanging="420"/>
      </w:pPr>
    </w:lvl>
  </w:abstractNum>
  <w:abstractNum w:abstractNumId="65">
    <w:nsid w:val="393D0C4C"/>
    <w:multiLevelType w:val="multilevel"/>
    <w:tmpl w:val="393D0C4C"/>
    <w:lvl w:ilvl="0" w:tentative="0">
      <w:start w:val="1"/>
      <w:numFmt w:val="decimal"/>
      <w:suff w:val="space"/>
      <w:lvlText w:val="%1."/>
      <w:lvlJc w:val="left"/>
      <w:pPr>
        <w:ind w:left="1020" w:hanging="420"/>
      </w:pPr>
      <w:rPr>
        <w:rFonts w:hint="eastAsia"/>
      </w:rPr>
    </w:lvl>
    <w:lvl w:ilvl="1" w:tentative="0">
      <w:start w:val="1"/>
      <w:numFmt w:val="lowerLetter"/>
      <w:lvlText w:val="%2)"/>
      <w:lvlJc w:val="left"/>
      <w:pPr>
        <w:ind w:left="1440" w:hanging="420"/>
      </w:pPr>
    </w:lvl>
    <w:lvl w:ilvl="2" w:tentative="0">
      <w:start w:val="1"/>
      <w:numFmt w:val="lowerRoman"/>
      <w:lvlText w:val="%3."/>
      <w:lvlJc w:val="right"/>
      <w:pPr>
        <w:ind w:left="1860" w:hanging="420"/>
      </w:pPr>
    </w:lvl>
    <w:lvl w:ilvl="3" w:tentative="0">
      <w:start w:val="1"/>
      <w:numFmt w:val="decimal"/>
      <w:lvlText w:val="%4."/>
      <w:lvlJc w:val="left"/>
      <w:pPr>
        <w:ind w:left="2280" w:hanging="420"/>
      </w:pPr>
    </w:lvl>
    <w:lvl w:ilvl="4" w:tentative="0">
      <w:start w:val="1"/>
      <w:numFmt w:val="lowerLetter"/>
      <w:lvlText w:val="%5)"/>
      <w:lvlJc w:val="left"/>
      <w:pPr>
        <w:ind w:left="2700" w:hanging="420"/>
      </w:pPr>
    </w:lvl>
    <w:lvl w:ilvl="5" w:tentative="0">
      <w:start w:val="1"/>
      <w:numFmt w:val="lowerRoman"/>
      <w:lvlText w:val="%6."/>
      <w:lvlJc w:val="right"/>
      <w:pPr>
        <w:ind w:left="3120" w:hanging="420"/>
      </w:pPr>
    </w:lvl>
    <w:lvl w:ilvl="6" w:tentative="0">
      <w:start w:val="1"/>
      <w:numFmt w:val="decimal"/>
      <w:lvlText w:val="%7."/>
      <w:lvlJc w:val="left"/>
      <w:pPr>
        <w:ind w:left="3540" w:hanging="420"/>
      </w:pPr>
    </w:lvl>
    <w:lvl w:ilvl="7" w:tentative="0">
      <w:start w:val="1"/>
      <w:numFmt w:val="lowerLetter"/>
      <w:lvlText w:val="%8)"/>
      <w:lvlJc w:val="left"/>
      <w:pPr>
        <w:ind w:left="3960" w:hanging="420"/>
      </w:pPr>
    </w:lvl>
    <w:lvl w:ilvl="8" w:tentative="0">
      <w:start w:val="1"/>
      <w:numFmt w:val="lowerRoman"/>
      <w:lvlText w:val="%9."/>
      <w:lvlJc w:val="right"/>
      <w:pPr>
        <w:ind w:left="4380" w:hanging="420"/>
      </w:pPr>
    </w:lvl>
  </w:abstractNum>
  <w:abstractNum w:abstractNumId="66">
    <w:nsid w:val="3A05134D"/>
    <w:multiLevelType w:val="multilevel"/>
    <w:tmpl w:val="3A05134D"/>
    <w:lvl w:ilvl="0" w:tentative="0">
      <w:start w:val="1"/>
      <w:numFmt w:val="chineseCountingThousand"/>
      <w:suff w:val="space"/>
      <w:lvlText w:val="（%1）"/>
      <w:lvlJc w:val="left"/>
      <w:pPr>
        <w:ind w:left="1129" w:hanging="420"/>
      </w:pPr>
      <w:rPr>
        <w:rFonts w:hint="eastAsia"/>
      </w:rPr>
    </w:lvl>
    <w:lvl w:ilvl="1" w:tentative="0">
      <w:start w:val="1"/>
      <w:numFmt w:val="lowerLetter"/>
      <w:lvlText w:val="%2)"/>
      <w:lvlJc w:val="left"/>
      <w:pPr>
        <w:ind w:left="909" w:hanging="420"/>
      </w:pPr>
    </w:lvl>
    <w:lvl w:ilvl="2" w:tentative="0">
      <w:start w:val="1"/>
      <w:numFmt w:val="lowerRoman"/>
      <w:lvlText w:val="%3."/>
      <w:lvlJc w:val="right"/>
      <w:pPr>
        <w:ind w:left="1329" w:hanging="420"/>
      </w:pPr>
    </w:lvl>
    <w:lvl w:ilvl="3" w:tentative="0">
      <w:start w:val="1"/>
      <w:numFmt w:val="decimal"/>
      <w:lvlText w:val="%4."/>
      <w:lvlJc w:val="left"/>
      <w:pPr>
        <w:ind w:left="1749" w:hanging="420"/>
      </w:pPr>
    </w:lvl>
    <w:lvl w:ilvl="4" w:tentative="0">
      <w:start w:val="1"/>
      <w:numFmt w:val="lowerLetter"/>
      <w:lvlText w:val="%5)"/>
      <w:lvlJc w:val="left"/>
      <w:pPr>
        <w:ind w:left="2169" w:hanging="420"/>
      </w:pPr>
    </w:lvl>
    <w:lvl w:ilvl="5" w:tentative="0">
      <w:start w:val="1"/>
      <w:numFmt w:val="lowerRoman"/>
      <w:lvlText w:val="%6."/>
      <w:lvlJc w:val="right"/>
      <w:pPr>
        <w:ind w:left="2589" w:hanging="420"/>
      </w:pPr>
    </w:lvl>
    <w:lvl w:ilvl="6" w:tentative="0">
      <w:start w:val="1"/>
      <w:numFmt w:val="decimal"/>
      <w:lvlText w:val="%7."/>
      <w:lvlJc w:val="left"/>
      <w:pPr>
        <w:ind w:left="3009" w:hanging="420"/>
      </w:pPr>
    </w:lvl>
    <w:lvl w:ilvl="7" w:tentative="0">
      <w:start w:val="1"/>
      <w:numFmt w:val="lowerLetter"/>
      <w:lvlText w:val="%8)"/>
      <w:lvlJc w:val="left"/>
      <w:pPr>
        <w:ind w:left="3429" w:hanging="420"/>
      </w:pPr>
    </w:lvl>
    <w:lvl w:ilvl="8" w:tentative="0">
      <w:start w:val="1"/>
      <w:numFmt w:val="lowerRoman"/>
      <w:lvlText w:val="%9."/>
      <w:lvlJc w:val="right"/>
      <w:pPr>
        <w:ind w:left="3849" w:hanging="420"/>
      </w:pPr>
    </w:lvl>
  </w:abstractNum>
  <w:abstractNum w:abstractNumId="67">
    <w:nsid w:val="3BDA64C9"/>
    <w:multiLevelType w:val="multilevel"/>
    <w:tmpl w:val="3BDA64C9"/>
    <w:lvl w:ilvl="0" w:tentative="0">
      <w:start w:val="1"/>
      <w:numFmt w:val="decimal"/>
      <w:suff w:val="space"/>
      <w:lvlText w:val="（%1）"/>
      <w:lvlJc w:val="left"/>
      <w:pPr>
        <w:ind w:left="924" w:hanging="420"/>
      </w:pPr>
      <w:rPr>
        <w:rFonts w:hint="default"/>
      </w:rPr>
    </w:lvl>
    <w:lvl w:ilvl="1" w:tentative="0">
      <w:start w:val="1"/>
      <w:numFmt w:val="lowerLetter"/>
      <w:lvlText w:val="%2)"/>
      <w:lvlJc w:val="left"/>
      <w:pPr>
        <w:ind w:left="1344" w:hanging="420"/>
      </w:pPr>
    </w:lvl>
    <w:lvl w:ilvl="2" w:tentative="0">
      <w:start w:val="1"/>
      <w:numFmt w:val="lowerRoman"/>
      <w:lvlText w:val="%3."/>
      <w:lvlJc w:val="right"/>
      <w:pPr>
        <w:ind w:left="1764" w:hanging="420"/>
      </w:pPr>
    </w:lvl>
    <w:lvl w:ilvl="3" w:tentative="0">
      <w:start w:val="1"/>
      <w:numFmt w:val="decimal"/>
      <w:lvlText w:val="%4."/>
      <w:lvlJc w:val="left"/>
      <w:pPr>
        <w:ind w:left="2184" w:hanging="420"/>
      </w:pPr>
    </w:lvl>
    <w:lvl w:ilvl="4" w:tentative="0">
      <w:start w:val="1"/>
      <w:numFmt w:val="lowerLetter"/>
      <w:lvlText w:val="%5)"/>
      <w:lvlJc w:val="left"/>
      <w:pPr>
        <w:ind w:left="2604" w:hanging="420"/>
      </w:pPr>
    </w:lvl>
    <w:lvl w:ilvl="5" w:tentative="0">
      <w:start w:val="1"/>
      <w:numFmt w:val="lowerRoman"/>
      <w:lvlText w:val="%6."/>
      <w:lvlJc w:val="right"/>
      <w:pPr>
        <w:ind w:left="3024" w:hanging="420"/>
      </w:pPr>
    </w:lvl>
    <w:lvl w:ilvl="6" w:tentative="0">
      <w:start w:val="1"/>
      <w:numFmt w:val="decimal"/>
      <w:lvlText w:val="%7."/>
      <w:lvlJc w:val="left"/>
      <w:pPr>
        <w:ind w:left="3444" w:hanging="420"/>
      </w:pPr>
    </w:lvl>
    <w:lvl w:ilvl="7" w:tentative="0">
      <w:start w:val="1"/>
      <w:numFmt w:val="lowerLetter"/>
      <w:lvlText w:val="%8)"/>
      <w:lvlJc w:val="left"/>
      <w:pPr>
        <w:ind w:left="3864" w:hanging="420"/>
      </w:pPr>
    </w:lvl>
    <w:lvl w:ilvl="8" w:tentative="0">
      <w:start w:val="1"/>
      <w:numFmt w:val="lowerRoman"/>
      <w:lvlText w:val="%9."/>
      <w:lvlJc w:val="right"/>
      <w:pPr>
        <w:ind w:left="4284" w:hanging="420"/>
      </w:pPr>
    </w:lvl>
  </w:abstractNum>
  <w:abstractNum w:abstractNumId="68">
    <w:nsid w:val="3C8C011C"/>
    <w:multiLevelType w:val="multilevel"/>
    <w:tmpl w:val="3C8C011C"/>
    <w:lvl w:ilvl="0" w:tentative="0">
      <w:start w:val="1"/>
      <w:numFmt w:val="decimal"/>
      <w:suff w:val="space"/>
      <w:lvlText w:val="（%1）"/>
      <w:lvlJc w:val="left"/>
      <w:pPr>
        <w:ind w:left="924" w:hanging="420"/>
      </w:pPr>
      <w:rPr>
        <w:rFonts w:hint="default"/>
        <w:b w:val="0"/>
      </w:rPr>
    </w:lvl>
    <w:lvl w:ilvl="1" w:tentative="0">
      <w:start w:val="1"/>
      <w:numFmt w:val="lowerLetter"/>
      <w:lvlText w:val="%2)"/>
      <w:lvlJc w:val="left"/>
      <w:pPr>
        <w:ind w:left="1344" w:hanging="420"/>
      </w:pPr>
    </w:lvl>
    <w:lvl w:ilvl="2" w:tentative="0">
      <w:start w:val="1"/>
      <w:numFmt w:val="lowerRoman"/>
      <w:lvlText w:val="%3."/>
      <w:lvlJc w:val="right"/>
      <w:pPr>
        <w:ind w:left="1764" w:hanging="420"/>
      </w:pPr>
    </w:lvl>
    <w:lvl w:ilvl="3" w:tentative="0">
      <w:start w:val="1"/>
      <w:numFmt w:val="decimal"/>
      <w:lvlText w:val="%4."/>
      <w:lvlJc w:val="left"/>
      <w:pPr>
        <w:ind w:left="2184" w:hanging="420"/>
      </w:pPr>
    </w:lvl>
    <w:lvl w:ilvl="4" w:tentative="0">
      <w:start w:val="1"/>
      <w:numFmt w:val="lowerLetter"/>
      <w:lvlText w:val="%5)"/>
      <w:lvlJc w:val="left"/>
      <w:pPr>
        <w:ind w:left="2604" w:hanging="420"/>
      </w:pPr>
    </w:lvl>
    <w:lvl w:ilvl="5" w:tentative="0">
      <w:start w:val="1"/>
      <w:numFmt w:val="lowerRoman"/>
      <w:lvlText w:val="%6."/>
      <w:lvlJc w:val="right"/>
      <w:pPr>
        <w:ind w:left="3024" w:hanging="420"/>
      </w:pPr>
    </w:lvl>
    <w:lvl w:ilvl="6" w:tentative="0">
      <w:start w:val="1"/>
      <w:numFmt w:val="decimal"/>
      <w:lvlText w:val="%7."/>
      <w:lvlJc w:val="left"/>
      <w:pPr>
        <w:ind w:left="3444" w:hanging="420"/>
      </w:pPr>
    </w:lvl>
    <w:lvl w:ilvl="7" w:tentative="0">
      <w:start w:val="1"/>
      <w:numFmt w:val="lowerLetter"/>
      <w:lvlText w:val="%8)"/>
      <w:lvlJc w:val="left"/>
      <w:pPr>
        <w:ind w:left="3864" w:hanging="420"/>
      </w:pPr>
    </w:lvl>
    <w:lvl w:ilvl="8" w:tentative="0">
      <w:start w:val="1"/>
      <w:numFmt w:val="lowerRoman"/>
      <w:lvlText w:val="%9."/>
      <w:lvlJc w:val="right"/>
      <w:pPr>
        <w:ind w:left="4284" w:hanging="420"/>
      </w:pPr>
    </w:lvl>
  </w:abstractNum>
  <w:abstractNum w:abstractNumId="69">
    <w:nsid w:val="400D714A"/>
    <w:multiLevelType w:val="multilevel"/>
    <w:tmpl w:val="400D714A"/>
    <w:lvl w:ilvl="0" w:tentative="0">
      <w:start w:val="1"/>
      <w:numFmt w:val="decimal"/>
      <w:suff w:val="space"/>
      <w:lvlText w:val="%1."/>
      <w:lvlJc w:val="left"/>
      <w:pPr>
        <w:ind w:left="168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0">
    <w:nsid w:val="416B687F"/>
    <w:multiLevelType w:val="multilevel"/>
    <w:tmpl w:val="416B687F"/>
    <w:lvl w:ilvl="0" w:tentative="0">
      <w:start w:val="1"/>
      <w:numFmt w:val="decimal"/>
      <w:suff w:val="space"/>
      <w:lvlText w:val="%1."/>
      <w:lvlJc w:val="left"/>
      <w:pPr>
        <w:ind w:left="1020" w:hanging="420"/>
      </w:pPr>
      <w:rPr>
        <w:rFonts w:hint="eastAsia"/>
      </w:r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71">
    <w:nsid w:val="42811A42"/>
    <w:multiLevelType w:val="multilevel"/>
    <w:tmpl w:val="42811A42"/>
    <w:lvl w:ilvl="0" w:tentative="0">
      <w:start w:val="1"/>
      <w:numFmt w:val="decimal"/>
      <w:lvlText w:val="%1"/>
      <w:lvlJc w:val="left"/>
      <w:pPr>
        <w:ind w:left="987" w:hanging="420"/>
      </w:pPr>
    </w:lvl>
    <w:lvl w:ilvl="1" w:tentative="0">
      <w:start w:val="1"/>
      <w:numFmt w:val="lowerLetter"/>
      <w:lvlText w:val="%2)"/>
      <w:lvlJc w:val="left"/>
      <w:pPr>
        <w:ind w:left="1407" w:hanging="420"/>
      </w:pPr>
    </w:lvl>
    <w:lvl w:ilvl="2" w:tentative="0">
      <w:start w:val="1"/>
      <w:numFmt w:val="lowerRoman"/>
      <w:lvlText w:val="%3."/>
      <w:lvlJc w:val="right"/>
      <w:pPr>
        <w:ind w:left="1827" w:hanging="420"/>
      </w:pPr>
    </w:lvl>
    <w:lvl w:ilvl="3" w:tentative="0">
      <w:start w:val="1"/>
      <w:numFmt w:val="decimal"/>
      <w:lvlText w:val="%4."/>
      <w:lvlJc w:val="left"/>
      <w:pPr>
        <w:ind w:left="2247" w:hanging="420"/>
      </w:pPr>
    </w:lvl>
    <w:lvl w:ilvl="4" w:tentative="0">
      <w:start w:val="1"/>
      <w:numFmt w:val="lowerLetter"/>
      <w:lvlText w:val="%5)"/>
      <w:lvlJc w:val="left"/>
      <w:pPr>
        <w:ind w:left="2667" w:hanging="420"/>
      </w:pPr>
    </w:lvl>
    <w:lvl w:ilvl="5" w:tentative="0">
      <w:start w:val="1"/>
      <w:numFmt w:val="lowerRoman"/>
      <w:lvlText w:val="%6."/>
      <w:lvlJc w:val="right"/>
      <w:pPr>
        <w:ind w:left="3087" w:hanging="420"/>
      </w:pPr>
    </w:lvl>
    <w:lvl w:ilvl="6" w:tentative="0">
      <w:start w:val="1"/>
      <w:numFmt w:val="decimal"/>
      <w:lvlText w:val="%7."/>
      <w:lvlJc w:val="left"/>
      <w:pPr>
        <w:ind w:left="3507" w:hanging="420"/>
      </w:pPr>
    </w:lvl>
    <w:lvl w:ilvl="7" w:tentative="0">
      <w:start w:val="1"/>
      <w:numFmt w:val="lowerLetter"/>
      <w:lvlText w:val="%8)"/>
      <w:lvlJc w:val="left"/>
      <w:pPr>
        <w:ind w:left="3927" w:hanging="420"/>
      </w:pPr>
    </w:lvl>
    <w:lvl w:ilvl="8" w:tentative="0">
      <w:start w:val="1"/>
      <w:numFmt w:val="lowerRoman"/>
      <w:lvlText w:val="%9."/>
      <w:lvlJc w:val="right"/>
      <w:pPr>
        <w:ind w:left="4347" w:hanging="420"/>
      </w:pPr>
    </w:lvl>
  </w:abstractNum>
  <w:abstractNum w:abstractNumId="72">
    <w:nsid w:val="43611DB9"/>
    <w:multiLevelType w:val="multilevel"/>
    <w:tmpl w:val="43611DB9"/>
    <w:lvl w:ilvl="0" w:tentative="0">
      <w:start w:val="1"/>
      <w:numFmt w:val="chineseCountingThousand"/>
      <w:suff w:val="nothing"/>
      <w:lvlText w:val="%1、"/>
      <w:lvlJc w:val="left"/>
      <w:pPr>
        <w:ind w:left="1022"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3">
    <w:nsid w:val="46F9092A"/>
    <w:multiLevelType w:val="multilevel"/>
    <w:tmpl w:val="46F9092A"/>
    <w:lvl w:ilvl="0" w:tentative="0">
      <w:start w:val="1"/>
      <w:numFmt w:val="decimal"/>
      <w:suff w:val="space"/>
      <w:lvlText w:val="（%1）"/>
      <w:lvlJc w:val="left"/>
      <w:pPr>
        <w:ind w:left="1680" w:hanging="420"/>
      </w:pPr>
      <w:rPr>
        <w:rFonts w:hint="default"/>
      </w:rPr>
    </w:lvl>
    <w:lvl w:ilvl="1" w:tentative="0">
      <w:start w:val="1"/>
      <w:numFmt w:val="lowerLetter"/>
      <w:lvlText w:val="%2)"/>
      <w:lvlJc w:val="left"/>
      <w:pPr>
        <w:ind w:left="1344" w:hanging="420"/>
      </w:pPr>
    </w:lvl>
    <w:lvl w:ilvl="2" w:tentative="0">
      <w:start w:val="1"/>
      <w:numFmt w:val="lowerRoman"/>
      <w:lvlText w:val="%3."/>
      <w:lvlJc w:val="right"/>
      <w:pPr>
        <w:ind w:left="1764" w:hanging="420"/>
      </w:pPr>
    </w:lvl>
    <w:lvl w:ilvl="3" w:tentative="0">
      <w:start w:val="1"/>
      <w:numFmt w:val="decimal"/>
      <w:lvlText w:val="%4."/>
      <w:lvlJc w:val="left"/>
      <w:pPr>
        <w:ind w:left="2184" w:hanging="420"/>
      </w:pPr>
    </w:lvl>
    <w:lvl w:ilvl="4" w:tentative="0">
      <w:start w:val="1"/>
      <w:numFmt w:val="lowerLetter"/>
      <w:lvlText w:val="%5)"/>
      <w:lvlJc w:val="left"/>
      <w:pPr>
        <w:ind w:left="2604" w:hanging="420"/>
      </w:pPr>
    </w:lvl>
    <w:lvl w:ilvl="5" w:tentative="0">
      <w:start w:val="1"/>
      <w:numFmt w:val="lowerRoman"/>
      <w:lvlText w:val="%6."/>
      <w:lvlJc w:val="right"/>
      <w:pPr>
        <w:ind w:left="3024" w:hanging="420"/>
      </w:pPr>
    </w:lvl>
    <w:lvl w:ilvl="6" w:tentative="0">
      <w:start w:val="1"/>
      <w:numFmt w:val="decimal"/>
      <w:lvlText w:val="%7."/>
      <w:lvlJc w:val="left"/>
      <w:pPr>
        <w:ind w:left="3444" w:hanging="420"/>
      </w:pPr>
    </w:lvl>
    <w:lvl w:ilvl="7" w:tentative="0">
      <w:start w:val="1"/>
      <w:numFmt w:val="lowerLetter"/>
      <w:lvlText w:val="%8)"/>
      <w:lvlJc w:val="left"/>
      <w:pPr>
        <w:ind w:left="3864" w:hanging="420"/>
      </w:pPr>
    </w:lvl>
    <w:lvl w:ilvl="8" w:tentative="0">
      <w:start w:val="1"/>
      <w:numFmt w:val="lowerRoman"/>
      <w:lvlText w:val="%9."/>
      <w:lvlJc w:val="right"/>
      <w:pPr>
        <w:ind w:left="4284" w:hanging="420"/>
      </w:pPr>
    </w:lvl>
  </w:abstractNum>
  <w:abstractNum w:abstractNumId="74">
    <w:nsid w:val="480529B8"/>
    <w:multiLevelType w:val="multilevel"/>
    <w:tmpl w:val="480529B8"/>
    <w:lvl w:ilvl="0" w:tentative="0">
      <w:start w:val="1"/>
      <w:numFmt w:val="decimal"/>
      <w:suff w:val="space"/>
      <w:lvlText w:val="%1."/>
      <w:lvlJc w:val="left"/>
      <w:pPr>
        <w:ind w:left="1022" w:hanging="420"/>
      </w:pPr>
      <w:rPr>
        <w:rFonts w:hint="eastAsia"/>
      </w:rPr>
    </w:lvl>
    <w:lvl w:ilvl="1" w:tentative="0">
      <w:start w:val="1"/>
      <w:numFmt w:val="lowerLetter"/>
      <w:lvlText w:val="%2)"/>
      <w:lvlJc w:val="left"/>
      <w:pPr>
        <w:ind w:left="1440" w:hanging="420"/>
      </w:pPr>
    </w:lvl>
    <w:lvl w:ilvl="2" w:tentative="0">
      <w:start w:val="1"/>
      <w:numFmt w:val="lowerRoman"/>
      <w:lvlText w:val="%3."/>
      <w:lvlJc w:val="right"/>
      <w:pPr>
        <w:ind w:left="1860" w:hanging="420"/>
      </w:pPr>
    </w:lvl>
    <w:lvl w:ilvl="3" w:tentative="0">
      <w:start w:val="1"/>
      <w:numFmt w:val="decimal"/>
      <w:lvlText w:val="%4."/>
      <w:lvlJc w:val="left"/>
      <w:pPr>
        <w:ind w:left="2280" w:hanging="420"/>
      </w:pPr>
    </w:lvl>
    <w:lvl w:ilvl="4" w:tentative="0">
      <w:start w:val="1"/>
      <w:numFmt w:val="lowerLetter"/>
      <w:lvlText w:val="%5)"/>
      <w:lvlJc w:val="left"/>
      <w:pPr>
        <w:ind w:left="2700" w:hanging="420"/>
      </w:pPr>
    </w:lvl>
    <w:lvl w:ilvl="5" w:tentative="0">
      <w:start w:val="1"/>
      <w:numFmt w:val="lowerRoman"/>
      <w:lvlText w:val="%6."/>
      <w:lvlJc w:val="right"/>
      <w:pPr>
        <w:ind w:left="3120" w:hanging="420"/>
      </w:pPr>
    </w:lvl>
    <w:lvl w:ilvl="6" w:tentative="0">
      <w:start w:val="1"/>
      <w:numFmt w:val="decimal"/>
      <w:lvlText w:val="%7."/>
      <w:lvlJc w:val="left"/>
      <w:pPr>
        <w:ind w:left="3540" w:hanging="420"/>
      </w:pPr>
    </w:lvl>
    <w:lvl w:ilvl="7" w:tentative="0">
      <w:start w:val="1"/>
      <w:numFmt w:val="lowerLetter"/>
      <w:lvlText w:val="%8)"/>
      <w:lvlJc w:val="left"/>
      <w:pPr>
        <w:ind w:left="3960" w:hanging="420"/>
      </w:pPr>
    </w:lvl>
    <w:lvl w:ilvl="8" w:tentative="0">
      <w:start w:val="1"/>
      <w:numFmt w:val="lowerRoman"/>
      <w:lvlText w:val="%9."/>
      <w:lvlJc w:val="right"/>
      <w:pPr>
        <w:ind w:left="4380" w:hanging="420"/>
      </w:pPr>
    </w:lvl>
  </w:abstractNum>
  <w:abstractNum w:abstractNumId="75">
    <w:nsid w:val="494D5082"/>
    <w:multiLevelType w:val="multilevel"/>
    <w:tmpl w:val="494D5082"/>
    <w:lvl w:ilvl="0" w:tentative="0">
      <w:start w:val="1"/>
      <w:numFmt w:val="decimal"/>
      <w:suff w:val="space"/>
      <w:lvlText w:val="%1."/>
      <w:lvlJc w:val="left"/>
      <w:pPr>
        <w:ind w:left="1020" w:hanging="420"/>
      </w:pPr>
      <w:rPr>
        <w:rFonts w:hint="eastAsia"/>
      </w:rPr>
    </w:lvl>
    <w:lvl w:ilvl="1" w:tentative="0">
      <w:start w:val="1"/>
      <w:numFmt w:val="lowerLetter"/>
      <w:lvlText w:val="%2)"/>
      <w:lvlJc w:val="left"/>
      <w:pPr>
        <w:ind w:left="1440" w:hanging="420"/>
      </w:pPr>
    </w:lvl>
    <w:lvl w:ilvl="2" w:tentative="0">
      <w:start w:val="1"/>
      <w:numFmt w:val="lowerRoman"/>
      <w:lvlText w:val="%3."/>
      <w:lvlJc w:val="right"/>
      <w:pPr>
        <w:ind w:left="1860" w:hanging="420"/>
      </w:pPr>
    </w:lvl>
    <w:lvl w:ilvl="3" w:tentative="0">
      <w:start w:val="1"/>
      <w:numFmt w:val="decimal"/>
      <w:lvlText w:val="%4."/>
      <w:lvlJc w:val="left"/>
      <w:pPr>
        <w:ind w:left="2280" w:hanging="420"/>
      </w:pPr>
    </w:lvl>
    <w:lvl w:ilvl="4" w:tentative="0">
      <w:start w:val="1"/>
      <w:numFmt w:val="lowerLetter"/>
      <w:lvlText w:val="%5)"/>
      <w:lvlJc w:val="left"/>
      <w:pPr>
        <w:ind w:left="2700" w:hanging="420"/>
      </w:pPr>
    </w:lvl>
    <w:lvl w:ilvl="5" w:tentative="0">
      <w:start w:val="1"/>
      <w:numFmt w:val="lowerRoman"/>
      <w:lvlText w:val="%6."/>
      <w:lvlJc w:val="right"/>
      <w:pPr>
        <w:ind w:left="3120" w:hanging="420"/>
      </w:pPr>
    </w:lvl>
    <w:lvl w:ilvl="6" w:tentative="0">
      <w:start w:val="1"/>
      <w:numFmt w:val="decimal"/>
      <w:lvlText w:val="%7."/>
      <w:lvlJc w:val="left"/>
      <w:pPr>
        <w:ind w:left="3540" w:hanging="420"/>
      </w:pPr>
    </w:lvl>
    <w:lvl w:ilvl="7" w:tentative="0">
      <w:start w:val="1"/>
      <w:numFmt w:val="lowerLetter"/>
      <w:lvlText w:val="%8)"/>
      <w:lvlJc w:val="left"/>
      <w:pPr>
        <w:ind w:left="3960" w:hanging="420"/>
      </w:pPr>
    </w:lvl>
    <w:lvl w:ilvl="8" w:tentative="0">
      <w:start w:val="1"/>
      <w:numFmt w:val="lowerRoman"/>
      <w:lvlText w:val="%9."/>
      <w:lvlJc w:val="right"/>
      <w:pPr>
        <w:ind w:left="4380" w:hanging="420"/>
      </w:pPr>
    </w:lvl>
  </w:abstractNum>
  <w:abstractNum w:abstractNumId="76">
    <w:nsid w:val="4B5B2407"/>
    <w:multiLevelType w:val="multilevel"/>
    <w:tmpl w:val="4B5B2407"/>
    <w:lvl w:ilvl="0" w:tentative="0">
      <w:start w:val="1"/>
      <w:numFmt w:val="chineseCountingThousand"/>
      <w:suff w:val="space"/>
      <w:lvlText w:val="（%1）"/>
      <w:lvlJc w:val="left"/>
      <w:pPr>
        <w:ind w:left="1022"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7">
    <w:nsid w:val="4F011A2C"/>
    <w:multiLevelType w:val="multilevel"/>
    <w:tmpl w:val="4F011A2C"/>
    <w:lvl w:ilvl="0" w:tentative="0">
      <w:start w:val="1"/>
      <w:numFmt w:val="chineseCountingThousand"/>
      <w:suff w:val="space"/>
      <w:lvlText w:val="（%1）"/>
      <w:lvlJc w:val="left"/>
      <w:pPr>
        <w:ind w:left="1129" w:hanging="420"/>
      </w:pPr>
      <w:rPr>
        <w:rFonts w:hint="eastAsia"/>
      </w:rPr>
    </w:lvl>
    <w:lvl w:ilvl="1" w:tentative="0">
      <w:start w:val="1"/>
      <w:numFmt w:val="lowerLetter"/>
      <w:lvlText w:val="%2)"/>
      <w:lvlJc w:val="left"/>
      <w:pPr>
        <w:ind w:left="909" w:hanging="420"/>
      </w:pPr>
    </w:lvl>
    <w:lvl w:ilvl="2" w:tentative="0">
      <w:start w:val="1"/>
      <w:numFmt w:val="lowerRoman"/>
      <w:lvlText w:val="%3."/>
      <w:lvlJc w:val="right"/>
      <w:pPr>
        <w:ind w:left="1329" w:hanging="420"/>
      </w:pPr>
    </w:lvl>
    <w:lvl w:ilvl="3" w:tentative="0">
      <w:start w:val="1"/>
      <w:numFmt w:val="decimal"/>
      <w:lvlText w:val="%4."/>
      <w:lvlJc w:val="left"/>
      <w:pPr>
        <w:ind w:left="1749" w:hanging="420"/>
      </w:pPr>
    </w:lvl>
    <w:lvl w:ilvl="4" w:tentative="0">
      <w:start w:val="1"/>
      <w:numFmt w:val="lowerLetter"/>
      <w:lvlText w:val="%5)"/>
      <w:lvlJc w:val="left"/>
      <w:pPr>
        <w:ind w:left="2169" w:hanging="420"/>
      </w:pPr>
    </w:lvl>
    <w:lvl w:ilvl="5" w:tentative="0">
      <w:start w:val="1"/>
      <w:numFmt w:val="lowerRoman"/>
      <w:lvlText w:val="%6."/>
      <w:lvlJc w:val="right"/>
      <w:pPr>
        <w:ind w:left="2589" w:hanging="420"/>
      </w:pPr>
    </w:lvl>
    <w:lvl w:ilvl="6" w:tentative="0">
      <w:start w:val="1"/>
      <w:numFmt w:val="decimal"/>
      <w:lvlText w:val="%7."/>
      <w:lvlJc w:val="left"/>
      <w:pPr>
        <w:ind w:left="3009" w:hanging="420"/>
      </w:pPr>
    </w:lvl>
    <w:lvl w:ilvl="7" w:tentative="0">
      <w:start w:val="1"/>
      <w:numFmt w:val="lowerLetter"/>
      <w:lvlText w:val="%8)"/>
      <w:lvlJc w:val="left"/>
      <w:pPr>
        <w:ind w:left="3429" w:hanging="420"/>
      </w:pPr>
    </w:lvl>
    <w:lvl w:ilvl="8" w:tentative="0">
      <w:start w:val="1"/>
      <w:numFmt w:val="lowerRoman"/>
      <w:lvlText w:val="%9."/>
      <w:lvlJc w:val="right"/>
      <w:pPr>
        <w:ind w:left="3849" w:hanging="420"/>
      </w:pPr>
    </w:lvl>
  </w:abstractNum>
  <w:abstractNum w:abstractNumId="78">
    <w:nsid w:val="51BD76CE"/>
    <w:multiLevelType w:val="multilevel"/>
    <w:tmpl w:val="51BD76CE"/>
    <w:lvl w:ilvl="0" w:tentative="0">
      <w:start w:val="1"/>
      <w:numFmt w:val="decimal"/>
      <w:suff w:val="space"/>
      <w:lvlText w:val="%1."/>
      <w:lvlJc w:val="left"/>
      <w:pPr>
        <w:ind w:left="168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9">
    <w:nsid w:val="51BD7B92"/>
    <w:multiLevelType w:val="multilevel"/>
    <w:tmpl w:val="51BD7B92"/>
    <w:lvl w:ilvl="0" w:tentative="0">
      <w:start w:val="1"/>
      <w:numFmt w:val="decimal"/>
      <w:lvlText w:val="%1."/>
      <w:lvlJc w:val="left"/>
      <w:pPr>
        <w:ind w:left="1020" w:hanging="420"/>
      </w:pPr>
    </w:lvl>
    <w:lvl w:ilvl="1" w:tentative="0">
      <w:start w:val="1"/>
      <w:numFmt w:val="decimal"/>
      <w:lvlText w:val="（%2）"/>
      <w:lvlJc w:val="left"/>
      <w:pPr>
        <w:ind w:left="2100" w:hanging="1080"/>
      </w:pPr>
      <w:rPr>
        <w:rFonts w:hint="default"/>
      </w:rPr>
    </w:lvl>
    <w:lvl w:ilvl="2" w:tentative="0">
      <w:start w:val="1"/>
      <w:numFmt w:val="decimal"/>
      <w:suff w:val="space"/>
      <w:lvlText w:val="%3."/>
      <w:lvlJc w:val="left"/>
      <w:pPr>
        <w:ind w:left="1860" w:hanging="420"/>
      </w:pPr>
      <w:rPr>
        <w:rFonts w:hint="eastAsia"/>
      </w:rPr>
    </w:lvl>
    <w:lvl w:ilvl="3" w:tentative="0">
      <w:start w:val="1"/>
      <w:numFmt w:val="decimal"/>
      <w:lvlText w:val="%4."/>
      <w:lvlJc w:val="left"/>
      <w:pPr>
        <w:ind w:left="2280" w:hanging="420"/>
      </w:pPr>
    </w:lvl>
    <w:lvl w:ilvl="4" w:tentative="0">
      <w:start w:val="1"/>
      <w:numFmt w:val="lowerLetter"/>
      <w:lvlText w:val="%5)"/>
      <w:lvlJc w:val="left"/>
      <w:pPr>
        <w:ind w:left="2700" w:hanging="420"/>
      </w:pPr>
    </w:lvl>
    <w:lvl w:ilvl="5" w:tentative="0">
      <w:start w:val="1"/>
      <w:numFmt w:val="lowerRoman"/>
      <w:lvlText w:val="%6."/>
      <w:lvlJc w:val="right"/>
      <w:pPr>
        <w:ind w:left="3120" w:hanging="420"/>
      </w:pPr>
    </w:lvl>
    <w:lvl w:ilvl="6" w:tentative="0">
      <w:start w:val="1"/>
      <w:numFmt w:val="decimal"/>
      <w:lvlText w:val="%7."/>
      <w:lvlJc w:val="left"/>
      <w:pPr>
        <w:ind w:left="3540" w:hanging="420"/>
      </w:pPr>
    </w:lvl>
    <w:lvl w:ilvl="7" w:tentative="0">
      <w:start w:val="1"/>
      <w:numFmt w:val="lowerLetter"/>
      <w:lvlText w:val="%8)"/>
      <w:lvlJc w:val="left"/>
      <w:pPr>
        <w:ind w:left="3960" w:hanging="420"/>
      </w:pPr>
    </w:lvl>
    <w:lvl w:ilvl="8" w:tentative="0">
      <w:start w:val="1"/>
      <w:numFmt w:val="lowerRoman"/>
      <w:lvlText w:val="%9."/>
      <w:lvlJc w:val="right"/>
      <w:pPr>
        <w:ind w:left="4380" w:hanging="420"/>
      </w:pPr>
    </w:lvl>
  </w:abstractNum>
  <w:abstractNum w:abstractNumId="80">
    <w:nsid w:val="534A7D45"/>
    <w:multiLevelType w:val="multilevel"/>
    <w:tmpl w:val="534A7D45"/>
    <w:lvl w:ilvl="0" w:tentative="0">
      <w:start w:val="1"/>
      <w:numFmt w:val="decimal"/>
      <w:lvlText w:val="%1."/>
      <w:lvlJc w:val="left"/>
      <w:pPr>
        <w:ind w:left="1129" w:hanging="420"/>
      </w:pPr>
      <w:rPr>
        <w:rFonts w:hint="default"/>
      </w:r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81">
    <w:nsid w:val="535B1AEE"/>
    <w:multiLevelType w:val="multilevel"/>
    <w:tmpl w:val="535B1AEE"/>
    <w:lvl w:ilvl="0" w:tentative="0">
      <w:start w:val="1"/>
      <w:numFmt w:val="decimal"/>
      <w:suff w:val="space"/>
      <w:lvlText w:val="%1."/>
      <w:lvlJc w:val="left"/>
      <w:pPr>
        <w:ind w:left="168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2">
    <w:nsid w:val="539F4D27"/>
    <w:multiLevelType w:val="multilevel"/>
    <w:tmpl w:val="539F4D27"/>
    <w:lvl w:ilvl="0" w:tentative="0">
      <w:start w:val="1"/>
      <w:numFmt w:val="chineseCountingThousand"/>
      <w:suff w:val="nothing"/>
      <w:lvlText w:val="%1、"/>
      <w:lvlJc w:val="left"/>
      <w:pPr>
        <w:ind w:left="1022"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3">
    <w:nsid w:val="547965D8"/>
    <w:multiLevelType w:val="multilevel"/>
    <w:tmpl w:val="547965D8"/>
    <w:lvl w:ilvl="0" w:tentative="0">
      <w:start w:val="0"/>
      <w:numFmt w:val="bullet"/>
      <w:lvlText w:val="□"/>
      <w:lvlJc w:val="left"/>
      <w:pPr>
        <w:ind w:left="360" w:hanging="360"/>
      </w:pPr>
      <w:rPr>
        <w:rFonts w:hint="eastAsia" w:ascii="仿宋_GB2312" w:hAnsi="Times New Roman" w:eastAsia="仿宋_GB2312" w:cs="宋体"/>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84">
    <w:nsid w:val="54BC7060"/>
    <w:multiLevelType w:val="multilevel"/>
    <w:tmpl w:val="54BC7060"/>
    <w:lvl w:ilvl="0" w:tentative="0">
      <w:start w:val="1"/>
      <w:numFmt w:val="chineseCountingThousand"/>
      <w:suff w:val="space"/>
      <w:lvlText w:val="（%1）"/>
      <w:lvlJc w:val="left"/>
      <w:pPr>
        <w:ind w:left="1129" w:hanging="420"/>
      </w:pPr>
      <w:rPr>
        <w:rFonts w:hint="eastAsia"/>
      </w:rPr>
    </w:lvl>
    <w:lvl w:ilvl="1" w:tentative="0">
      <w:start w:val="1"/>
      <w:numFmt w:val="lowerLetter"/>
      <w:lvlText w:val="%2)"/>
      <w:lvlJc w:val="left"/>
      <w:pPr>
        <w:ind w:left="909" w:hanging="420"/>
      </w:pPr>
    </w:lvl>
    <w:lvl w:ilvl="2" w:tentative="0">
      <w:start w:val="1"/>
      <w:numFmt w:val="lowerRoman"/>
      <w:lvlText w:val="%3."/>
      <w:lvlJc w:val="right"/>
      <w:pPr>
        <w:ind w:left="1329" w:hanging="420"/>
      </w:pPr>
    </w:lvl>
    <w:lvl w:ilvl="3" w:tentative="0">
      <w:start w:val="1"/>
      <w:numFmt w:val="decimal"/>
      <w:lvlText w:val="%4."/>
      <w:lvlJc w:val="left"/>
      <w:pPr>
        <w:ind w:left="1749" w:hanging="420"/>
      </w:pPr>
    </w:lvl>
    <w:lvl w:ilvl="4" w:tentative="0">
      <w:start w:val="1"/>
      <w:numFmt w:val="lowerLetter"/>
      <w:lvlText w:val="%5)"/>
      <w:lvlJc w:val="left"/>
      <w:pPr>
        <w:ind w:left="2169" w:hanging="420"/>
      </w:pPr>
    </w:lvl>
    <w:lvl w:ilvl="5" w:tentative="0">
      <w:start w:val="1"/>
      <w:numFmt w:val="lowerRoman"/>
      <w:lvlText w:val="%6."/>
      <w:lvlJc w:val="right"/>
      <w:pPr>
        <w:ind w:left="2589" w:hanging="420"/>
      </w:pPr>
    </w:lvl>
    <w:lvl w:ilvl="6" w:tentative="0">
      <w:start w:val="1"/>
      <w:numFmt w:val="decimal"/>
      <w:lvlText w:val="%7."/>
      <w:lvlJc w:val="left"/>
      <w:pPr>
        <w:ind w:left="3009" w:hanging="420"/>
      </w:pPr>
    </w:lvl>
    <w:lvl w:ilvl="7" w:tentative="0">
      <w:start w:val="1"/>
      <w:numFmt w:val="lowerLetter"/>
      <w:lvlText w:val="%8)"/>
      <w:lvlJc w:val="left"/>
      <w:pPr>
        <w:ind w:left="3429" w:hanging="420"/>
      </w:pPr>
    </w:lvl>
    <w:lvl w:ilvl="8" w:tentative="0">
      <w:start w:val="1"/>
      <w:numFmt w:val="lowerRoman"/>
      <w:lvlText w:val="%9."/>
      <w:lvlJc w:val="right"/>
      <w:pPr>
        <w:ind w:left="3849" w:hanging="420"/>
      </w:pPr>
    </w:lvl>
  </w:abstractNum>
  <w:abstractNum w:abstractNumId="85">
    <w:nsid w:val="550607BD"/>
    <w:multiLevelType w:val="multilevel"/>
    <w:tmpl w:val="550607BD"/>
    <w:lvl w:ilvl="0" w:tentative="0">
      <w:start w:val="1"/>
      <w:numFmt w:val="chineseCountingThousand"/>
      <w:suff w:val="space"/>
      <w:lvlText w:val="（%1）"/>
      <w:lvlJc w:val="left"/>
      <w:pPr>
        <w:ind w:left="1129" w:hanging="420"/>
      </w:pPr>
      <w:rPr>
        <w:rFonts w:hint="eastAsia"/>
      </w:rPr>
    </w:lvl>
    <w:lvl w:ilvl="1" w:tentative="0">
      <w:start w:val="1"/>
      <w:numFmt w:val="decimal"/>
      <w:lvlText w:val="%2、"/>
      <w:lvlJc w:val="left"/>
      <w:pPr>
        <w:ind w:left="1209" w:hanging="720"/>
      </w:pPr>
      <w:rPr>
        <w:rFonts w:hint="default"/>
      </w:rPr>
    </w:lvl>
    <w:lvl w:ilvl="2" w:tentative="0">
      <w:start w:val="1"/>
      <w:numFmt w:val="lowerRoman"/>
      <w:lvlText w:val="%3."/>
      <w:lvlJc w:val="right"/>
      <w:pPr>
        <w:ind w:left="1329" w:hanging="420"/>
      </w:pPr>
    </w:lvl>
    <w:lvl w:ilvl="3" w:tentative="0">
      <w:start w:val="1"/>
      <w:numFmt w:val="decimal"/>
      <w:lvlText w:val="%4."/>
      <w:lvlJc w:val="left"/>
      <w:pPr>
        <w:ind w:left="1749" w:hanging="420"/>
      </w:pPr>
    </w:lvl>
    <w:lvl w:ilvl="4" w:tentative="0">
      <w:start w:val="1"/>
      <w:numFmt w:val="lowerLetter"/>
      <w:lvlText w:val="%5)"/>
      <w:lvlJc w:val="left"/>
      <w:pPr>
        <w:ind w:left="2169" w:hanging="420"/>
      </w:pPr>
    </w:lvl>
    <w:lvl w:ilvl="5" w:tentative="0">
      <w:start w:val="1"/>
      <w:numFmt w:val="lowerRoman"/>
      <w:lvlText w:val="%6."/>
      <w:lvlJc w:val="right"/>
      <w:pPr>
        <w:ind w:left="2589" w:hanging="420"/>
      </w:pPr>
    </w:lvl>
    <w:lvl w:ilvl="6" w:tentative="0">
      <w:start w:val="1"/>
      <w:numFmt w:val="decimal"/>
      <w:lvlText w:val="%7."/>
      <w:lvlJc w:val="left"/>
      <w:pPr>
        <w:ind w:left="3009" w:hanging="420"/>
      </w:pPr>
    </w:lvl>
    <w:lvl w:ilvl="7" w:tentative="0">
      <w:start w:val="1"/>
      <w:numFmt w:val="lowerLetter"/>
      <w:lvlText w:val="%8)"/>
      <w:lvlJc w:val="left"/>
      <w:pPr>
        <w:ind w:left="3429" w:hanging="420"/>
      </w:pPr>
    </w:lvl>
    <w:lvl w:ilvl="8" w:tentative="0">
      <w:start w:val="1"/>
      <w:numFmt w:val="lowerRoman"/>
      <w:lvlText w:val="%9."/>
      <w:lvlJc w:val="right"/>
      <w:pPr>
        <w:ind w:left="3849" w:hanging="420"/>
      </w:pPr>
    </w:lvl>
  </w:abstractNum>
  <w:abstractNum w:abstractNumId="86">
    <w:nsid w:val="56536E9F"/>
    <w:multiLevelType w:val="multilevel"/>
    <w:tmpl w:val="56536E9F"/>
    <w:lvl w:ilvl="0" w:tentative="0">
      <w:start w:val="1"/>
      <w:numFmt w:val="chineseCountingThousand"/>
      <w:suff w:val="nothing"/>
      <w:lvlText w:val="%1、"/>
      <w:lvlJc w:val="left"/>
      <w:pPr>
        <w:ind w:left="1413" w:hanging="420"/>
      </w:pPr>
      <w:rPr>
        <w:rFonts w:hint="eastAsia" w:ascii="方正仿宋简体" w:hAnsi="仿宋" w:eastAsia="方正仿宋简体"/>
        <w:b/>
        <w:sz w:val="30"/>
        <w:szCs w:val="30"/>
      </w:rPr>
    </w:lvl>
    <w:lvl w:ilvl="1" w:tentative="0">
      <w:start w:val="1"/>
      <w:numFmt w:val="lowerLetter"/>
      <w:lvlText w:val="%2)"/>
      <w:lvlJc w:val="left"/>
      <w:pPr>
        <w:ind w:left="1231" w:hanging="420"/>
      </w:pPr>
    </w:lvl>
    <w:lvl w:ilvl="2" w:tentative="0">
      <w:start w:val="1"/>
      <w:numFmt w:val="lowerRoman"/>
      <w:lvlText w:val="%3."/>
      <w:lvlJc w:val="right"/>
      <w:pPr>
        <w:ind w:left="1651" w:hanging="420"/>
      </w:pPr>
    </w:lvl>
    <w:lvl w:ilvl="3" w:tentative="0">
      <w:start w:val="1"/>
      <w:numFmt w:val="decimal"/>
      <w:lvlText w:val="%4."/>
      <w:lvlJc w:val="left"/>
      <w:pPr>
        <w:ind w:left="2071" w:hanging="420"/>
      </w:pPr>
    </w:lvl>
    <w:lvl w:ilvl="4" w:tentative="0">
      <w:start w:val="1"/>
      <w:numFmt w:val="lowerLetter"/>
      <w:lvlText w:val="%5)"/>
      <w:lvlJc w:val="left"/>
      <w:pPr>
        <w:ind w:left="2491" w:hanging="420"/>
      </w:pPr>
    </w:lvl>
    <w:lvl w:ilvl="5" w:tentative="0">
      <w:start w:val="1"/>
      <w:numFmt w:val="lowerRoman"/>
      <w:lvlText w:val="%6."/>
      <w:lvlJc w:val="right"/>
      <w:pPr>
        <w:ind w:left="2911" w:hanging="420"/>
      </w:pPr>
    </w:lvl>
    <w:lvl w:ilvl="6" w:tentative="0">
      <w:start w:val="1"/>
      <w:numFmt w:val="decimal"/>
      <w:lvlText w:val="%7."/>
      <w:lvlJc w:val="left"/>
      <w:pPr>
        <w:ind w:left="3331" w:hanging="420"/>
      </w:pPr>
    </w:lvl>
    <w:lvl w:ilvl="7" w:tentative="0">
      <w:start w:val="1"/>
      <w:numFmt w:val="lowerLetter"/>
      <w:lvlText w:val="%8)"/>
      <w:lvlJc w:val="left"/>
      <w:pPr>
        <w:ind w:left="3751" w:hanging="420"/>
      </w:pPr>
    </w:lvl>
    <w:lvl w:ilvl="8" w:tentative="0">
      <w:start w:val="1"/>
      <w:numFmt w:val="lowerRoman"/>
      <w:lvlText w:val="%9."/>
      <w:lvlJc w:val="right"/>
      <w:pPr>
        <w:ind w:left="4171" w:hanging="420"/>
      </w:pPr>
    </w:lvl>
  </w:abstractNum>
  <w:abstractNum w:abstractNumId="87">
    <w:nsid w:val="56AB25BE"/>
    <w:multiLevelType w:val="multilevel"/>
    <w:tmpl w:val="56AB25BE"/>
    <w:lvl w:ilvl="0" w:tentative="0">
      <w:start w:val="1"/>
      <w:numFmt w:val="chineseCountingThousand"/>
      <w:suff w:val="space"/>
      <w:lvlText w:val="（%1）"/>
      <w:lvlJc w:val="left"/>
      <w:pPr>
        <w:ind w:left="1022" w:hanging="420"/>
      </w:pPr>
      <w:rPr>
        <w:rFonts w:hint="eastAsia"/>
      </w:rPr>
    </w:lvl>
    <w:lvl w:ilvl="1" w:tentative="0">
      <w:start w:val="1"/>
      <w:numFmt w:val="lowerLetter"/>
      <w:lvlText w:val="%2)"/>
      <w:lvlJc w:val="left"/>
      <w:pPr>
        <w:ind w:left="1442" w:hanging="420"/>
      </w:pPr>
    </w:lvl>
    <w:lvl w:ilvl="2" w:tentative="0">
      <w:start w:val="1"/>
      <w:numFmt w:val="lowerRoman"/>
      <w:lvlText w:val="%3."/>
      <w:lvlJc w:val="right"/>
      <w:pPr>
        <w:ind w:left="1862" w:hanging="420"/>
      </w:pPr>
    </w:lvl>
    <w:lvl w:ilvl="3" w:tentative="0">
      <w:start w:val="1"/>
      <w:numFmt w:val="decimal"/>
      <w:lvlText w:val="%4."/>
      <w:lvlJc w:val="left"/>
      <w:pPr>
        <w:ind w:left="2282" w:hanging="420"/>
      </w:pPr>
    </w:lvl>
    <w:lvl w:ilvl="4" w:tentative="0">
      <w:start w:val="1"/>
      <w:numFmt w:val="lowerLetter"/>
      <w:lvlText w:val="%5)"/>
      <w:lvlJc w:val="left"/>
      <w:pPr>
        <w:ind w:left="2702" w:hanging="420"/>
      </w:pPr>
    </w:lvl>
    <w:lvl w:ilvl="5" w:tentative="0">
      <w:start w:val="1"/>
      <w:numFmt w:val="lowerRoman"/>
      <w:lvlText w:val="%6."/>
      <w:lvlJc w:val="right"/>
      <w:pPr>
        <w:ind w:left="3122" w:hanging="420"/>
      </w:pPr>
    </w:lvl>
    <w:lvl w:ilvl="6" w:tentative="0">
      <w:start w:val="1"/>
      <w:numFmt w:val="decimal"/>
      <w:lvlText w:val="%7."/>
      <w:lvlJc w:val="left"/>
      <w:pPr>
        <w:ind w:left="3542" w:hanging="420"/>
      </w:pPr>
    </w:lvl>
    <w:lvl w:ilvl="7" w:tentative="0">
      <w:start w:val="1"/>
      <w:numFmt w:val="lowerLetter"/>
      <w:lvlText w:val="%8)"/>
      <w:lvlJc w:val="left"/>
      <w:pPr>
        <w:ind w:left="3962" w:hanging="420"/>
      </w:pPr>
    </w:lvl>
    <w:lvl w:ilvl="8" w:tentative="0">
      <w:start w:val="1"/>
      <w:numFmt w:val="lowerRoman"/>
      <w:lvlText w:val="%9."/>
      <w:lvlJc w:val="right"/>
      <w:pPr>
        <w:ind w:left="4382" w:hanging="420"/>
      </w:pPr>
    </w:lvl>
  </w:abstractNum>
  <w:abstractNum w:abstractNumId="88">
    <w:nsid w:val="56B52178"/>
    <w:multiLevelType w:val="multilevel"/>
    <w:tmpl w:val="56B52178"/>
    <w:lvl w:ilvl="0" w:tentative="0">
      <w:start w:val="1"/>
      <w:numFmt w:val="decimal"/>
      <w:suff w:val="space"/>
      <w:lvlText w:val="（%1）"/>
      <w:lvlJc w:val="left"/>
      <w:pPr>
        <w:ind w:left="924" w:hanging="420"/>
      </w:pPr>
      <w:rPr>
        <w:rFonts w:hint="default"/>
        <w:lang w:val="en-US"/>
      </w:rPr>
    </w:lvl>
    <w:lvl w:ilvl="1" w:tentative="0">
      <w:start w:val="1"/>
      <w:numFmt w:val="lowerLetter"/>
      <w:lvlText w:val="%2)"/>
      <w:lvlJc w:val="left"/>
      <w:pPr>
        <w:ind w:left="1344" w:hanging="420"/>
      </w:pPr>
    </w:lvl>
    <w:lvl w:ilvl="2" w:tentative="0">
      <w:start w:val="1"/>
      <w:numFmt w:val="lowerRoman"/>
      <w:lvlText w:val="%3."/>
      <w:lvlJc w:val="right"/>
      <w:pPr>
        <w:ind w:left="1764" w:hanging="420"/>
      </w:pPr>
    </w:lvl>
    <w:lvl w:ilvl="3" w:tentative="0">
      <w:start w:val="1"/>
      <w:numFmt w:val="decimal"/>
      <w:lvlText w:val="%4."/>
      <w:lvlJc w:val="left"/>
      <w:pPr>
        <w:ind w:left="2184" w:hanging="420"/>
      </w:pPr>
    </w:lvl>
    <w:lvl w:ilvl="4" w:tentative="0">
      <w:start w:val="1"/>
      <w:numFmt w:val="lowerLetter"/>
      <w:lvlText w:val="%5)"/>
      <w:lvlJc w:val="left"/>
      <w:pPr>
        <w:ind w:left="2604" w:hanging="420"/>
      </w:pPr>
    </w:lvl>
    <w:lvl w:ilvl="5" w:tentative="0">
      <w:start w:val="1"/>
      <w:numFmt w:val="lowerRoman"/>
      <w:lvlText w:val="%6."/>
      <w:lvlJc w:val="right"/>
      <w:pPr>
        <w:ind w:left="3024" w:hanging="420"/>
      </w:pPr>
    </w:lvl>
    <w:lvl w:ilvl="6" w:tentative="0">
      <w:start w:val="1"/>
      <w:numFmt w:val="decimal"/>
      <w:lvlText w:val="%7."/>
      <w:lvlJc w:val="left"/>
      <w:pPr>
        <w:ind w:left="3444" w:hanging="420"/>
      </w:pPr>
    </w:lvl>
    <w:lvl w:ilvl="7" w:tentative="0">
      <w:start w:val="1"/>
      <w:numFmt w:val="lowerLetter"/>
      <w:lvlText w:val="%8)"/>
      <w:lvlJc w:val="left"/>
      <w:pPr>
        <w:ind w:left="3864" w:hanging="420"/>
      </w:pPr>
    </w:lvl>
    <w:lvl w:ilvl="8" w:tentative="0">
      <w:start w:val="1"/>
      <w:numFmt w:val="lowerRoman"/>
      <w:lvlText w:val="%9."/>
      <w:lvlJc w:val="right"/>
      <w:pPr>
        <w:ind w:left="4284" w:hanging="420"/>
      </w:pPr>
    </w:lvl>
  </w:abstractNum>
  <w:abstractNum w:abstractNumId="89">
    <w:nsid w:val="5716E5A3"/>
    <w:multiLevelType w:val="singleLevel"/>
    <w:tmpl w:val="5716E5A3"/>
    <w:lvl w:ilvl="0" w:tentative="0">
      <w:start w:val="1"/>
      <w:numFmt w:val="decimal"/>
      <w:suff w:val="space"/>
      <w:lvlText w:val="%1."/>
      <w:lvlJc w:val="left"/>
      <w:pPr>
        <w:ind w:left="988" w:hanging="420"/>
      </w:pPr>
      <w:rPr>
        <w:rFonts w:hint="eastAsia"/>
      </w:rPr>
    </w:lvl>
  </w:abstractNum>
  <w:abstractNum w:abstractNumId="90">
    <w:nsid w:val="577E3524"/>
    <w:multiLevelType w:val="multilevel"/>
    <w:tmpl w:val="577E3524"/>
    <w:lvl w:ilvl="0" w:tentative="0">
      <w:start w:val="1"/>
      <w:numFmt w:val="decimal"/>
      <w:suff w:val="space"/>
      <w:lvlText w:val="（%1）"/>
      <w:lvlJc w:val="left"/>
      <w:pPr>
        <w:ind w:left="924" w:hanging="420"/>
      </w:pPr>
      <w:rPr>
        <w:rFonts w:hint="default"/>
        <w:lang w:val="en-US"/>
      </w:rPr>
    </w:lvl>
    <w:lvl w:ilvl="1" w:tentative="0">
      <w:start w:val="1"/>
      <w:numFmt w:val="lowerLetter"/>
      <w:lvlText w:val="%2)"/>
      <w:lvlJc w:val="left"/>
      <w:pPr>
        <w:ind w:left="1344" w:hanging="420"/>
      </w:pPr>
    </w:lvl>
    <w:lvl w:ilvl="2" w:tentative="0">
      <w:start w:val="1"/>
      <w:numFmt w:val="lowerRoman"/>
      <w:lvlText w:val="%3."/>
      <w:lvlJc w:val="right"/>
      <w:pPr>
        <w:ind w:left="1764" w:hanging="420"/>
      </w:pPr>
    </w:lvl>
    <w:lvl w:ilvl="3" w:tentative="0">
      <w:start w:val="1"/>
      <w:numFmt w:val="decimal"/>
      <w:lvlText w:val="%4."/>
      <w:lvlJc w:val="left"/>
      <w:pPr>
        <w:ind w:left="2184" w:hanging="420"/>
      </w:pPr>
    </w:lvl>
    <w:lvl w:ilvl="4" w:tentative="0">
      <w:start w:val="1"/>
      <w:numFmt w:val="lowerLetter"/>
      <w:lvlText w:val="%5)"/>
      <w:lvlJc w:val="left"/>
      <w:pPr>
        <w:ind w:left="2604" w:hanging="420"/>
      </w:pPr>
    </w:lvl>
    <w:lvl w:ilvl="5" w:tentative="0">
      <w:start w:val="1"/>
      <w:numFmt w:val="lowerRoman"/>
      <w:lvlText w:val="%6."/>
      <w:lvlJc w:val="right"/>
      <w:pPr>
        <w:ind w:left="3024" w:hanging="420"/>
      </w:pPr>
    </w:lvl>
    <w:lvl w:ilvl="6" w:tentative="0">
      <w:start w:val="1"/>
      <w:numFmt w:val="decimal"/>
      <w:lvlText w:val="%7."/>
      <w:lvlJc w:val="left"/>
      <w:pPr>
        <w:ind w:left="3444" w:hanging="420"/>
      </w:pPr>
    </w:lvl>
    <w:lvl w:ilvl="7" w:tentative="0">
      <w:start w:val="1"/>
      <w:numFmt w:val="lowerLetter"/>
      <w:lvlText w:val="%8)"/>
      <w:lvlJc w:val="left"/>
      <w:pPr>
        <w:ind w:left="3864" w:hanging="420"/>
      </w:pPr>
    </w:lvl>
    <w:lvl w:ilvl="8" w:tentative="0">
      <w:start w:val="1"/>
      <w:numFmt w:val="lowerRoman"/>
      <w:lvlText w:val="%9."/>
      <w:lvlJc w:val="right"/>
      <w:pPr>
        <w:ind w:left="4284" w:hanging="420"/>
      </w:pPr>
    </w:lvl>
  </w:abstractNum>
  <w:abstractNum w:abstractNumId="91">
    <w:nsid w:val="587F5B5F"/>
    <w:multiLevelType w:val="multilevel"/>
    <w:tmpl w:val="587F5B5F"/>
    <w:lvl w:ilvl="0" w:tentative="0">
      <w:start w:val="1"/>
      <w:numFmt w:val="chineseCountingThousand"/>
      <w:suff w:val="space"/>
      <w:lvlText w:val="（%1）"/>
      <w:lvlJc w:val="left"/>
      <w:pPr>
        <w:ind w:left="1129" w:hanging="420"/>
      </w:pPr>
      <w:rPr>
        <w:rFonts w:hint="eastAsia"/>
      </w:rPr>
    </w:lvl>
    <w:lvl w:ilvl="1" w:tentative="0">
      <w:start w:val="1"/>
      <w:numFmt w:val="lowerLetter"/>
      <w:lvlText w:val="%2)"/>
      <w:lvlJc w:val="left"/>
      <w:pPr>
        <w:ind w:left="909" w:hanging="420"/>
      </w:pPr>
    </w:lvl>
    <w:lvl w:ilvl="2" w:tentative="0">
      <w:start w:val="1"/>
      <w:numFmt w:val="lowerRoman"/>
      <w:lvlText w:val="%3."/>
      <w:lvlJc w:val="right"/>
      <w:pPr>
        <w:ind w:left="1329" w:hanging="420"/>
      </w:pPr>
    </w:lvl>
    <w:lvl w:ilvl="3" w:tentative="0">
      <w:start w:val="1"/>
      <w:numFmt w:val="decimal"/>
      <w:lvlText w:val="%4."/>
      <w:lvlJc w:val="left"/>
      <w:pPr>
        <w:ind w:left="1749" w:hanging="420"/>
      </w:pPr>
    </w:lvl>
    <w:lvl w:ilvl="4" w:tentative="0">
      <w:start w:val="1"/>
      <w:numFmt w:val="lowerLetter"/>
      <w:lvlText w:val="%5)"/>
      <w:lvlJc w:val="left"/>
      <w:pPr>
        <w:ind w:left="2169" w:hanging="420"/>
      </w:pPr>
    </w:lvl>
    <w:lvl w:ilvl="5" w:tentative="0">
      <w:start w:val="1"/>
      <w:numFmt w:val="lowerRoman"/>
      <w:lvlText w:val="%6."/>
      <w:lvlJc w:val="right"/>
      <w:pPr>
        <w:ind w:left="2589" w:hanging="420"/>
      </w:pPr>
    </w:lvl>
    <w:lvl w:ilvl="6" w:tentative="0">
      <w:start w:val="1"/>
      <w:numFmt w:val="decimal"/>
      <w:lvlText w:val="%7."/>
      <w:lvlJc w:val="left"/>
      <w:pPr>
        <w:ind w:left="3009" w:hanging="420"/>
      </w:pPr>
    </w:lvl>
    <w:lvl w:ilvl="7" w:tentative="0">
      <w:start w:val="1"/>
      <w:numFmt w:val="lowerLetter"/>
      <w:lvlText w:val="%8)"/>
      <w:lvlJc w:val="left"/>
      <w:pPr>
        <w:ind w:left="3429" w:hanging="420"/>
      </w:pPr>
    </w:lvl>
    <w:lvl w:ilvl="8" w:tentative="0">
      <w:start w:val="1"/>
      <w:numFmt w:val="lowerRoman"/>
      <w:lvlText w:val="%9."/>
      <w:lvlJc w:val="right"/>
      <w:pPr>
        <w:ind w:left="3849" w:hanging="420"/>
      </w:pPr>
    </w:lvl>
  </w:abstractNum>
  <w:abstractNum w:abstractNumId="92">
    <w:nsid w:val="58BF72B4"/>
    <w:multiLevelType w:val="multilevel"/>
    <w:tmpl w:val="58BF72B4"/>
    <w:lvl w:ilvl="0" w:tentative="0">
      <w:start w:val="1"/>
      <w:numFmt w:val="chineseCountingThousand"/>
      <w:suff w:val="space"/>
      <w:lvlText w:val="（%1）"/>
      <w:lvlJc w:val="left"/>
      <w:pPr>
        <w:ind w:left="1129" w:hanging="420"/>
      </w:pPr>
      <w:rPr>
        <w:rFonts w:hint="eastAsia"/>
      </w:rPr>
    </w:lvl>
    <w:lvl w:ilvl="1" w:tentative="0">
      <w:start w:val="1"/>
      <w:numFmt w:val="lowerLetter"/>
      <w:lvlText w:val="%2)"/>
      <w:lvlJc w:val="left"/>
      <w:pPr>
        <w:ind w:left="909" w:hanging="420"/>
      </w:pPr>
    </w:lvl>
    <w:lvl w:ilvl="2" w:tentative="0">
      <w:start w:val="1"/>
      <w:numFmt w:val="lowerRoman"/>
      <w:lvlText w:val="%3."/>
      <w:lvlJc w:val="right"/>
      <w:pPr>
        <w:ind w:left="1329" w:hanging="420"/>
      </w:pPr>
    </w:lvl>
    <w:lvl w:ilvl="3" w:tentative="0">
      <w:start w:val="1"/>
      <w:numFmt w:val="decimal"/>
      <w:lvlText w:val="%4."/>
      <w:lvlJc w:val="left"/>
      <w:pPr>
        <w:ind w:left="1749" w:hanging="420"/>
      </w:pPr>
    </w:lvl>
    <w:lvl w:ilvl="4" w:tentative="0">
      <w:start w:val="1"/>
      <w:numFmt w:val="lowerLetter"/>
      <w:lvlText w:val="%5)"/>
      <w:lvlJc w:val="left"/>
      <w:pPr>
        <w:ind w:left="2169" w:hanging="420"/>
      </w:pPr>
    </w:lvl>
    <w:lvl w:ilvl="5" w:tentative="0">
      <w:start w:val="1"/>
      <w:numFmt w:val="lowerRoman"/>
      <w:lvlText w:val="%6."/>
      <w:lvlJc w:val="right"/>
      <w:pPr>
        <w:ind w:left="2589" w:hanging="420"/>
      </w:pPr>
    </w:lvl>
    <w:lvl w:ilvl="6" w:tentative="0">
      <w:start w:val="1"/>
      <w:numFmt w:val="decimal"/>
      <w:lvlText w:val="%7."/>
      <w:lvlJc w:val="left"/>
      <w:pPr>
        <w:ind w:left="3009" w:hanging="420"/>
      </w:pPr>
    </w:lvl>
    <w:lvl w:ilvl="7" w:tentative="0">
      <w:start w:val="1"/>
      <w:numFmt w:val="lowerLetter"/>
      <w:lvlText w:val="%8)"/>
      <w:lvlJc w:val="left"/>
      <w:pPr>
        <w:ind w:left="3429" w:hanging="420"/>
      </w:pPr>
    </w:lvl>
    <w:lvl w:ilvl="8" w:tentative="0">
      <w:start w:val="1"/>
      <w:numFmt w:val="lowerRoman"/>
      <w:lvlText w:val="%9."/>
      <w:lvlJc w:val="right"/>
      <w:pPr>
        <w:ind w:left="3849" w:hanging="420"/>
      </w:pPr>
    </w:lvl>
  </w:abstractNum>
  <w:abstractNum w:abstractNumId="93">
    <w:nsid w:val="59321086"/>
    <w:multiLevelType w:val="multilevel"/>
    <w:tmpl w:val="59321086"/>
    <w:lvl w:ilvl="0" w:tentative="0">
      <w:start w:val="1"/>
      <w:numFmt w:val="decimal"/>
      <w:suff w:val="nothing"/>
      <w:lvlText w:val="%1．"/>
      <w:lvlJc w:val="left"/>
      <w:pPr>
        <w:ind w:left="1129" w:hanging="420"/>
      </w:pPr>
      <w:rPr>
        <w:rFonts w:hint="default"/>
      </w:r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94">
    <w:nsid w:val="5A455429"/>
    <w:multiLevelType w:val="multilevel"/>
    <w:tmpl w:val="5A455429"/>
    <w:lvl w:ilvl="0" w:tentative="0">
      <w:start w:val="1"/>
      <w:numFmt w:val="chineseCountingThousand"/>
      <w:suff w:val="nothing"/>
      <w:lvlText w:val="%1、"/>
      <w:lvlJc w:val="left"/>
      <w:pPr>
        <w:ind w:left="1022"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5">
    <w:nsid w:val="5B1F031E"/>
    <w:multiLevelType w:val="multilevel"/>
    <w:tmpl w:val="5B1F031E"/>
    <w:lvl w:ilvl="0" w:tentative="0">
      <w:start w:val="1"/>
      <w:numFmt w:val="chineseCountingThousand"/>
      <w:suff w:val="nothing"/>
      <w:lvlText w:val="%1、"/>
      <w:lvlJc w:val="left"/>
      <w:pPr>
        <w:ind w:left="1022"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6">
    <w:nsid w:val="5CA27B48"/>
    <w:multiLevelType w:val="multilevel"/>
    <w:tmpl w:val="5CA27B48"/>
    <w:lvl w:ilvl="0" w:tentative="0">
      <w:start w:val="1"/>
      <w:numFmt w:val="chineseCountingThousand"/>
      <w:suff w:val="nothing"/>
      <w:lvlText w:val="%1、"/>
      <w:lvlJc w:val="left"/>
      <w:pPr>
        <w:ind w:left="1022"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7">
    <w:nsid w:val="5D9036BC"/>
    <w:multiLevelType w:val="multilevel"/>
    <w:tmpl w:val="5D9036BC"/>
    <w:lvl w:ilvl="0" w:tentative="0">
      <w:start w:val="1"/>
      <w:numFmt w:val="chineseCountingThousand"/>
      <w:suff w:val="space"/>
      <w:lvlText w:val="第%1章"/>
      <w:lvlJc w:val="left"/>
      <w:pPr>
        <w:ind w:left="1697" w:hanging="1095"/>
      </w:pPr>
      <w:rPr>
        <w:rFonts w:hint="eastAsia" w:ascii="黑体" w:hAnsi="黑体" w:eastAsia="黑体"/>
        <w:sz w:val="32"/>
        <w:szCs w:val="32"/>
      </w:rPr>
    </w:lvl>
    <w:lvl w:ilvl="1" w:tentative="0">
      <w:start w:val="1"/>
      <w:numFmt w:val="lowerLetter"/>
      <w:lvlText w:val="%2)"/>
      <w:lvlJc w:val="left"/>
      <w:pPr>
        <w:ind w:left="1442" w:hanging="420"/>
      </w:pPr>
    </w:lvl>
    <w:lvl w:ilvl="2" w:tentative="0">
      <w:start w:val="1"/>
      <w:numFmt w:val="lowerRoman"/>
      <w:lvlText w:val="%3."/>
      <w:lvlJc w:val="right"/>
      <w:pPr>
        <w:ind w:left="1862" w:hanging="420"/>
      </w:pPr>
    </w:lvl>
    <w:lvl w:ilvl="3" w:tentative="0">
      <w:start w:val="1"/>
      <w:numFmt w:val="decimal"/>
      <w:lvlText w:val="%4."/>
      <w:lvlJc w:val="left"/>
      <w:pPr>
        <w:ind w:left="2282" w:hanging="420"/>
      </w:pPr>
    </w:lvl>
    <w:lvl w:ilvl="4" w:tentative="0">
      <w:start w:val="1"/>
      <w:numFmt w:val="lowerLetter"/>
      <w:lvlText w:val="%5)"/>
      <w:lvlJc w:val="left"/>
      <w:pPr>
        <w:ind w:left="2702" w:hanging="420"/>
      </w:pPr>
    </w:lvl>
    <w:lvl w:ilvl="5" w:tentative="0">
      <w:start w:val="1"/>
      <w:numFmt w:val="lowerRoman"/>
      <w:lvlText w:val="%6."/>
      <w:lvlJc w:val="right"/>
      <w:pPr>
        <w:ind w:left="3122" w:hanging="420"/>
      </w:pPr>
    </w:lvl>
    <w:lvl w:ilvl="6" w:tentative="0">
      <w:start w:val="1"/>
      <w:numFmt w:val="decimal"/>
      <w:lvlText w:val="%7."/>
      <w:lvlJc w:val="left"/>
      <w:pPr>
        <w:ind w:left="3542" w:hanging="420"/>
      </w:pPr>
    </w:lvl>
    <w:lvl w:ilvl="7" w:tentative="0">
      <w:start w:val="1"/>
      <w:numFmt w:val="lowerLetter"/>
      <w:lvlText w:val="%8)"/>
      <w:lvlJc w:val="left"/>
      <w:pPr>
        <w:ind w:left="3962" w:hanging="420"/>
      </w:pPr>
    </w:lvl>
    <w:lvl w:ilvl="8" w:tentative="0">
      <w:start w:val="1"/>
      <w:numFmt w:val="lowerRoman"/>
      <w:lvlText w:val="%9."/>
      <w:lvlJc w:val="right"/>
      <w:pPr>
        <w:ind w:left="4382" w:hanging="420"/>
      </w:pPr>
    </w:lvl>
  </w:abstractNum>
  <w:abstractNum w:abstractNumId="98">
    <w:nsid w:val="5F4C4232"/>
    <w:multiLevelType w:val="multilevel"/>
    <w:tmpl w:val="5F4C4232"/>
    <w:lvl w:ilvl="0" w:tentative="0">
      <w:start w:val="1"/>
      <w:numFmt w:val="decimal"/>
      <w:suff w:val="space"/>
      <w:lvlText w:val="%1."/>
      <w:lvlJc w:val="left"/>
      <w:pPr>
        <w:ind w:left="168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9">
    <w:nsid w:val="5FFF726F"/>
    <w:multiLevelType w:val="multilevel"/>
    <w:tmpl w:val="5FFF726F"/>
    <w:lvl w:ilvl="0" w:tentative="0">
      <w:start w:val="1"/>
      <w:numFmt w:val="decimal"/>
      <w:suff w:val="space"/>
      <w:lvlText w:val="%1."/>
      <w:lvlJc w:val="left"/>
      <w:pPr>
        <w:ind w:left="1020" w:hanging="420"/>
      </w:pPr>
      <w:rPr>
        <w:rFonts w:hint="eastAsia"/>
      </w:rPr>
    </w:lvl>
    <w:lvl w:ilvl="1" w:tentative="0">
      <w:start w:val="1"/>
      <w:numFmt w:val="lowerLetter"/>
      <w:lvlText w:val="%2)"/>
      <w:lvlJc w:val="left"/>
      <w:pPr>
        <w:ind w:left="1440" w:hanging="420"/>
      </w:pPr>
    </w:lvl>
    <w:lvl w:ilvl="2" w:tentative="0">
      <w:start w:val="1"/>
      <w:numFmt w:val="lowerRoman"/>
      <w:lvlText w:val="%3."/>
      <w:lvlJc w:val="right"/>
      <w:pPr>
        <w:ind w:left="1860" w:hanging="420"/>
      </w:pPr>
    </w:lvl>
    <w:lvl w:ilvl="3" w:tentative="0">
      <w:start w:val="1"/>
      <w:numFmt w:val="decimal"/>
      <w:lvlText w:val="%4."/>
      <w:lvlJc w:val="left"/>
      <w:pPr>
        <w:ind w:left="2280" w:hanging="420"/>
      </w:pPr>
    </w:lvl>
    <w:lvl w:ilvl="4" w:tentative="0">
      <w:start w:val="1"/>
      <w:numFmt w:val="lowerLetter"/>
      <w:lvlText w:val="%5)"/>
      <w:lvlJc w:val="left"/>
      <w:pPr>
        <w:ind w:left="2700" w:hanging="420"/>
      </w:pPr>
    </w:lvl>
    <w:lvl w:ilvl="5" w:tentative="0">
      <w:start w:val="1"/>
      <w:numFmt w:val="lowerRoman"/>
      <w:lvlText w:val="%6."/>
      <w:lvlJc w:val="right"/>
      <w:pPr>
        <w:ind w:left="3120" w:hanging="420"/>
      </w:pPr>
    </w:lvl>
    <w:lvl w:ilvl="6" w:tentative="0">
      <w:start w:val="1"/>
      <w:numFmt w:val="decimal"/>
      <w:lvlText w:val="%7."/>
      <w:lvlJc w:val="left"/>
      <w:pPr>
        <w:ind w:left="3540" w:hanging="420"/>
      </w:pPr>
    </w:lvl>
    <w:lvl w:ilvl="7" w:tentative="0">
      <w:start w:val="1"/>
      <w:numFmt w:val="lowerLetter"/>
      <w:lvlText w:val="%8)"/>
      <w:lvlJc w:val="left"/>
      <w:pPr>
        <w:ind w:left="3960" w:hanging="420"/>
      </w:pPr>
    </w:lvl>
    <w:lvl w:ilvl="8" w:tentative="0">
      <w:start w:val="1"/>
      <w:numFmt w:val="lowerRoman"/>
      <w:lvlText w:val="%9."/>
      <w:lvlJc w:val="right"/>
      <w:pPr>
        <w:ind w:left="4380" w:hanging="420"/>
      </w:pPr>
    </w:lvl>
  </w:abstractNum>
  <w:abstractNum w:abstractNumId="100">
    <w:nsid w:val="62342CDF"/>
    <w:multiLevelType w:val="multilevel"/>
    <w:tmpl w:val="62342CDF"/>
    <w:lvl w:ilvl="0" w:tentative="0">
      <w:start w:val="1"/>
      <w:numFmt w:val="decimal"/>
      <w:suff w:val="space"/>
      <w:lvlText w:val="（%1）"/>
      <w:lvlJc w:val="left"/>
      <w:pPr>
        <w:ind w:left="924" w:hanging="420"/>
      </w:pPr>
      <w:rPr>
        <w:rFonts w:hint="default"/>
        <w:lang w:val="en-US"/>
      </w:rPr>
    </w:lvl>
    <w:lvl w:ilvl="1" w:tentative="0">
      <w:start w:val="1"/>
      <w:numFmt w:val="lowerLetter"/>
      <w:lvlText w:val="%2)"/>
      <w:lvlJc w:val="left"/>
      <w:pPr>
        <w:ind w:left="1344" w:hanging="420"/>
      </w:pPr>
    </w:lvl>
    <w:lvl w:ilvl="2" w:tentative="0">
      <w:start w:val="1"/>
      <w:numFmt w:val="lowerRoman"/>
      <w:lvlText w:val="%3."/>
      <w:lvlJc w:val="right"/>
      <w:pPr>
        <w:ind w:left="1764" w:hanging="420"/>
      </w:pPr>
    </w:lvl>
    <w:lvl w:ilvl="3" w:tentative="0">
      <w:start w:val="1"/>
      <w:numFmt w:val="decimal"/>
      <w:lvlText w:val="%4."/>
      <w:lvlJc w:val="left"/>
      <w:pPr>
        <w:ind w:left="2184" w:hanging="420"/>
      </w:pPr>
    </w:lvl>
    <w:lvl w:ilvl="4" w:tentative="0">
      <w:start w:val="1"/>
      <w:numFmt w:val="lowerLetter"/>
      <w:lvlText w:val="%5)"/>
      <w:lvlJc w:val="left"/>
      <w:pPr>
        <w:ind w:left="2604" w:hanging="420"/>
      </w:pPr>
    </w:lvl>
    <w:lvl w:ilvl="5" w:tentative="0">
      <w:start w:val="1"/>
      <w:numFmt w:val="lowerRoman"/>
      <w:lvlText w:val="%6."/>
      <w:lvlJc w:val="right"/>
      <w:pPr>
        <w:ind w:left="3024" w:hanging="420"/>
      </w:pPr>
    </w:lvl>
    <w:lvl w:ilvl="6" w:tentative="0">
      <w:start w:val="1"/>
      <w:numFmt w:val="decimal"/>
      <w:lvlText w:val="%7."/>
      <w:lvlJc w:val="left"/>
      <w:pPr>
        <w:ind w:left="3444" w:hanging="420"/>
      </w:pPr>
    </w:lvl>
    <w:lvl w:ilvl="7" w:tentative="0">
      <w:start w:val="1"/>
      <w:numFmt w:val="lowerLetter"/>
      <w:lvlText w:val="%8)"/>
      <w:lvlJc w:val="left"/>
      <w:pPr>
        <w:ind w:left="3864" w:hanging="420"/>
      </w:pPr>
    </w:lvl>
    <w:lvl w:ilvl="8" w:tentative="0">
      <w:start w:val="1"/>
      <w:numFmt w:val="lowerRoman"/>
      <w:lvlText w:val="%9."/>
      <w:lvlJc w:val="right"/>
      <w:pPr>
        <w:ind w:left="4284" w:hanging="420"/>
      </w:pPr>
    </w:lvl>
  </w:abstractNum>
  <w:abstractNum w:abstractNumId="101">
    <w:nsid w:val="62547A6E"/>
    <w:multiLevelType w:val="multilevel"/>
    <w:tmpl w:val="62547A6E"/>
    <w:lvl w:ilvl="0" w:tentative="0">
      <w:start w:val="1"/>
      <w:numFmt w:val="chineseCountingThousand"/>
      <w:suff w:val="space"/>
      <w:lvlText w:val="%1、"/>
      <w:lvlJc w:val="left"/>
      <w:pPr>
        <w:ind w:left="106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2">
    <w:nsid w:val="64FC5AC0"/>
    <w:multiLevelType w:val="multilevel"/>
    <w:tmpl w:val="64FC5AC0"/>
    <w:lvl w:ilvl="0" w:tentative="0">
      <w:start w:val="15"/>
      <w:numFmt w:val="chineseCountingThousand"/>
      <w:suff w:val="space"/>
      <w:lvlText w:val="第%1章"/>
      <w:lvlJc w:val="left"/>
      <w:pPr>
        <w:ind w:left="1697" w:hanging="1095"/>
      </w:pPr>
      <w:rPr>
        <w:rFonts w:hint="eastAsia" w:ascii="黑体" w:hAnsi="黑体" w:eastAsia="黑体"/>
        <w:sz w:val="30"/>
        <w:szCs w:val="3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3">
    <w:nsid w:val="666277BA"/>
    <w:multiLevelType w:val="multilevel"/>
    <w:tmpl w:val="666277BA"/>
    <w:lvl w:ilvl="0" w:tentative="0">
      <w:start w:val="1"/>
      <w:numFmt w:val="decimal"/>
      <w:suff w:val="space"/>
      <w:lvlText w:val="%1."/>
      <w:lvlJc w:val="left"/>
      <w:pPr>
        <w:ind w:left="1680" w:hanging="420"/>
      </w:pPr>
      <w:rPr>
        <w:rFonts w:hint="eastAsia"/>
      </w:r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104">
    <w:nsid w:val="67F85449"/>
    <w:multiLevelType w:val="multilevel"/>
    <w:tmpl w:val="67F85449"/>
    <w:lvl w:ilvl="0" w:tentative="0">
      <w:start w:val="3"/>
      <w:numFmt w:val="chineseCountingThousand"/>
      <w:suff w:val="space"/>
      <w:lvlText w:val="第%1章"/>
      <w:lvlJc w:val="left"/>
      <w:pPr>
        <w:ind w:left="1697" w:hanging="1095"/>
      </w:pPr>
      <w:rPr>
        <w:rFonts w:hint="eastAsia" w:ascii="黑体" w:hAnsi="黑体" w:eastAsia="黑体"/>
        <w:sz w:val="30"/>
        <w:szCs w:val="3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5">
    <w:nsid w:val="685F420B"/>
    <w:multiLevelType w:val="multilevel"/>
    <w:tmpl w:val="685F420B"/>
    <w:lvl w:ilvl="0" w:tentative="0">
      <w:start w:val="1"/>
      <w:numFmt w:val="decimal"/>
      <w:lvlText w:val="%1."/>
      <w:lvlJc w:val="left"/>
      <w:pPr>
        <w:ind w:left="1129" w:hanging="420"/>
      </w:pPr>
      <w:rPr>
        <w:rFonts w:hint="eastAsia"/>
      </w:r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106">
    <w:nsid w:val="68F008E3"/>
    <w:multiLevelType w:val="multilevel"/>
    <w:tmpl w:val="68F008E3"/>
    <w:lvl w:ilvl="0" w:tentative="0">
      <w:start w:val="1"/>
      <w:numFmt w:val="decimal"/>
      <w:suff w:val="space"/>
      <w:lvlText w:val="%1."/>
      <w:lvlJc w:val="left"/>
      <w:pPr>
        <w:ind w:left="1020" w:hanging="420"/>
      </w:pPr>
      <w:rPr>
        <w:rFonts w:hint="eastAsia"/>
      </w:rPr>
    </w:lvl>
    <w:lvl w:ilvl="1" w:tentative="0">
      <w:start w:val="1"/>
      <w:numFmt w:val="lowerLetter"/>
      <w:lvlText w:val="%2)"/>
      <w:lvlJc w:val="left"/>
      <w:pPr>
        <w:ind w:left="1440" w:hanging="420"/>
      </w:pPr>
    </w:lvl>
    <w:lvl w:ilvl="2" w:tentative="0">
      <w:start w:val="1"/>
      <w:numFmt w:val="lowerRoman"/>
      <w:lvlText w:val="%3."/>
      <w:lvlJc w:val="right"/>
      <w:pPr>
        <w:ind w:left="1860" w:hanging="420"/>
      </w:pPr>
    </w:lvl>
    <w:lvl w:ilvl="3" w:tentative="0">
      <w:start w:val="1"/>
      <w:numFmt w:val="decimal"/>
      <w:lvlText w:val="%4."/>
      <w:lvlJc w:val="left"/>
      <w:pPr>
        <w:ind w:left="2280" w:hanging="420"/>
      </w:pPr>
    </w:lvl>
    <w:lvl w:ilvl="4" w:tentative="0">
      <w:start w:val="1"/>
      <w:numFmt w:val="lowerLetter"/>
      <w:lvlText w:val="%5)"/>
      <w:lvlJc w:val="left"/>
      <w:pPr>
        <w:ind w:left="2700" w:hanging="420"/>
      </w:pPr>
    </w:lvl>
    <w:lvl w:ilvl="5" w:tentative="0">
      <w:start w:val="1"/>
      <w:numFmt w:val="lowerRoman"/>
      <w:lvlText w:val="%6."/>
      <w:lvlJc w:val="right"/>
      <w:pPr>
        <w:ind w:left="3120" w:hanging="420"/>
      </w:pPr>
    </w:lvl>
    <w:lvl w:ilvl="6" w:tentative="0">
      <w:start w:val="1"/>
      <w:numFmt w:val="decimal"/>
      <w:lvlText w:val="%7."/>
      <w:lvlJc w:val="left"/>
      <w:pPr>
        <w:ind w:left="3540" w:hanging="420"/>
      </w:pPr>
    </w:lvl>
    <w:lvl w:ilvl="7" w:tentative="0">
      <w:start w:val="1"/>
      <w:numFmt w:val="lowerLetter"/>
      <w:lvlText w:val="%8)"/>
      <w:lvlJc w:val="left"/>
      <w:pPr>
        <w:ind w:left="3960" w:hanging="420"/>
      </w:pPr>
    </w:lvl>
    <w:lvl w:ilvl="8" w:tentative="0">
      <w:start w:val="1"/>
      <w:numFmt w:val="lowerRoman"/>
      <w:lvlText w:val="%9."/>
      <w:lvlJc w:val="right"/>
      <w:pPr>
        <w:ind w:left="4380" w:hanging="420"/>
      </w:pPr>
    </w:lvl>
  </w:abstractNum>
  <w:abstractNum w:abstractNumId="107">
    <w:nsid w:val="69AA712B"/>
    <w:multiLevelType w:val="multilevel"/>
    <w:tmpl w:val="69AA712B"/>
    <w:lvl w:ilvl="0" w:tentative="0">
      <w:start w:val="1"/>
      <w:numFmt w:val="chineseCountingThousand"/>
      <w:lvlText w:val="（%1）"/>
      <w:lvlJc w:val="left"/>
      <w:pPr>
        <w:ind w:left="1020" w:hanging="420"/>
      </w:pPr>
      <w:rPr>
        <w:rFonts w:hint="default"/>
      </w:rPr>
    </w:lvl>
    <w:lvl w:ilvl="1" w:tentative="0">
      <w:start w:val="1"/>
      <w:numFmt w:val="chineseCountingThousand"/>
      <w:suff w:val="space"/>
      <w:lvlText w:val="（%2）"/>
      <w:lvlJc w:val="left"/>
      <w:pPr>
        <w:ind w:left="1022" w:hanging="420"/>
      </w:pPr>
      <w:rPr>
        <w:rFonts w:hint="default"/>
      </w:rPr>
    </w:lvl>
    <w:lvl w:ilvl="2" w:tentative="0">
      <w:start w:val="1"/>
      <w:numFmt w:val="decimal"/>
      <w:lvlText w:val="%3."/>
      <w:lvlJc w:val="left"/>
      <w:pPr>
        <w:ind w:left="1890" w:hanging="450"/>
      </w:pPr>
      <w:rPr>
        <w:rFonts w:hint="default"/>
      </w:rPr>
    </w:lvl>
    <w:lvl w:ilvl="3" w:tentative="0">
      <w:start w:val="1"/>
      <w:numFmt w:val="decimal"/>
      <w:lvlText w:val="%4."/>
      <w:lvlJc w:val="left"/>
      <w:pPr>
        <w:ind w:left="2280" w:hanging="420"/>
      </w:pPr>
    </w:lvl>
    <w:lvl w:ilvl="4" w:tentative="0">
      <w:start w:val="1"/>
      <w:numFmt w:val="lowerLetter"/>
      <w:lvlText w:val="%5)"/>
      <w:lvlJc w:val="left"/>
      <w:pPr>
        <w:ind w:left="2700" w:hanging="420"/>
      </w:pPr>
    </w:lvl>
    <w:lvl w:ilvl="5" w:tentative="0">
      <w:start w:val="1"/>
      <w:numFmt w:val="lowerRoman"/>
      <w:lvlText w:val="%6."/>
      <w:lvlJc w:val="right"/>
      <w:pPr>
        <w:ind w:left="3120" w:hanging="420"/>
      </w:pPr>
    </w:lvl>
    <w:lvl w:ilvl="6" w:tentative="0">
      <w:start w:val="1"/>
      <w:numFmt w:val="decimal"/>
      <w:lvlText w:val="%7."/>
      <w:lvlJc w:val="left"/>
      <w:pPr>
        <w:ind w:left="3540" w:hanging="420"/>
      </w:pPr>
    </w:lvl>
    <w:lvl w:ilvl="7" w:tentative="0">
      <w:start w:val="1"/>
      <w:numFmt w:val="lowerLetter"/>
      <w:lvlText w:val="%8)"/>
      <w:lvlJc w:val="left"/>
      <w:pPr>
        <w:ind w:left="3960" w:hanging="420"/>
      </w:pPr>
    </w:lvl>
    <w:lvl w:ilvl="8" w:tentative="0">
      <w:start w:val="1"/>
      <w:numFmt w:val="lowerRoman"/>
      <w:lvlText w:val="%9."/>
      <w:lvlJc w:val="right"/>
      <w:pPr>
        <w:ind w:left="4380" w:hanging="420"/>
      </w:pPr>
    </w:lvl>
  </w:abstractNum>
  <w:abstractNum w:abstractNumId="108">
    <w:nsid w:val="69CE6112"/>
    <w:multiLevelType w:val="multilevel"/>
    <w:tmpl w:val="69CE6112"/>
    <w:lvl w:ilvl="0" w:tentative="0">
      <w:start w:val="1"/>
      <w:numFmt w:val="chineseCountingThousand"/>
      <w:suff w:val="nothing"/>
      <w:lvlText w:val="%1、"/>
      <w:lvlJc w:val="left"/>
      <w:pPr>
        <w:ind w:left="1022"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9">
    <w:nsid w:val="6AB44195"/>
    <w:multiLevelType w:val="multilevel"/>
    <w:tmpl w:val="6AB44195"/>
    <w:lvl w:ilvl="0" w:tentative="0">
      <w:start w:val="1"/>
      <w:numFmt w:val="decimal"/>
      <w:lvlText w:val="%1."/>
      <w:lvlJc w:val="left"/>
      <w:pPr>
        <w:ind w:left="1129" w:hanging="420"/>
      </w:pPr>
      <w:rPr>
        <w:rFonts w:hint="eastAsia"/>
      </w:r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110">
    <w:nsid w:val="6C055D52"/>
    <w:multiLevelType w:val="multilevel"/>
    <w:tmpl w:val="6C055D52"/>
    <w:lvl w:ilvl="0" w:tentative="0">
      <w:start w:val="1"/>
      <w:numFmt w:val="chineseCountingThousand"/>
      <w:suff w:val="space"/>
      <w:lvlText w:val="（%1）"/>
      <w:lvlJc w:val="left"/>
      <w:pPr>
        <w:ind w:left="1129" w:hanging="420"/>
      </w:pPr>
      <w:rPr>
        <w:rFonts w:hint="eastAsia"/>
      </w:rPr>
    </w:lvl>
    <w:lvl w:ilvl="1" w:tentative="0">
      <w:start w:val="1"/>
      <w:numFmt w:val="lowerLetter"/>
      <w:lvlText w:val="%2)"/>
      <w:lvlJc w:val="left"/>
      <w:pPr>
        <w:ind w:left="909" w:hanging="420"/>
      </w:pPr>
    </w:lvl>
    <w:lvl w:ilvl="2" w:tentative="0">
      <w:start w:val="1"/>
      <w:numFmt w:val="lowerRoman"/>
      <w:lvlText w:val="%3."/>
      <w:lvlJc w:val="right"/>
      <w:pPr>
        <w:ind w:left="1329" w:hanging="420"/>
      </w:pPr>
    </w:lvl>
    <w:lvl w:ilvl="3" w:tentative="0">
      <w:start w:val="1"/>
      <w:numFmt w:val="decimal"/>
      <w:lvlText w:val="%4."/>
      <w:lvlJc w:val="left"/>
      <w:pPr>
        <w:ind w:left="1749" w:hanging="420"/>
      </w:pPr>
    </w:lvl>
    <w:lvl w:ilvl="4" w:tentative="0">
      <w:start w:val="1"/>
      <w:numFmt w:val="lowerLetter"/>
      <w:lvlText w:val="%5)"/>
      <w:lvlJc w:val="left"/>
      <w:pPr>
        <w:ind w:left="2169" w:hanging="420"/>
      </w:pPr>
    </w:lvl>
    <w:lvl w:ilvl="5" w:tentative="0">
      <w:start w:val="1"/>
      <w:numFmt w:val="lowerRoman"/>
      <w:lvlText w:val="%6."/>
      <w:lvlJc w:val="right"/>
      <w:pPr>
        <w:ind w:left="2589" w:hanging="420"/>
      </w:pPr>
    </w:lvl>
    <w:lvl w:ilvl="6" w:tentative="0">
      <w:start w:val="1"/>
      <w:numFmt w:val="decimal"/>
      <w:lvlText w:val="%7."/>
      <w:lvlJc w:val="left"/>
      <w:pPr>
        <w:ind w:left="3009" w:hanging="420"/>
      </w:pPr>
    </w:lvl>
    <w:lvl w:ilvl="7" w:tentative="0">
      <w:start w:val="1"/>
      <w:numFmt w:val="lowerLetter"/>
      <w:lvlText w:val="%8)"/>
      <w:lvlJc w:val="left"/>
      <w:pPr>
        <w:ind w:left="3429" w:hanging="420"/>
      </w:pPr>
    </w:lvl>
    <w:lvl w:ilvl="8" w:tentative="0">
      <w:start w:val="1"/>
      <w:numFmt w:val="lowerRoman"/>
      <w:lvlText w:val="%9."/>
      <w:lvlJc w:val="right"/>
      <w:pPr>
        <w:ind w:left="3849" w:hanging="420"/>
      </w:pPr>
    </w:lvl>
  </w:abstractNum>
  <w:abstractNum w:abstractNumId="111">
    <w:nsid w:val="6D150AA6"/>
    <w:multiLevelType w:val="multilevel"/>
    <w:tmpl w:val="6D150AA6"/>
    <w:lvl w:ilvl="0" w:tentative="0">
      <w:start w:val="1"/>
      <w:numFmt w:val="decimal"/>
      <w:suff w:val="nothing"/>
      <w:lvlText w:val="%1．"/>
      <w:lvlJc w:val="left"/>
      <w:pPr>
        <w:ind w:left="0" w:firstLine="709"/>
      </w:pPr>
      <w:rPr>
        <w:rFonts w:hint="default"/>
        <w:lang w:val="en-US"/>
      </w:rPr>
    </w:lvl>
    <w:lvl w:ilvl="1" w:tentative="0">
      <w:start w:val="1"/>
      <w:numFmt w:val="lowerLetter"/>
      <w:lvlText w:val="%2)"/>
      <w:lvlJc w:val="left"/>
      <w:pPr>
        <w:ind w:left="1344" w:hanging="420"/>
      </w:pPr>
    </w:lvl>
    <w:lvl w:ilvl="2" w:tentative="0">
      <w:start w:val="1"/>
      <w:numFmt w:val="lowerRoman"/>
      <w:lvlText w:val="%3."/>
      <w:lvlJc w:val="right"/>
      <w:pPr>
        <w:ind w:left="1764" w:hanging="420"/>
      </w:pPr>
    </w:lvl>
    <w:lvl w:ilvl="3" w:tentative="0">
      <w:start w:val="1"/>
      <w:numFmt w:val="decimal"/>
      <w:lvlText w:val="%4."/>
      <w:lvlJc w:val="left"/>
      <w:pPr>
        <w:ind w:left="2184" w:hanging="420"/>
      </w:pPr>
    </w:lvl>
    <w:lvl w:ilvl="4" w:tentative="0">
      <w:start w:val="1"/>
      <w:numFmt w:val="lowerLetter"/>
      <w:lvlText w:val="%5)"/>
      <w:lvlJc w:val="left"/>
      <w:pPr>
        <w:ind w:left="2604" w:hanging="420"/>
      </w:pPr>
    </w:lvl>
    <w:lvl w:ilvl="5" w:tentative="0">
      <w:start w:val="1"/>
      <w:numFmt w:val="lowerRoman"/>
      <w:lvlText w:val="%6."/>
      <w:lvlJc w:val="right"/>
      <w:pPr>
        <w:ind w:left="3024" w:hanging="420"/>
      </w:pPr>
    </w:lvl>
    <w:lvl w:ilvl="6" w:tentative="0">
      <w:start w:val="1"/>
      <w:numFmt w:val="decimal"/>
      <w:lvlText w:val="%7."/>
      <w:lvlJc w:val="left"/>
      <w:pPr>
        <w:ind w:left="3444" w:hanging="420"/>
      </w:pPr>
    </w:lvl>
    <w:lvl w:ilvl="7" w:tentative="0">
      <w:start w:val="1"/>
      <w:numFmt w:val="lowerLetter"/>
      <w:lvlText w:val="%8)"/>
      <w:lvlJc w:val="left"/>
      <w:pPr>
        <w:ind w:left="3864" w:hanging="420"/>
      </w:pPr>
    </w:lvl>
    <w:lvl w:ilvl="8" w:tentative="0">
      <w:start w:val="1"/>
      <w:numFmt w:val="lowerRoman"/>
      <w:lvlText w:val="%9."/>
      <w:lvlJc w:val="right"/>
      <w:pPr>
        <w:ind w:left="4284" w:hanging="420"/>
      </w:pPr>
    </w:lvl>
  </w:abstractNum>
  <w:abstractNum w:abstractNumId="112">
    <w:nsid w:val="6EF339FD"/>
    <w:multiLevelType w:val="multilevel"/>
    <w:tmpl w:val="6EF339FD"/>
    <w:lvl w:ilvl="0" w:tentative="0">
      <w:start w:val="1"/>
      <w:numFmt w:val="decimal"/>
      <w:suff w:val="space"/>
      <w:lvlText w:val="（%1）"/>
      <w:lvlJc w:val="left"/>
      <w:pPr>
        <w:ind w:left="924" w:hanging="420"/>
      </w:pPr>
      <w:rPr>
        <w:rFonts w:hint="default"/>
        <w:lang w:val="en-US"/>
      </w:rPr>
    </w:lvl>
    <w:lvl w:ilvl="1" w:tentative="0">
      <w:start w:val="1"/>
      <w:numFmt w:val="lowerLetter"/>
      <w:lvlText w:val="%2)"/>
      <w:lvlJc w:val="left"/>
      <w:pPr>
        <w:ind w:left="1344" w:hanging="420"/>
      </w:pPr>
    </w:lvl>
    <w:lvl w:ilvl="2" w:tentative="0">
      <w:start w:val="1"/>
      <w:numFmt w:val="lowerRoman"/>
      <w:lvlText w:val="%3."/>
      <w:lvlJc w:val="right"/>
      <w:pPr>
        <w:ind w:left="1764" w:hanging="420"/>
      </w:pPr>
    </w:lvl>
    <w:lvl w:ilvl="3" w:tentative="0">
      <w:start w:val="1"/>
      <w:numFmt w:val="decimal"/>
      <w:lvlText w:val="%4."/>
      <w:lvlJc w:val="left"/>
      <w:pPr>
        <w:ind w:left="2184" w:hanging="420"/>
      </w:pPr>
    </w:lvl>
    <w:lvl w:ilvl="4" w:tentative="0">
      <w:start w:val="1"/>
      <w:numFmt w:val="lowerLetter"/>
      <w:lvlText w:val="%5)"/>
      <w:lvlJc w:val="left"/>
      <w:pPr>
        <w:ind w:left="2604" w:hanging="420"/>
      </w:pPr>
    </w:lvl>
    <w:lvl w:ilvl="5" w:tentative="0">
      <w:start w:val="1"/>
      <w:numFmt w:val="lowerRoman"/>
      <w:lvlText w:val="%6."/>
      <w:lvlJc w:val="right"/>
      <w:pPr>
        <w:ind w:left="3024" w:hanging="420"/>
      </w:pPr>
    </w:lvl>
    <w:lvl w:ilvl="6" w:tentative="0">
      <w:start w:val="1"/>
      <w:numFmt w:val="decimal"/>
      <w:lvlText w:val="%7."/>
      <w:lvlJc w:val="left"/>
      <w:pPr>
        <w:ind w:left="3444" w:hanging="420"/>
      </w:pPr>
    </w:lvl>
    <w:lvl w:ilvl="7" w:tentative="0">
      <w:start w:val="1"/>
      <w:numFmt w:val="lowerLetter"/>
      <w:lvlText w:val="%8)"/>
      <w:lvlJc w:val="left"/>
      <w:pPr>
        <w:ind w:left="3864" w:hanging="420"/>
      </w:pPr>
    </w:lvl>
    <w:lvl w:ilvl="8" w:tentative="0">
      <w:start w:val="1"/>
      <w:numFmt w:val="lowerRoman"/>
      <w:lvlText w:val="%9."/>
      <w:lvlJc w:val="right"/>
      <w:pPr>
        <w:ind w:left="4284" w:hanging="420"/>
      </w:pPr>
    </w:lvl>
  </w:abstractNum>
  <w:abstractNum w:abstractNumId="113">
    <w:nsid w:val="6FF3094C"/>
    <w:multiLevelType w:val="multilevel"/>
    <w:tmpl w:val="6FF3094C"/>
    <w:lvl w:ilvl="0" w:tentative="0">
      <w:start w:val="1"/>
      <w:numFmt w:val="chineseCountingThousand"/>
      <w:suff w:val="space"/>
      <w:lvlText w:val="（%1）"/>
      <w:lvlJc w:val="left"/>
      <w:pPr>
        <w:ind w:left="1129" w:hanging="420"/>
      </w:pPr>
      <w:rPr>
        <w:rFonts w:hint="eastAsia"/>
      </w:rPr>
    </w:lvl>
    <w:lvl w:ilvl="1" w:tentative="0">
      <w:start w:val="1"/>
      <w:numFmt w:val="lowerLetter"/>
      <w:lvlText w:val="%2)"/>
      <w:lvlJc w:val="left"/>
      <w:pPr>
        <w:ind w:left="909" w:hanging="420"/>
      </w:pPr>
    </w:lvl>
    <w:lvl w:ilvl="2" w:tentative="0">
      <w:start w:val="1"/>
      <w:numFmt w:val="lowerRoman"/>
      <w:lvlText w:val="%3."/>
      <w:lvlJc w:val="right"/>
      <w:pPr>
        <w:ind w:left="1329" w:hanging="420"/>
      </w:pPr>
    </w:lvl>
    <w:lvl w:ilvl="3" w:tentative="0">
      <w:start w:val="1"/>
      <w:numFmt w:val="decimal"/>
      <w:lvlText w:val="%4."/>
      <w:lvlJc w:val="left"/>
      <w:pPr>
        <w:ind w:left="1749" w:hanging="420"/>
      </w:pPr>
    </w:lvl>
    <w:lvl w:ilvl="4" w:tentative="0">
      <w:start w:val="1"/>
      <w:numFmt w:val="lowerLetter"/>
      <w:lvlText w:val="%5)"/>
      <w:lvlJc w:val="left"/>
      <w:pPr>
        <w:ind w:left="2169" w:hanging="420"/>
      </w:pPr>
    </w:lvl>
    <w:lvl w:ilvl="5" w:tentative="0">
      <w:start w:val="1"/>
      <w:numFmt w:val="lowerRoman"/>
      <w:lvlText w:val="%6."/>
      <w:lvlJc w:val="right"/>
      <w:pPr>
        <w:ind w:left="2589" w:hanging="420"/>
      </w:pPr>
    </w:lvl>
    <w:lvl w:ilvl="6" w:tentative="0">
      <w:start w:val="1"/>
      <w:numFmt w:val="decimal"/>
      <w:lvlText w:val="%7."/>
      <w:lvlJc w:val="left"/>
      <w:pPr>
        <w:ind w:left="3009" w:hanging="420"/>
      </w:pPr>
    </w:lvl>
    <w:lvl w:ilvl="7" w:tentative="0">
      <w:start w:val="1"/>
      <w:numFmt w:val="lowerLetter"/>
      <w:lvlText w:val="%8)"/>
      <w:lvlJc w:val="left"/>
      <w:pPr>
        <w:ind w:left="3429" w:hanging="420"/>
      </w:pPr>
    </w:lvl>
    <w:lvl w:ilvl="8" w:tentative="0">
      <w:start w:val="1"/>
      <w:numFmt w:val="lowerRoman"/>
      <w:lvlText w:val="%9."/>
      <w:lvlJc w:val="right"/>
      <w:pPr>
        <w:ind w:left="3849" w:hanging="420"/>
      </w:pPr>
    </w:lvl>
  </w:abstractNum>
  <w:abstractNum w:abstractNumId="114">
    <w:nsid w:val="70443A2E"/>
    <w:multiLevelType w:val="multilevel"/>
    <w:tmpl w:val="70443A2E"/>
    <w:lvl w:ilvl="0" w:tentative="0">
      <w:start w:val="1"/>
      <w:numFmt w:val="chineseCountingThousand"/>
      <w:suff w:val="space"/>
      <w:lvlText w:val="%1、"/>
      <w:lvlJc w:val="left"/>
      <w:pPr>
        <w:ind w:left="1060" w:hanging="420"/>
      </w:pPr>
      <w:rPr>
        <w:rFonts w:hint="eastAsia"/>
        <w:b/>
      </w:rPr>
    </w:lvl>
    <w:lvl w:ilvl="1" w:tentative="0">
      <w:start w:val="1"/>
      <w:numFmt w:val="decimal"/>
      <w:lvlText w:val="（%2）"/>
      <w:lvlJc w:val="left"/>
      <w:pPr>
        <w:ind w:left="1140" w:hanging="72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5">
    <w:nsid w:val="70E84888"/>
    <w:multiLevelType w:val="multilevel"/>
    <w:tmpl w:val="70E84888"/>
    <w:lvl w:ilvl="0" w:tentative="0">
      <w:start w:val="1"/>
      <w:numFmt w:val="chineseCountingThousand"/>
      <w:suff w:val="space"/>
      <w:lvlText w:val="（%1）"/>
      <w:lvlJc w:val="left"/>
      <w:pPr>
        <w:ind w:left="1022"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6">
    <w:nsid w:val="733B5D9F"/>
    <w:multiLevelType w:val="multilevel"/>
    <w:tmpl w:val="733B5D9F"/>
    <w:lvl w:ilvl="0" w:tentative="0">
      <w:start w:val="1"/>
      <w:numFmt w:val="chineseCountingThousand"/>
      <w:suff w:val="space"/>
      <w:lvlText w:val="（%1）"/>
      <w:lvlJc w:val="left"/>
      <w:pPr>
        <w:ind w:left="1022"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7">
    <w:nsid w:val="75C67453"/>
    <w:multiLevelType w:val="multilevel"/>
    <w:tmpl w:val="75C67453"/>
    <w:lvl w:ilvl="0" w:tentative="0">
      <w:start w:val="1"/>
      <w:numFmt w:val="decimal"/>
      <w:lvlText w:val="%1."/>
      <w:lvlJc w:val="left"/>
      <w:pPr>
        <w:ind w:left="980" w:hanging="420"/>
      </w:pPr>
    </w:lvl>
    <w:lvl w:ilvl="1" w:tentative="0">
      <w:start w:val="1"/>
      <w:numFmt w:val="lowerLetter"/>
      <w:lvlText w:val="%2)"/>
      <w:lvlJc w:val="left"/>
      <w:pPr>
        <w:ind w:left="1400" w:hanging="420"/>
      </w:pPr>
    </w:lvl>
    <w:lvl w:ilvl="2" w:tentative="0">
      <w:start w:val="1"/>
      <w:numFmt w:val="decimal"/>
      <w:suff w:val="space"/>
      <w:lvlText w:val="%3."/>
      <w:lvlJc w:val="left"/>
      <w:pPr>
        <w:ind w:left="1129" w:hanging="420"/>
      </w:pPr>
      <w:rPr>
        <w:rFonts w:hint="eastAsia"/>
      </w:r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118">
    <w:nsid w:val="763F18E3"/>
    <w:multiLevelType w:val="multilevel"/>
    <w:tmpl w:val="763F18E3"/>
    <w:lvl w:ilvl="0" w:tentative="0">
      <w:start w:val="1"/>
      <w:numFmt w:val="decimal"/>
      <w:suff w:val="space"/>
      <w:lvlText w:val="（%1）"/>
      <w:lvlJc w:val="left"/>
      <w:pPr>
        <w:ind w:left="924" w:hanging="420"/>
      </w:pPr>
      <w:rPr>
        <w:rFonts w:hint="default"/>
        <w:lang w:val="en-US"/>
      </w:rPr>
    </w:lvl>
    <w:lvl w:ilvl="1" w:tentative="0">
      <w:start w:val="1"/>
      <w:numFmt w:val="lowerLetter"/>
      <w:lvlText w:val="%2)"/>
      <w:lvlJc w:val="left"/>
      <w:pPr>
        <w:ind w:left="1344" w:hanging="420"/>
      </w:pPr>
    </w:lvl>
    <w:lvl w:ilvl="2" w:tentative="0">
      <w:start w:val="1"/>
      <w:numFmt w:val="lowerRoman"/>
      <w:lvlText w:val="%3."/>
      <w:lvlJc w:val="right"/>
      <w:pPr>
        <w:ind w:left="1764" w:hanging="420"/>
      </w:pPr>
    </w:lvl>
    <w:lvl w:ilvl="3" w:tentative="0">
      <w:start w:val="1"/>
      <w:numFmt w:val="decimal"/>
      <w:lvlText w:val="%4."/>
      <w:lvlJc w:val="left"/>
      <w:pPr>
        <w:ind w:left="2184" w:hanging="420"/>
      </w:pPr>
    </w:lvl>
    <w:lvl w:ilvl="4" w:tentative="0">
      <w:start w:val="1"/>
      <w:numFmt w:val="lowerLetter"/>
      <w:lvlText w:val="%5)"/>
      <w:lvlJc w:val="left"/>
      <w:pPr>
        <w:ind w:left="2604" w:hanging="420"/>
      </w:pPr>
    </w:lvl>
    <w:lvl w:ilvl="5" w:tentative="0">
      <w:start w:val="1"/>
      <w:numFmt w:val="lowerRoman"/>
      <w:lvlText w:val="%6."/>
      <w:lvlJc w:val="right"/>
      <w:pPr>
        <w:ind w:left="3024" w:hanging="420"/>
      </w:pPr>
    </w:lvl>
    <w:lvl w:ilvl="6" w:tentative="0">
      <w:start w:val="1"/>
      <w:numFmt w:val="decimal"/>
      <w:lvlText w:val="%7."/>
      <w:lvlJc w:val="left"/>
      <w:pPr>
        <w:ind w:left="3444" w:hanging="420"/>
      </w:pPr>
    </w:lvl>
    <w:lvl w:ilvl="7" w:tentative="0">
      <w:start w:val="1"/>
      <w:numFmt w:val="lowerLetter"/>
      <w:lvlText w:val="%8)"/>
      <w:lvlJc w:val="left"/>
      <w:pPr>
        <w:ind w:left="3864" w:hanging="420"/>
      </w:pPr>
    </w:lvl>
    <w:lvl w:ilvl="8" w:tentative="0">
      <w:start w:val="1"/>
      <w:numFmt w:val="lowerRoman"/>
      <w:lvlText w:val="%9."/>
      <w:lvlJc w:val="right"/>
      <w:pPr>
        <w:ind w:left="4284" w:hanging="420"/>
      </w:pPr>
    </w:lvl>
  </w:abstractNum>
  <w:abstractNum w:abstractNumId="119">
    <w:nsid w:val="76E05443"/>
    <w:multiLevelType w:val="multilevel"/>
    <w:tmpl w:val="76E05443"/>
    <w:lvl w:ilvl="0" w:tentative="0">
      <w:start w:val="1"/>
      <w:numFmt w:val="decimal"/>
      <w:suff w:val="space"/>
      <w:lvlText w:val="（%1）"/>
      <w:lvlJc w:val="left"/>
      <w:pPr>
        <w:ind w:left="924" w:hanging="420"/>
      </w:pPr>
      <w:rPr>
        <w:rFonts w:hint="default"/>
        <w:lang w:val="en-US"/>
      </w:rPr>
    </w:lvl>
    <w:lvl w:ilvl="1" w:tentative="0">
      <w:start w:val="1"/>
      <w:numFmt w:val="lowerLetter"/>
      <w:lvlText w:val="%2)"/>
      <w:lvlJc w:val="left"/>
      <w:pPr>
        <w:ind w:left="1344" w:hanging="420"/>
      </w:pPr>
    </w:lvl>
    <w:lvl w:ilvl="2" w:tentative="0">
      <w:start w:val="1"/>
      <w:numFmt w:val="lowerRoman"/>
      <w:lvlText w:val="%3."/>
      <w:lvlJc w:val="right"/>
      <w:pPr>
        <w:ind w:left="1764" w:hanging="420"/>
      </w:pPr>
    </w:lvl>
    <w:lvl w:ilvl="3" w:tentative="0">
      <w:start w:val="1"/>
      <w:numFmt w:val="decimal"/>
      <w:lvlText w:val="%4."/>
      <w:lvlJc w:val="left"/>
      <w:pPr>
        <w:ind w:left="2184" w:hanging="420"/>
      </w:pPr>
    </w:lvl>
    <w:lvl w:ilvl="4" w:tentative="0">
      <w:start w:val="1"/>
      <w:numFmt w:val="lowerLetter"/>
      <w:lvlText w:val="%5)"/>
      <w:lvlJc w:val="left"/>
      <w:pPr>
        <w:ind w:left="2604" w:hanging="420"/>
      </w:pPr>
    </w:lvl>
    <w:lvl w:ilvl="5" w:tentative="0">
      <w:start w:val="1"/>
      <w:numFmt w:val="lowerRoman"/>
      <w:lvlText w:val="%6."/>
      <w:lvlJc w:val="right"/>
      <w:pPr>
        <w:ind w:left="3024" w:hanging="420"/>
      </w:pPr>
    </w:lvl>
    <w:lvl w:ilvl="6" w:tentative="0">
      <w:start w:val="1"/>
      <w:numFmt w:val="decimal"/>
      <w:lvlText w:val="%7."/>
      <w:lvlJc w:val="left"/>
      <w:pPr>
        <w:ind w:left="3444" w:hanging="420"/>
      </w:pPr>
    </w:lvl>
    <w:lvl w:ilvl="7" w:tentative="0">
      <w:start w:val="1"/>
      <w:numFmt w:val="lowerLetter"/>
      <w:lvlText w:val="%8)"/>
      <w:lvlJc w:val="left"/>
      <w:pPr>
        <w:ind w:left="3864" w:hanging="420"/>
      </w:pPr>
    </w:lvl>
    <w:lvl w:ilvl="8" w:tentative="0">
      <w:start w:val="1"/>
      <w:numFmt w:val="lowerRoman"/>
      <w:lvlText w:val="%9."/>
      <w:lvlJc w:val="right"/>
      <w:pPr>
        <w:ind w:left="4284" w:hanging="420"/>
      </w:pPr>
    </w:lvl>
  </w:abstractNum>
  <w:abstractNum w:abstractNumId="120">
    <w:nsid w:val="78413289"/>
    <w:multiLevelType w:val="multilevel"/>
    <w:tmpl w:val="78413289"/>
    <w:lvl w:ilvl="0" w:tentative="0">
      <w:start w:val="1"/>
      <w:numFmt w:val="decimal"/>
      <w:suff w:val="space"/>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1">
    <w:nsid w:val="7A166C13"/>
    <w:multiLevelType w:val="multilevel"/>
    <w:tmpl w:val="7A166C13"/>
    <w:lvl w:ilvl="0" w:tentative="0">
      <w:start w:val="1"/>
      <w:numFmt w:val="chineseCountingThousand"/>
      <w:suff w:val="space"/>
      <w:lvlText w:val="（%1）"/>
      <w:lvlJc w:val="left"/>
      <w:pPr>
        <w:ind w:left="1129" w:hanging="420"/>
      </w:pPr>
      <w:rPr>
        <w:rFonts w:hint="eastAsia"/>
      </w:rPr>
    </w:lvl>
    <w:lvl w:ilvl="1" w:tentative="0">
      <w:start w:val="1"/>
      <w:numFmt w:val="lowerLetter"/>
      <w:lvlText w:val="%2)"/>
      <w:lvlJc w:val="left"/>
      <w:pPr>
        <w:ind w:left="909" w:hanging="420"/>
      </w:pPr>
    </w:lvl>
    <w:lvl w:ilvl="2" w:tentative="0">
      <w:start w:val="1"/>
      <w:numFmt w:val="lowerRoman"/>
      <w:lvlText w:val="%3."/>
      <w:lvlJc w:val="right"/>
      <w:pPr>
        <w:ind w:left="1329" w:hanging="420"/>
      </w:pPr>
    </w:lvl>
    <w:lvl w:ilvl="3" w:tentative="0">
      <w:start w:val="1"/>
      <w:numFmt w:val="decimal"/>
      <w:lvlText w:val="%4."/>
      <w:lvlJc w:val="left"/>
      <w:pPr>
        <w:ind w:left="1749" w:hanging="420"/>
      </w:pPr>
    </w:lvl>
    <w:lvl w:ilvl="4" w:tentative="0">
      <w:start w:val="1"/>
      <w:numFmt w:val="lowerLetter"/>
      <w:lvlText w:val="%5)"/>
      <w:lvlJc w:val="left"/>
      <w:pPr>
        <w:ind w:left="2169" w:hanging="420"/>
      </w:pPr>
    </w:lvl>
    <w:lvl w:ilvl="5" w:tentative="0">
      <w:start w:val="1"/>
      <w:numFmt w:val="lowerRoman"/>
      <w:lvlText w:val="%6."/>
      <w:lvlJc w:val="right"/>
      <w:pPr>
        <w:ind w:left="2589" w:hanging="420"/>
      </w:pPr>
    </w:lvl>
    <w:lvl w:ilvl="6" w:tentative="0">
      <w:start w:val="1"/>
      <w:numFmt w:val="decimal"/>
      <w:lvlText w:val="%7."/>
      <w:lvlJc w:val="left"/>
      <w:pPr>
        <w:ind w:left="3009" w:hanging="420"/>
      </w:pPr>
    </w:lvl>
    <w:lvl w:ilvl="7" w:tentative="0">
      <w:start w:val="1"/>
      <w:numFmt w:val="lowerLetter"/>
      <w:lvlText w:val="%8)"/>
      <w:lvlJc w:val="left"/>
      <w:pPr>
        <w:ind w:left="3429" w:hanging="420"/>
      </w:pPr>
    </w:lvl>
    <w:lvl w:ilvl="8" w:tentative="0">
      <w:start w:val="1"/>
      <w:numFmt w:val="lowerRoman"/>
      <w:lvlText w:val="%9."/>
      <w:lvlJc w:val="right"/>
      <w:pPr>
        <w:ind w:left="3849" w:hanging="420"/>
      </w:pPr>
    </w:lvl>
  </w:abstractNum>
  <w:abstractNum w:abstractNumId="122">
    <w:nsid w:val="7B7621AA"/>
    <w:multiLevelType w:val="multilevel"/>
    <w:tmpl w:val="7B7621AA"/>
    <w:lvl w:ilvl="0" w:tentative="0">
      <w:start w:val="1"/>
      <w:numFmt w:val="chineseCountingThousand"/>
      <w:suff w:val="nothing"/>
      <w:lvlText w:val="%1、"/>
      <w:lvlJc w:val="left"/>
      <w:pPr>
        <w:ind w:left="1022"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3">
    <w:nsid w:val="7C257B5F"/>
    <w:multiLevelType w:val="multilevel"/>
    <w:tmpl w:val="7C257B5F"/>
    <w:lvl w:ilvl="0" w:tentative="0">
      <w:start w:val="1"/>
      <w:numFmt w:val="decimal"/>
      <w:lvlText w:val="（%1）"/>
      <w:lvlJc w:val="left"/>
      <w:pPr>
        <w:ind w:left="1020" w:hanging="420"/>
      </w:pPr>
      <w:rPr>
        <w:rFonts w:hint="default"/>
      </w:rPr>
    </w:lvl>
    <w:lvl w:ilvl="1" w:tentative="0">
      <w:start w:val="1"/>
      <w:numFmt w:val="decimal"/>
      <w:suff w:val="nothing"/>
      <w:lvlText w:val="（%2）"/>
      <w:lvlJc w:val="left"/>
      <w:pPr>
        <w:ind w:left="1022" w:hanging="420"/>
      </w:pPr>
      <w:rPr>
        <w:rFonts w:hint="default"/>
      </w:rPr>
    </w:lvl>
    <w:lvl w:ilvl="2" w:tentative="0">
      <w:start w:val="1"/>
      <w:numFmt w:val="lowerRoman"/>
      <w:lvlText w:val="%3."/>
      <w:lvlJc w:val="right"/>
      <w:pPr>
        <w:ind w:left="1860" w:hanging="420"/>
      </w:pPr>
    </w:lvl>
    <w:lvl w:ilvl="3" w:tentative="0">
      <w:start w:val="1"/>
      <w:numFmt w:val="decimal"/>
      <w:lvlText w:val="%4."/>
      <w:lvlJc w:val="left"/>
      <w:pPr>
        <w:ind w:left="2280" w:hanging="420"/>
      </w:pPr>
    </w:lvl>
    <w:lvl w:ilvl="4" w:tentative="0">
      <w:start w:val="1"/>
      <w:numFmt w:val="lowerLetter"/>
      <w:lvlText w:val="%5)"/>
      <w:lvlJc w:val="left"/>
      <w:pPr>
        <w:ind w:left="2700" w:hanging="420"/>
      </w:pPr>
    </w:lvl>
    <w:lvl w:ilvl="5" w:tentative="0">
      <w:start w:val="1"/>
      <w:numFmt w:val="lowerRoman"/>
      <w:lvlText w:val="%6."/>
      <w:lvlJc w:val="right"/>
      <w:pPr>
        <w:ind w:left="3120" w:hanging="420"/>
      </w:pPr>
    </w:lvl>
    <w:lvl w:ilvl="6" w:tentative="0">
      <w:start w:val="1"/>
      <w:numFmt w:val="decimal"/>
      <w:lvlText w:val="%7."/>
      <w:lvlJc w:val="left"/>
      <w:pPr>
        <w:ind w:left="3540" w:hanging="420"/>
      </w:pPr>
    </w:lvl>
    <w:lvl w:ilvl="7" w:tentative="0">
      <w:start w:val="1"/>
      <w:numFmt w:val="lowerLetter"/>
      <w:lvlText w:val="%8)"/>
      <w:lvlJc w:val="left"/>
      <w:pPr>
        <w:ind w:left="3960" w:hanging="420"/>
      </w:pPr>
    </w:lvl>
    <w:lvl w:ilvl="8" w:tentative="0">
      <w:start w:val="1"/>
      <w:numFmt w:val="lowerRoman"/>
      <w:lvlText w:val="%9."/>
      <w:lvlJc w:val="right"/>
      <w:pPr>
        <w:ind w:left="4380" w:hanging="420"/>
      </w:pPr>
    </w:lvl>
  </w:abstractNum>
  <w:abstractNum w:abstractNumId="124">
    <w:nsid w:val="7D2134C0"/>
    <w:multiLevelType w:val="multilevel"/>
    <w:tmpl w:val="7D2134C0"/>
    <w:lvl w:ilvl="0" w:tentative="0">
      <w:start w:val="1"/>
      <w:numFmt w:val="chineseCountingThousand"/>
      <w:suff w:val="space"/>
      <w:lvlText w:val="（%1）"/>
      <w:lvlJc w:val="left"/>
      <w:pPr>
        <w:ind w:left="1129" w:hanging="420"/>
      </w:pPr>
      <w:rPr>
        <w:rFonts w:hint="eastAsia"/>
      </w:rPr>
    </w:lvl>
    <w:lvl w:ilvl="1" w:tentative="0">
      <w:start w:val="1"/>
      <w:numFmt w:val="lowerLetter"/>
      <w:lvlText w:val="%2)"/>
      <w:lvlJc w:val="left"/>
      <w:pPr>
        <w:ind w:left="909" w:hanging="420"/>
      </w:pPr>
    </w:lvl>
    <w:lvl w:ilvl="2" w:tentative="0">
      <w:start w:val="1"/>
      <w:numFmt w:val="lowerRoman"/>
      <w:lvlText w:val="%3."/>
      <w:lvlJc w:val="right"/>
      <w:pPr>
        <w:ind w:left="1329" w:hanging="420"/>
      </w:pPr>
    </w:lvl>
    <w:lvl w:ilvl="3" w:tentative="0">
      <w:start w:val="1"/>
      <w:numFmt w:val="decimal"/>
      <w:lvlText w:val="%4."/>
      <w:lvlJc w:val="left"/>
      <w:pPr>
        <w:ind w:left="1749" w:hanging="420"/>
      </w:pPr>
    </w:lvl>
    <w:lvl w:ilvl="4" w:tentative="0">
      <w:start w:val="1"/>
      <w:numFmt w:val="lowerLetter"/>
      <w:lvlText w:val="%5)"/>
      <w:lvlJc w:val="left"/>
      <w:pPr>
        <w:ind w:left="2169" w:hanging="420"/>
      </w:pPr>
    </w:lvl>
    <w:lvl w:ilvl="5" w:tentative="0">
      <w:start w:val="1"/>
      <w:numFmt w:val="lowerRoman"/>
      <w:lvlText w:val="%6."/>
      <w:lvlJc w:val="right"/>
      <w:pPr>
        <w:ind w:left="2589" w:hanging="420"/>
      </w:pPr>
    </w:lvl>
    <w:lvl w:ilvl="6" w:tentative="0">
      <w:start w:val="1"/>
      <w:numFmt w:val="decimal"/>
      <w:lvlText w:val="%7."/>
      <w:lvlJc w:val="left"/>
      <w:pPr>
        <w:ind w:left="3009" w:hanging="420"/>
      </w:pPr>
    </w:lvl>
    <w:lvl w:ilvl="7" w:tentative="0">
      <w:start w:val="1"/>
      <w:numFmt w:val="lowerLetter"/>
      <w:lvlText w:val="%8)"/>
      <w:lvlJc w:val="left"/>
      <w:pPr>
        <w:ind w:left="3429" w:hanging="420"/>
      </w:pPr>
    </w:lvl>
    <w:lvl w:ilvl="8" w:tentative="0">
      <w:start w:val="1"/>
      <w:numFmt w:val="lowerRoman"/>
      <w:lvlText w:val="%9."/>
      <w:lvlJc w:val="right"/>
      <w:pPr>
        <w:ind w:left="3849" w:hanging="420"/>
      </w:pPr>
    </w:lvl>
  </w:abstractNum>
  <w:abstractNum w:abstractNumId="125">
    <w:nsid w:val="7D8B18DE"/>
    <w:multiLevelType w:val="multilevel"/>
    <w:tmpl w:val="7D8B18DE"/>
    <w:lvl w:ilvl="0" w:tentative="0">
      <w:start w:val="1"/>
      <w:numFmt w:val="decimal"/>
      <w:lvlText w:val="%1."/>
      <w:lvlJc w:val="left"/>
      <w:pPr>
        <w:ind w:left="1020" w:hanging="420"/>
      </w:pPr>
    </w:lvl>
    <w:lvl w:ilvl="1" w:tentative="0">
      <w:start w:val="1"/>
      <w:numFmt w:val="lowerLetter"/>
      <w:lvlText w:val="%2)"/>
      <w:lvlJc w:val="left"/>
      <w:pPr>
        <w:ind w:left="1440" w:hanging="420"/>
      </w:pPr>
    </w:lvl>
    <w:lvl w:ilvl="2" w:tentative="0">
      <w:start w:val="1"/>
      <w:numFmt w:val="decimal"/>
      <w:suff w:val="space"/>
      <w:lvlText w:val="%3."/>
      <w:lvlJc w:val="left"/>
      <w:pPr>
        <w:ind w:left="1860" w:hanging="420"/>
      </w:pPr>
      <w:rPr>
        <w:rFonts w:hint="eastAsia"/>
      </w:rPr>
    </w:lvl>
    <w:lvl w:ilvl="3" w:tentative="0">
      <w:start w:val="1"/>
      <w:numFmt w:val="decimal"/>
      <w:lvlText w:val="%4."/>
      <w:lvlJc w:val="left"/>
      <w:pPr>
        <w:ind w:left="2280" w:hanging="420"/>
      </w:pPr>
    </w:lvl>
    <w:lvl w:ilvl="4" w:tentative="0">
      <w:start w:val="1"/>
      <w:numFmt w:val="lowerLetter"/>
      <w:lvlText w:val="%5)"/>
      <w:lvlJc w:val="left"/>
      <w:pPr>
        <w:ind w:left="2700" w:hanging="420"/>
      </w:pPr>
    </w:lvl>
    <w:lvl w:ilvl="5" w:tentative="0">
      <w:start w:val="1"/>
      <w:numFmt w:val="lowerRoman"/>
      <w:lvlText w:val="%6."/>
      <w:lvlJc w:val="right"/>
      <w:pPr>
        <w:ind w:left="3120" w:hanging="420"/>
      </w:pPr>
    </w:lvl>
    <w:lvl w:ilvl="6" w:tentative="0">
      <w:start w:val="1"/>
      <w:numFmt w:val="decimal"/>
      <w:lvlText w:val="%7."/>
      <w:lvlJc w:val="left"/>
      <w:pPr>
        <w:ind w:left="3540" w:hanging="420"/>
      </w:pPr>
    </w:lvl>
    <w:lvl w:ilvl="7" w:tentative="0">
      <w:start w:val="1"/>
      <w:numFmt w:val="lowerLetter"/>
      <w:lvlText w:val="%8)"/>
      <w:lvlJc w:val="left"/>
      <w:pPr>
        <w:ind w:left="3960" w:hanging="420"/>
      </w:pPr>
    </w:lvl>
    <w:lvl w:ilvl="8" w:tentative="0">
      <w:start w:val="1"/>
      <w:numFmt w:val="lowerRoman"/>
      <w:lvlText w:val="%9."/>
      <w:lvlJc w:val="right"/>
      <w:pPr>
        <w:ind w:left="4380" w:hanging="420"/>
      </w:pPr>
    </w:lvl>
  </w:abstractNum>
  <w:abstractNum w:abstractNumId="126">
    <w:nsid w:val="7E1A7582"/>
    <w:multiLevelType w:val="multilevel"/>
    <w:tmpl w:val="7E1A7582"/>
    <w:lvl w:ilvl="0" w:tentative="0">
      <w:start w:val="1"/>
      <w:numFmt w:val="chineseCountingThousand"/>
      <w:suff w:val="space"/>
      <w:lvlText w:val="（%1）"/>
      <w:lvlJc w:val="left"/>
      <w:pPr>
        <w:ind w:left="1129" w:hanging="420"/>
      </w:pPr>
      <w:rPr>
        <w:rFonts w:hint="eastAsia"/>
      </w:rPr>
    </w:lvl>
    <w:lvl w:ilvl="1" w:tentative="0">
      <w:start w:val="1"/>
      <w:numFmt w:val="lowerLetter"/>
      <w:lvlText w:val="%2)"/>
      <w:lvlJc w:val="left"/>
      <w:pPr>
        <w:ind w:left="909" w:hanging="420"/>
      </w:pPr>
    </w:lvl>
    <w:lvl w:ilvl="2" w:tentative="0">
      <w:start w:val="1"/>
      <w:numFmt w:val="lowerRoman"/>
      <w:lvlText w:val="%3."/>
      <w:lvlJc w:val="right"/>
      <w:pPr>
        <w:ind w:left="1329" w:hanging="420"/>
      </w:pPr>
    </w:lvl>
    <w:lvl w:ilvl="3" w:tentative="0">
      <w:start w:val="1"/>
      <w:numFmt w:val="decimal"/>
      <w:lvlText w:val="%4."/>
      <w:lvlJc w:val="left"/>
      <w:pPr>
        <w:ind w:left="1749" w:hanging="420"/>
      </w:pPr>
    </w:lvl>
    <w:lvl w:ilvl="4" w:tentative="0">
      <w:start w:val="1"/>
      <w:numFmt w:val="lowerLetter"/>
      <w:lvlText w:val="%5)"/>
      <w:lvlJc w:val="left"/>
      <w:pPr>
        <w:ind w:left="2169" w:hanging="420"/>
      </w:pPr>
    </w:lvl>
    <w:lvl w:ilvl="5" w:tentative="0">
      <w:start w:val="1"/>
      <w:numFmt w:val="lowerRoman"/>
      <w:lvlText w:val="%6."/>
      <w:lvlJc w:val="right"/>
      <w:pPr>
        <w:ind w:left="2589" w:hanging="420"/>
      </w:pPr>
    </w:lvl>
    <w:lvl w:ilvl="6" w:tentative="0">
      <w:start w:val="1"/>
      <w:numFmt w:val="decimal"/>
      <w:lvlText w:val="%7."/>
      <w:lvlJc w:val="left"/>
      <w:pPr>
        <w:ind w:left="3009" w:hanging="420"/>
      </w:pPr>
    </w:lvl>
    <w:lvl w:ilvl="7" w:tentative="0">
      <w:start w:val="1"/>
      <w:numFmt w:val="lowerLetter"/>
      <w:lvlText w:val="%8)"/>
      <w:lvlJc w:val="left"/>
      <w:pPr>
        <w:ind w:left="3429" w:hanging="420"/>
      </w:pPr>
    </w:lvl>
    <w:lvl w:ilvl="8" w:tentative="0">
      <w:start w:val="1"/>
      <w:numFmt w:val="lowerRoman"/>
      <w:lvlText w:val="%9."/>
      <w:lvlJc w:val="right"/>
      <w:pPr>
        <w:ind w:left="3849" w:hanging="420"/>
      </w:pPr>
    </w:lvl>
  </w:abstractNum>
  <w:abstractNum w:abstractNumId="127">
    <w:nsid w:val="7ED45367"/>
    <w:multiLevelType w:val="multilevel"/>
    <w:tmpl w:val="7ED45367"/>
    <w:lvl w:ilvl="0" w:tentative="0">
      <w:start w:val="1"/>
      <w:numFmt w:val="chineseCountingThousand"/>
      <w:suff w:val="space"/>
      <w:lvlText w:val="（%1）"/>
      <w:lvlJc w:val="left"/>
      <w:pPr>
        <w:ind w:left="1129" w:hanging="420"/>
      </w:pPr>
      <w:rPr>
        <w:rFonts w:hint="eastAsia"/>
      </w:rPr>
    </w:lvl>
    <w:lvl w:ilvl="1" w:tentative="0">
      <w:start w:val="1"/>
      <w:numFmt w:val="lowerLetter"/>
      <w:lvlText w:val="%2)"/>
      <w:lvlJc w:val="left"/>
      <w:pPr>
        <w:ind w:left="909" w:hanging="420"/>
      </w:pPr>
    </w:lvl>
    <w:lvl w:ilvl="2" w:tentative="0">
      <w:start w:val="1"/>
      <w:numFmt w:val="lowerRoman"/>
      <w:lvlText w:val="%3."/>
      <w:lvlJc w:val="right"/>
      <w:pPr>
        <w:ind w:left="1329" w:hanging="420"/>
      </w:pPr>
    </w:lvl>
    <w:lvl w:ilvl="3" w:tentative="0">
      <w:start w:val="1"/>
      <w:numFmt w:val="decimal"/>
      <w:lvlText w:val="%4."/>
      <w:lvlJc w:val="left"/>
      <w:pPr>
        <w:ind w:left="1749" w:hanging="420"/>
      </w:pPr>
    </w:lvl>
    <w:lvl w:ilvl="4" w:tentative="0">
      <w:start w:val="1"/>
      <w:numFmt w:val="lowerLetter"/>
      <w:lvlText w:val="%5)"/>
      <w:lvlJc w:val="left"/>
      <w:pPr>
        <w:ind w:left="2169" w:hanging="420"/>
      </w:pPr>
    </w:lvl>
    <w:lvl w:ilvl="5" w:tentative="0">
      <w:start w:val="1"/>
      <w:numFmt w:val="lowerRoman"/>
      <w:lvlText w:val="%6."/>
      <w:lvlJc w:val="right"/>
      <w:pPr>
        <w:ind w:left="2589" w:hanging="420"/>
      </w:pPr>
    </w:lvl>
    <w:lvl w:ilvl="6" w:tentative="0">
      <w:start w:val="1"/>
      <w:numFmt w:val="decimal"/>
      <w:lvlText w:val="%7."/>
      <w:lvlJc w:val="left"/>
      <w:pPr>
        <w:ind w:left="3009" w:hanging="420"/>
      </w:pPr>
    </w:lvl>
    <w:lvl w:ilvl="7" w:tentative="0">
      <w:start w:val="1"/>
      <w:numFmt w:val="lowerLetter"/>
      <w:lvlText w:val="%8)"/>
      <w:lvlJc w:val="left"/>
      <w:pPr>
        <w:ind w:left="3429" w:hanging="420"/>
      </w:pPr>
    </w:lvl>
    <w:lvl w:ilvl="8" w:tentative="0">
      <w:start w:val="1"/>
      <w:numFmt w:val="lowerRoman"/>
      <w:lvlText w:val="%9."/>
      <w:lvlJc w:val="right"/>
      <w:pPr>
        <w:ind w:left="3849" w:hanging="420"/>
      </w:pPr>
    </w:lvl>
  </w:abstractNum>
  <w:abstractNum w:abstractNumId="128">
    <w:nsid w:val="7FBF03DB"/>
    <w:multiLevelType w:val="multilevel"/>
    <w:tmpl w:val="7FBF03DB"/>
    <w:lvl w:ilvl="0" w:tentative="0">
      <w:start w:val="1"/>
      <w:numFmt w:val="decimal"/>
      <w:lvlText w:val="%1."/>
      <w:lvlJc w:val="left"/>
      <w:pPr>
        <w:ind w:left="1129" w:hanging="420"/>
      </w:pPr>
      <w:rPr>
        <w:rFonts w:hint="eastAsia"/>
      </w:r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num w:numId="1">
    <w:abstractNumId w:val="37"/>
  </w:num>
  <w:num w:numId="2">
    <w:abstractNumId w:val="97"/>
  </w:num>
  <w:num w:numId="3">
    <w:abstractNumId w:val="49"/>
  </w:num>
  <w:num w:numId="4">
    <w:abstractNumId w:val="86"/>
  </w:num>
  <w:num w:numId="5">
    <w:abstractNumId w:val="39"/>
  </w:num>
  <w:num w:numId="6">
    <w:abstractNumId w:val="24"/>
  </w:num>
  <w:num w:numId="7">
    <w:abstractNumId w:val="6"/>
  </w:num>
  <w:num w:numId="8">
    <w:abstractNumId w:val="31"/>
  </w:num>
  <w:num w:numId="9">
    <w:abstractNumId w:val="74"/>
  </w:num>
  <w:num w:numId="10">
    <w:abstractNumId w:val="62"/>
  </w:num>
  <w:num w:numId="11">
    <w:abstractNumId w:val="38"/>
  </w:num>
  <w:num w:numId="12">
    <w:abstractNumId w:val="122"/>
  </w:num>
  <w:num w:numId="13">
    <w:abstractNumId w:val="51"/>
  </w:num>
  <w:num w:numId="14">
    <w:abstractNumId w:val="8"/>
  </w:num>
  <w:num w:numId="15">
    <w:abstractNumId w:val="48"/>
  </w:num>
  <w:num w:numId="16">
    <w:abstractNumId w:val="104"/>
  </w:num>
  <w:num w:numId="17">
    <w:abstractNumId w:val="82"/>
  </w:num>
  <w:num w:numId="18">
    <w:abstractNumId w:val="35"/>
  </w:num>
  <w:num w:numId="19">
    <w:abstractNumId w:val="65"/>
  </w:num>
  <w:num w:numId="20">
    <w:abstractNumId w:val="75"/>
  </w:num>
  <w:num w:numId="21">
    <w:abstractNumId w:val="99"/>
  </w:num>
  <w:num w:numId="22">
    <w:abstractNumId w:val="115"/>
  </w:num>
  <w:num w:numId="23">
    <w:abstractNumId w:val="70"/>
  </w:num>
  <w:num w:numId="24">
    <w:abstractNumId w:val="76"/>
  </w:num>
  <w:num w:numId="25">
    <w:abstractNumId w:val="106"/>
  </w:num>
  <w:num w:numId="26">
    <w:abstractNumId w:val="116"/>
  </w:num>
  <w:num w:numId="27">
    <w:abstractNumId w:val="125"/>
  </w:num>
  <w:num w:numId="28">
    <w:abstractNumId w:val="44"/>
  </w:num>
  <w:num w:numId="29">
    <w:abstractNumId w:val="107"/>
  </w:num>
  <w:num w:numId="30">
    <w:abstractNumId w:val="79"/>
  </w:num>
  <w:num w:numId="31">
    <w:abstractNumId w:val="123"/>
  </w:num>
  <w:num w:numId="32">
    <w:abstractNumId w:val="1"/>
  </w:num>
  <w:num w:numId="33">
    <w:abstractNumId w:val="17"/>
  </w:num>
  <w:num w:numId="34">
    <w:abstractNumId w:val="5"/>
  </w:num>
  <w:num w:numId="35">
    <w:abstractNumId w:val="32"/>
  </w:num>
  <w:num w:numId="36">
    <w:abstractNumId w:val="85"/>
  </w:num>
  <w:num w:numId="37">
    <w:abstractNumId w:val="26"/>
  </w:num>
  <w:num w:numId="38">
    <w:abstractNumId w:val="56"/>
  </w:num>
  <w:num w:numId="39">
    <w:abstractNumId w:val="41"/>
  </w:num>
  <w:num w:numId="40">
    <w:abstractNumId w:val="34"/>
  </w:num>
  <w:num w:numId="41">
    <w:abstractNumId w:val="101"/>
  </w:num>
  <w:num w:numId="42">
    <w:abstractNumId w:val="113"/>
  </w:num>
  <w:num w:numId="43">
    <w:abstractNumId w:val="93"/>
  </w:num>
  <w:num w:numId="44">
    <w:abstractNumId w:val="111"/>
  </w:num>
  <w:num w:numId="45">
    <w:abstractNumId w:val="58"/>
  </w:num>
  <w:num w:numId="46">
    <w:abstractNumId w:val="80"/>
  </w:num>
  <w:num w:numId="47">
    <w:abstractNumId w:val="127"/>
  </w:num>
  <w:num w:numId="48">
    <w:abstractNumId w:val="89"/>
  </w:num>
  <w:num w:numId="49">
    <w:abstractNumId w:val="128"/>
  </w:num>
  <w:num w:numId="50">
    <w:abstractNumId w:val="84"/>
  </w:num>
  <w:num w:numId="51">
    <w:abstractNumId w:val="53"/>
  </w:num>
  <w:num w:numId="52">
    <w:abstractNumId w:val="3"/>
  </w:num>
  <w:num w:numId="53">
    <w:abstractNumId w:val="50"/>
  </w:num>
  <w:num w:numId="54">
    <w:abstractNumId w:val="66"/>
  </w:num>
  <w:num w:numId="55">
    <w:abstractNumId w:val="103"/>
  </w:num>
  <w:num w:numId="56">
    <w:abstractNumId w:val="72"/>
  </w:num>
  <w:num w:numId="57">
    <w:abstractNumId w:val="124"/>
  </w:num>
  <w:num w:numId="58">
    <w:abstractNumId w:val="47"/>
  </w:num>
  <w:num w:numId="59">
    <w:abstractNumId w:val="27"/>
  </w:num>
  <w:num w:numId="60">
    <w:abstractNumId w:val="10"/>
  </w:num>
  <w:num w:numId="61">
    <w:abstractNumId w:val="22"/>
  </w:num>
  <w:num w:numId="62">
    <w:abstractNumId w:val="81"/>
  </w:num>
  <w:num w:numId="63">
    <w:abstractNumId w:val="13"/>
  </w:num>
  <w:num w:numId="64">
    <w:abstractNumId w:val="73"/>
  </w:num>
  <w:num w:numId="65">
    <w:abstractNumId w:val="43"/>
  </w:num>
  <w:num w:numId="66">
    <w:abstractNumId w:val="118"/>
  </w:num>
  <w:num w:numId="67">
    <w:abstractNumId w:val="98"/>
  </w:num>
  <w:num w:numId="68">
    <w:abstractNumId w:val="11"/>
  </w:num>
  <w:num w:numId="69">
    <w:abstractNumId w:val="91"/>
  </w:num>
  <w:num w:numId="70">
    <w:abstractNumId w:val="60"/>
  </w:num>
  <w:num w:numId="71">
    <w:abstractNumId w:val="21"/>
  </w:num>
  <w:num w:numId="72">
    <w:abstractNumId w:val="2"/>
  </w:num>
  <w:num w:numId="73">
    <w:abstractNumId w:val="92"/>
  </w:num>
  <w:num w:numId="74">
    <w:abstractNumId w:val="63"/>
  </w:num>
  <w:num w:numId="75">
    <w:abstractNumId w:val="0"/>
  </w:num>
  <w:num w:numId="76">
    <w:abstractNumId w:val="12"/>
  </w:num>
  <w:num w:numId="77">
    <w:abstractNumId w:val="68"/>
  </w:num>
  <w:num w:numId="78">
    <w:abstractNumId w:val="96"/>
  </w:num>
  <w:num w:numId="79">
    <w:abstractNumId w:val="57"/>
  </w:num>
  <w:num w:numId="80">
    <w:abstractNumId w:val="25"/>
  </w:num>
  <w:num w:numId="81">
    <w:abstractNumId w:val="67"/>
  </w:num>
  <w:num w:numId="82">
    <w:abstractNumId w:val="69"/>
  </w:num>
  <w:num w:numId="83">
    <w:abstractNumId w:val="64"/>
  </w:num>
  <w:num w:numId="84">
    <w:abstractNumId w:val="59"/>
  </w:num>
  <w:num w:numId="85">
    <w:abstractNumId w:val="126"/>
  </w:num>
  <w:num w:numId="86">
    <w:abstractNumId w:val="78"/>
  </w:num>
  <w:num w:numId="87">
    <w:abstractNumId w:val="15"/>
  </w:num>
  <w:num w:numId="88">
    <w:abstractNumId w:val="61"/>
  </w:num>
  <w:num w:numId="89">
    <w:abstractNumId w:val="4"/>
  </w:num>
  <w:num w:numId="90">
    <w:abstractNumId w:val="52"/>
  </w:num>
  <w:num w:numId="91">
    <w:abstractNumId w:val="30"/>
  </w:num>
  <w:num w:numId="92">
    <w:abstractNumId w:val="28"/>
  </w:num>
  <w:num w:numId="93">
    <w:abstractNumId w:val="121"/>
  </w:num>
  <w:num w:numId="94">
    <w:abstractNumId w:val="19"/>
  </w:num>
  <w:num w:numId="95">
    <w:abstractNumId w:val="18"/>
  </w:num>
  <w:num w:numId="96">
    <w:abstractNumId w:val="16"/>
  </w:num>
  <w:num w:numId="97">
    <w:abstractNumId w:val="7"/>
  </w:num>
  <w:num w:numId="98">
    <w:abstractNumId w:val="94"/>
  </w:num>
  <w:num w:numId="99">
    <w:abstractNumId w:val="20"/>
  </w:num>
  <w:num w:numId="100">
    <w:abstractNumId w:val="105"/>
  </w:num>
  <w:num w:numId="101">
    <w:abstractNumId w:val="109"/>
  </w:num>
  <w:num w:numId="102">
    <w:abstractNumId w:val="95"/>
  </w:num>
  <w:num w:numId="103">
    <w:abstractNumId w:val="112"/>
  </w:num>
  <w:num w:numId="104">
    <w:abstractNumId w:val="77"/>
  </w:num>
  <w:num w:numId="105">
    <w:abstractNumId w:val="90"/>
  </w:num>
  <w:num w:numId="106">
    <w:abstractNumId w:val="114"/>
  </w:num>
  <w:num w:numId="107">
    <w:abstractNumId w:val="119"/>
  </w:num>
  <w:num w:numId="108">
    <w:abstractNumId w:val="54"/>
  </w:num>
  <w:num w:numId="109">
    <w:abstractNumId w:val="100"/>
  </w:num>
  <w:num w:numId="110">
    <w:abstractNumId w:val="88"/>
  </w:num>
  <w:num w:numId="111">
    <w:abstractNumId w:val="102"/>
  </w:num>
  <w:num w:numId="112">
    <w:abstractNumId w:val="108"/>
  </w:num>
  <w:num w:numId="113">
    <w:abstractNumId w:val="110"/>
  </w:num>
  <w:num w:numId="114">
    <w:abstractNumId w:val="46"/>
  </w:num>
  <w:num w:numId="115">
    <w:abstractNumId w:val="23"/>
  </w:num>
  <w:num w:numId="116">
    <w:abstractNumId w:val="45"/>
  </w:num>
  <w:num w:numId="117">
    <w:abstractNumId w:val="36"/>
  </w:num>
  <w:num w:numId="118">
    <w:abstractNumId w:val="117"/>
  </w:num>
  <w:num w:numId="119">
    <w:abstractNumId w:val="9"/>
  </w:num>
  <w:num w:numId="120">
    <w:abstractNumId w:val="55"/>
  </w:num>
  <w:num w:numId="121">
    <w:abstractNumId w:val="87"/>
  </w:num>
  <w:num w:numId="122">
    <w:abstractNumId w:val="71"/>
  </w:num>
  <w:num w:numId="123">
    <w:abstractNumId w:val="40"/>
  </w:num>
  <w:num w:numId="124">
    <w:abstractNumId w:val="33"/>
  </w:num>
  <w:num w:numId="125">
    <w:abstractNumId w:val="83"/>
  </w:num>
  <w:num w:numId="126">
    <w:abstractNumId w:val="14"/>
  </w:num>
  <w:num w:numId="127">
    <w:abstractNumId w:val="120"/>
  </w:num>
  <w:num w:numId="128">
    <w:abstractNumId w:val="42"/>
  </w:num>
  <w:num w:numId="129">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mirrorMargin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readOnly" w:enforcement="0"/>
  <w:defaultTabStop w:val="425"/>
  <w:evenAndOddHeaders w:val="1"/>
  <w:drawingGridHorizontalSpacing w:val="105"/>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1137E"/>
    <w:rsid w:val="00000668"/>
    <w:rsid w:val="00002537"/>
    <w:rsid w:val="00003DB9"/>
    <w:rsid w:val="00004290"/>
    <w:rsid w:val="00004678"/>
    <w:rsid w:val="00005FD2"/>
    <w:rsid w:val="00007520"/>
    <w:rsid w:val="00010810"/>
    <w:rsid w:val="00010EBB"/>
    <w:rsid w:val="000117E5"/>
    <w:rsid w:val="00012C95"/>
    <w:rsid w:val="000131D3"/>
    <w:rsid w:val="00013ED1"/>
    <w:rsid w:val="00014692"/>
    <w:rsid w:val="00015163"/>
    <w:rsid w:val="00015BCD"/>
    <w:rsid w:val="000164C7"/>
    <w:rsid w:val="00017954"/>
    <w:rsid w:val="00020C9E"/>
    <w:rsid w:val="0002131C"/>
    <w:rsid w:val="00021EDA"/>
    <w:rsid w:val="00022D31"/>
    <w:rsid w:val="00024BE4"/>
    <w:rsid w:val="00024EBE"/>
    <w:rsid w:val="000254D6"/>
    <w:rsid w:val="00025BF4"/>
    <w:rsid w:val="000264FC"/>
    <w:rsid w:val="000269A6"/>
    <w:rsid w:val="000276D1"/>
    <w:rsid w:val="00027DFD"/>
    <w:rsid w:val="00030E9A"/>
    <w:rsid w:val="00030F34"/>
    <w:rsid w:val="00030F6A"/>
    <w:rsid w:val="000318BC"/>
    <w:rsid w:val="00031D3A"/>
    <w:rsid w:val="0003493B"/>
    <w:rsid w:val="00036347"/>
    <w:rsid w:val="00036874"/>
    <w:rsid w:val="0003759C"/>
    <w:rsid w:val="000404E9"/>
    <w:rsid w:val="00041341"/>
    <w:rsid w:val="00042297"/>
    <w:rsid w:val="00042358"/>
    <w:rsid w:val="00042B88"/>
    <w:rsid w:val="000440B5"/>
    <w:rsid w:val="00044142"/>
    <w:rsid w:val="00046FBF"/>
    <w:rsid w:val="0005042C"/>
    <w:rsid w:val="00050438"/>
    <w:rsid w:val="00051C9F"/>
    <w:rsid w:val="00054EA2"/>
    <w:rsid w:val="00056520"/>
    <w:rsid w:val="000569B6"/>
    <w:rsid w:val="00056ABC"/>
    <w:rsid w:val="0006130E"/>
    <w:rsid w:val="000643CF"/>
    <w:rsid w:val="000650EE"/>
    <w:rsid w:val="00066380"/>
    <w:rsid w:val="00067CFE"/>
    <w:rsid w:val="000704EE"/>
    <w:rsid w:val="000726C4"/>
    <w:rsid w:val="00072946"/>
    <w:rsid w:val="000731B1"/>
    <w:rsid w:val="00073495"/>
    <w:rsid w:val="00073A73"/>
    <w:rsid w:val="00073D4C"/>
    <w:rsid w:val="000750CA"/>
    <w:rsid w:val="00075715"/>
    <w:rsid w:val="000757C4"/>
    <w:rsid w:val="00075858"/>
    <w:rsid w:val="00076206"/>
    <w:rsid w:val="00076637"/>
    <w:rsid w:val="000769DB"/>
    <w:rsid w:val="000770EA"/>
    <w:rsid w:val="00077546"/>
    <w:rsid w:val="00077F03"/>
    <w:rsid w:val="00081193"/>
    <w:rsid w:val="00082169"/>
    <w:rsid w:val="00083D0B"/>
    <w:rsid w:val="00083F1F"/>
    <w:rsid w:val="00084DB4"/>
    <w:rsid w:val="00084F0E"/>
    <w:rsid w:val="0008536C"/>
    <w:rsid w:val="00086370"/>
    <w:rsid w:val="00090FE9"/>
    <w:rsid w:val="000927CB"/>
    <w:rsid w:val="000930E7"/>
    <w:rsid w:val="00093DDE"/>
    <w:rsid w:val="0009421A"/>
    <w:rsid w:val="000945A9"/>
    <w:rsid w:val="000946E2"/>
    <w:rsid w:val="0009473F"/>
    <w:rsid w:val="0009575D"/>
    <w:rsid w:val="000962A0"/>
    <w:rsid w:val="00097029"/>
    <w:rsid w:val="000974BA"/>
    <w:rsid w:val="00097E6E"/>
    <w:rsid w:val="00097E8F"/>
    <w:rsid w:val="000A1902"/>
    <w:rsid w:val="000A2F02"/>
    <w:rsid w:val="000A33BC"/>
    <w:rsid w:val="000A3534"/>
    <w:rsid w:val="000A41C3"/>
    <w:rsid w:val="000A4411"/>
    <w:rsid w:val="000A5491"/>
    <w:rsid w:val="000A5754"/>
    <w:rsid w:val="000A60C7"/>
    <w:rsid w:val="000A730F"/>
    <w:rsid w:val="000A753A"/>
    <w:rsid w:val="000B10FE"/>
    <w:rsid w:val="000B12A8"/>
    <w:rsid w:val="000B12FD"/>
    <w:rsid w:val="000B2018"/>
    <w:rsid w:val="000B2494"/>
    <w:rsid w:val="000B5F64"/>
    <w:rsid w:val="000B62D3"/>
    <w:rsid w:val="000B6F01"/>
    <w:rsid w:val="000C0AD9"/>
    <w:rsid w:val="000C318F"/>
    <w:rsid w:val="000C3570"/>
    <w:rsid w:val="000C35BA"/>
    <w:rsid w:val="000C3FC9"/>
    <w:rsid w:val="000C42D8"/>
    <w:rsid w:val="000C51E1"/>
    <w:rsid w:val="000C5C9F"/>
    <w:rsid w:val="000C6055"/>
    <w:rsid w:val="000C628E"/>
    <w:rsid w:val="000C64C9"/>
    <w:rsid w:val="000C65D1"/>
    <w:rsid w:val="000C66C2"/>
    <w:rsid w:val="000C7428"/>
    <w:rsid w:val="000D13F2"/>
    <w:rsid w:val="000D1FC3"/>
    <w:rsid w:val="000D2A50"/>
    <w:rsid w:val="000D2EC5"/>
    <w:rsid w:val="000D3768"/>
    <w:rsid w:val="000D395A"/>
    <w:rsid w:val="000D503C"/>
    <w:rsid w:val="000E0C4F"/>
    <w:rsid w:val="000E0E94"/>
    <w:rsid w:val="000E3856"/>
    <w:rsid w:val="000E4E80"/>
    <w:rsid w:val="000E5456"/>
    <w:rsid w:val="000E6827"/>
    <w:rsid w:val="000E7DC7"/>
    <w:rsid w:val="000E7DF0"/>
    <w:rsid w:val="000F032C"/>
    <w:rsid w:val="000F1514"/>
    <w:rsid w:val="000F1DD8"/>
    <w:rsid w:val="000F2123"/>
    <w:rsid w:val="000F2C41"/>
    <w:rsid w:val="000F3E7A"/>
    <w:rsid w:val="000F46AA"/>
    <w:rsid w:val="000F65CF"/>
    <w:rsid w:val="000F664A"/>
    <w:rsid w:val="000F6E93"/>
    <w:rsid w:val="000F738F"/>
    <w:rsid w:val="000F7563"/>
    <w:rsid w:val="000F7D89"/>
    <w:rsid w:val="001029B4"/>
    <w:rsid w:val="00102E13"/>
    <w:rsid w:val="00104A02"/>
    <w:rsid w:val="00105AD7"/>
    <w:rsid w:val="001077D0"/>
    <w:rsid w:val="001118B6"/>
    <w:rsid w:val="00111B77"/>
    <w:rsid w:val="00112C36"/>
    <w:rsid w:val="00114621"/>
    <w:rsid w:val="001166FF"/>
    <w:rsid w:val="0011755A"/>
    <w:rsid w:val="00122F0A"/>
    <w:rsid w:val="001231E3"/>
    <w:rsid w:val="00124083"/>
    <w:rsid w:val="00124841"/>
    <w:rsid w:val="00125363"/>
    <w:rsid w:val="00125705"/>
    <w:rsid w:val="00125833"/>
    <w:rsid w:val="001261D6"/>
    <w:rsid w:val="0013056F"/>
    <w:rsid w:val="00130898"/>
    <w:rsid w:val="0013528E"/>
    <w:rsid w:val="001357DD"/>
    <w:rsid w:val="001367BE"/>
    <w:rsid w:val="001379E5"/>
    <w:rsid w:val="00140130"/>
    <w:rsid w:val="001422F2"/>
    <w:rsid w:val="001424CB"/>
    <w:rsid w:val="00142C62"/>
    <w:rsid w:val="00142E1E"/>
    <w:rsid w:val="00143F9C"/>
    <w:rsid w:val="001442C0"/>
    <w:rsid w:val="0014535E"/>
    <w:rsid w:val="00145D40"/>
    <w:rsid w:val="00146C76"/>
    <w:rsid w:val="001471A0"/>
    <w:rsid w:val="0015077A"/>
    <w:rsid w:val="00150902"/>
    <w:rsid w:val="00150D07"/>
    <w:rsid w:val="0015159F"/>
    <w:rsid w:val="00153132"/>
    <w:rsid w:val="00153458"/>
    <w:rsid w:val="001553D7"/>
    <w:rsid w:val="00155676"/>
    <w:rsid w:val="001558C1"/>
    <w:rsid w:val="00155DCE"/>
    <w:rsid w:val="001571A5"/>
    <w:rsid w:val="00157643"/>
    <w:rsid w:val="00157A6D"/>
    <w:rsid w:val="001611E0"/>
    <w:rsid w:val="00161696"/>
    <w:rsid w:val="001617E2"/>
    <w:rsid w:val="0016225D"/>
    <w:rsid w:val="0016339C"/>
    <w:rsid w:val="00164025"/>
    <w:rsid w:val="001644DB"/>
    <w:rsid w:val="00164FB9"/>
    <w:rsid w:val="001650CB"/>
    <w:rsid w:val="00166001"/>
    <w:rsid w:val="001661BA"/>
    <w:rsid w:val="00171FBD"/>
    <w:rsid w:val="00174E38"/>
    <w:rsid w:val="00175153"/>
    <w:rsid w:val="0017555F"/>
    <w:rsid w:val="0017645D"/>
    <w:rsid w:val="00176553"/>
    <w:rsid w:val="001766C4"/>
    <w:rsid w:val="00177B2E"/>
    <w:rsid w:val="001805B2"/>
    <w:rsid w:val="001808BE"/>
    <w:rsid w:val="0018102F"/>
    <w:rsid w:val="001817C3"/>
    <w:rsid w:val="00182B52"/>
    <w:rsid w:val="00184187"/>
    <w:rsid w:val="00187F03"/>
    <w:rsid w:val="0019003F"/>
    <w:rsid w:val="00190798"/>
    <w:rsid w:val="001913CA"/>
    <w:rsid w:val="001923A4"/>
    <w:rsid w:val="00192B0E"/>
    <w:rsid w:val="0019317C"/>
    <w:rsid w:val="0019425E"/>
    <w:rsid w:val="0019448E"/>
    <w:rsid w:val="001949B2"/>
    <w:rsid w:val="00195054"/>
    <w:rsid w:val="001A009B"/>
    <w:rsid w:val="001A19C8"/>
    <w:rsid w:val="001A2E63"/>
    <w:rsid w:val="001A43C0"/>
    <w:rsid w:val="001A5478"/>
    <w:rsid w:val="001A61EA"/>
    <w:rsid w:val="001A6458"/>
    <w:rsid w:val="001B030B"/>
    <w:rsid w:val="001B1B8F"/>
    <w:rsid w:val="001B2AB0"/>
    <w:rsid w:val="001B3163"/>
    <w:rsid w:val="001B396D"/>
    <w:rsid w:val="001B51BC"/>
    <w:rsid w:val="001B5411"/>
    <w:rsid w:val="001B6784"/>
    <w:rsid w:val="001B6B70"/>
    <w:rsid w:val="001B6BC1"/>
    <w:rsid w:val="001B6D65"/>
    <w:rsid w:val="001C10EB"/>
    <w:rsid w:val="001C115C"/>
    <w:rsid w:val="001C20B7"/>
    <w:rsid w:val="001C27F7"/>
    <w:rsid w:val="001C2F2F"/>
    <w:rsid w:val="001C4DCD"/>
    <w:rsid w:val="001C4F21"/>
    <w:rsid w:val="001C56E1"/>
    <w:rsid w:val="001C5791"/>
    <w:rsid w:val="001C750E"/>
    <w:rsid w:val="001C7BC3"/>
    <w:rsid w:val="001C7CB7"/>
    <w:rsid w:val="001D24FE"/>
    <w:rsid w:val="001D2F9A"/>
    <w:rsid w:val="001D41BF"/>
    <w:rsid w:val="001D4B8B"/>
    <w:rsid w:val="001D534B"/>
    <w:rsid w:val="001D592D"/>
    <w:rsid w:val="001D67B3"/>
    <w:rsid w:val="001D7612"/>
    <w:rsid w:val="001E0545"/>
    <w:rsid w:val="001E1127"/>
    <w:rsid w:val="001E1D0B"/>
    <w:rsid w:val="001E21F0"/>
    <w:rsid w:val="001E248B"/>
    <w:rsid w:val="001E2EAE"/>
    <w:rsid w:val="001E3490"/>
    <w:rsid w:val="001E6299"/>
    <w:rsid w:val="001E6773"/>
    <w:rsid w:val="001E6DF6"/>
    <w:rsid w:val="001E704E"/>
    <w:rsid w:val="001E72E7"/>
    <w:rsid w:val="001E7619"/>
    <w:rsid w:val="001F0180"/>
    <w:rsid w:val="001F2856"/>
    <w:rsid w:val="001F3D11"/>
    <w:rsid w:val="001F5301"/>
    <w:rsid w:val="001F75F0"/>
    <w:rsid w:val="001F791D"/>
    <w:rsid w:val="002002A2"/>
    <w:rsid w:val="0020121C"/>
    <w:rsid w:val="002013FE"/>
    <w:rsid w:val="0020384B"/>
    <w:rsid w:val="00204796"/>
    <w:rsid w:val="00205E69"/>
    <w:rsid w:val="00206797"/>
    <w:rsid w:val="0020763B"/>
    <w:rsid w:val="00210728"/>
    <w:rsid w:val="00211230"/>
    <w:rsid w:val="00212CCC"/>
    <w:rsid w:val="0021319E"/>
    <w:rsid w:val="00214076"/>
    <w:rsid w:val="002157DB"/>
    <w:rsid w:val="00216F52"/>
    <w:rsid w:val="00217086"/>
    <w:rsid w:val="0021725C"/>
    <w:rsid w:val="002205CE"/>
    <w:rsid w:val="00221F18"/>
    <w:rsid w:val="0022416B"/>
    <w:rsid w:val="00225FBB"/>
    <w:rsid w:val="00226A5F"/>
    <w:rsid w:val="00226BF7"/>
    <w:rsid w:val="002271C0"/>
    <w:rsid w:val="00230389"/>
    <w:rsid w:val="002305BF"/>
    <w:rsid w:val="00230E86"/>
    <w:rsid w:val="00231507"/>
    <w:rsid w:val="00231694"/>
    <w:rsid w:val="002316DD"/>
    <w:rsid w:val="00231DE1"/>
    <w:rsid w:val="002342A4"/>
    <w:rsid w:val="002379B6"/>
    <w:rsid w:val="00237CDD"/>
    <w:rsid w:val="00237E08"/>
    <w:rsid w:val="0024093F"/>
    <w:rsid w:val="00241303"/>
    <w:rsid w:val="00241637"/>
    <w:rsid w:val="00242474"/>
    <w:rsid w:val="002434D7"/>
    <w:rsid w:val="00243B3D"/>
    <w:rsid w:val="00243BB9"/>
    <w:rsid w:val="0024438C"/>
    <w:rsid w:val="00244540"/>
    <w:rsid w:val="00245527"/>
    <w:rsid w:val="00245636"/>
    <w:rsid w:val="002456FB"/>
    <w:rsid w:val="00245A2A"/>
    <w:rsid w:val="0024677E"/>
    <w:rsid w:val="00250E85"/>
    <w:rsid w:val="00250F3A"/>
    <w:rsid w:val="002517F3"/>
    <w:rsid w:val="00252789"/>
    <w:rsid w:val="002527B1"/>
    <w:rsid w:val="00252DF9"/>
    <w:rsid w:val="0025375C"/>
    <w:rsid w:val="00253DF3"/>
    <w:rsid w:val="002542CD"/>
    <w:rsid w:val="00254A47"/>
    <w:rsid w:val="00254C80"/>
    <w:rsid w:val="00254FA6"/>
    <w:rsid w:val="002550EE"/>
    <w:rsid w:val="00255C0F"/>
    <w:rsid w:val="00256BF9"/>
    <w:rsid w:val="00257178"/>
    <w:rsid w:val="002571C8"/>
    <w:rsid w:val="0025771A"/>
    <w:rsid w:val="0026010F"/>
    <w:rsid w:val="0026042A"/>
    <w:rsid w:val="0026075B"/>
    <w:rsid w:val="00260B6E"/>
    <w:rsid w:val="00260B86"/>
    <w:rsid w:val="0026111C"/>
    <w:rsid w:val="002642FC"/>
    <w:rsid w:val="00264D1C"/>
    <w:rsid w:val="00266350"/>
    <w:rsid w:val="00271249"/>
    <w:rsid w:val="002717A2"/>
    <w:rsid w:val="00271A32"/>
    <w:rsid w:val="0027249B"/>
    <w:rsid w:val="0027293A"/>
    <w:rsid w:val="00273734"/>
    <w:rsid w:val="0027457D"/>
    <w:rsid w:val="0027586E"/>
    <w:rsid w:val="00277E28"/>
    <w:rsid w:val="002802D4"/>
    <w:rsid w:val="00280390"/>
    <w:rsid w:val="0028144E"/>
    <w:rsid w:val="00281663"/>
    <w:rsid w:val="00282174"/>
    <w:rsid w:val="0028217A"/>
    <w:rsid w:val="00282342"/>
    <w:rsid w:val="00282BF9"/>
    <w:rsid w:val="002837BD"/>
    <w:rsid w:val="00283EC4"/>
    <w:rsid w:val="00284FAA"/>
    <w:rsid w:val="00287848"/>
    <w:rsid w:val="002878EE"/>
    <w:rsid w:val="00290AA6"/>
    <w:rsid w:val="00291059"/>
    <w:rsid w:val="002922C1"/>
    <w:rsid w:val="00292D46"/>
    <w:rsid w:val="0029316E"/>
    <w:rsid w:val="00293BDE"/>
    <w:rsid w:val="00294980"/>
    <w:rsid w:val="00296FA2"/>
    <w:rsid w:val="002A07D6"/>
    <w:rsid w:val="002A09F7"/>
    <w:rsid w:val="002A14AD"/>
    <w:rsid w:val="002A1B07"/>
    <w:rsid w:val="002A26D0"/>
    <w:rsid w:val="002A2AA0"/>
    <w:rsid w:val="002A5A23"/>
    <w:rsid w:val="002A5E3C"/>
    <w:rsid w:val="002A68E5"/>
    <w:rsid w:val="002A7E86"/>
    <w:rsid w:val="002B1AFC"/>
    <w:rsid w:val="002B25B5"/>
    <w:rsid w:val="002B2AD0"/>
    <w:rsid w:val="002B2B8C"/>
    <w:rsid w:val="002B2EC4"/>
    <w:rsid w:val="002B3B5B"/>
    <w:rsid w:val="002B45CD"/>
    <w:rsid w:val="002B5331"/>
    <w:rsid w:val="002B5C86"/>
    <w:rsid w:val="002B5DDA"/>
    <w:rsid w:val="002B5F51"/>
    <w:rsid w:val="002B6303"/>
    <w:rsid w:val="002B63A5"/>
    <w:rsid w:val="002B6C29"/>
    <w:rsid w:val="002B6C3E"/>
    <w:rsid w:val="002C1111"/>
    <w:rsid w:val="002C11D0"/>
    <w:rsid w:val="002C13CA"/>
    <w:rsid w:val="002C152E"/>
    <w:rsid w:val="002C1B25"/>
    <w:rsid w:val="002C251B"/>
    <w:rsid w:val="002C35A9"/>
    <w:rsid w:val="002C3A9A"/>
    <w:rsid w:val="002C44BC"/>
    <w:rsid w:val="002C49A7"/>
    <w:rsid w:val="002C6A21"/>
    <w:rsid w:val="002C6FD5"/>
    <w:rsid w:val="002C7201"/>
    <w:rsid w:val="002C75E8"/>
    <w:rsid w:val="002D0AB3"/>
    <w:rsid w:val="002D1710"/>
    <w:rsid w:val="002D1F0E"/>
    <w:rsid w:val="002D2782"/>
    <w:rsid w:val="002D3C95"/>
    <w:rsid w:val="002D3DD6"/>
    <w:rsid w:val="002D4476"/>
    <w:rsid w:val="002D5326"/>
    <w:rsid w:val="002D5DB2"/>
    <w:rsid w:val="002D6D42"/>
    <w:rsid w:val="002D75EE"/>
    <w:rsid w:val="002D7719"/>
    <w:rsid w:val="002D7E0E"/>
    <w:rsid w:val="002E1411"/>
    <w:rsid w:val="002E1E60"/>
    <w:rsid w:val="002E3FAD"/>
    <w:rsid w:val="002E4639"/>
    <w:rsid w:val="002E6372"/>
    <w:rsid w:val="002E755B"/>
    <w:rsid w:val="002F0D1A"/>
    <w:rsid w:val="002F1B3F"/>
    <w:rsid w:val="002F3F9C"/>
    <w:rsid w:val="002F5A27"/>
    <w:rsid w:val="002F6875"/>
    <w:rsid w:val="002F6A07"/>
    <w:rsid w:val="002F6A2C"/>
    <w:rsid w:val="002F6D0E"/>
    <w:rsid w:val="003023EC"/>
    <w:rsid w:val="00303D78"/>
    <w:rsid w:val="00303F62"/>
    <w:rsid w:val="00304F38"/>
    <w:rsid w:val="0030618C"/>
    <w:rsid w:val="00307B4C"/>
    <w:rsid w:val="00307C50"/>
    <w:rsid w:val="00310491"/>
    <w:rsid w:val="00312636"/>
    <w:rsid w:val="00312F9A"/>
    <w:rsid w:val="00313A22"/>
    <w:rsid w:val="003142C2"/>
    <w:rsid w:val="00314851"/>
    <w:rsid w:val="00314E23"/>
    <w:rsid w:val="003150B3"/>
    <w:rsid w:val="003153BB"/>
    <w:rsid w:val="00317B29"/>
    <w:rsid w:val="00321286"/>
    <w:rsid w:val="003222CF"/>
    <w:rsid w:val="00322541"/>
    <w:rsid w:val="003227E5"/>
    <w:rsid w:val="003231B6"/>
    <w:rsid w:val="0032339E"/>
    <w:rsid w:val="00323ACB"/>
    <w:rsid w:val="00324122"/>
    <w:rsid w:val="003254C7"/>
    <w:rsid w:val="00326725"/>
    <w:rsid w:val="0032728F"/>
    <w:rsid w:val="00333EA4"/>
    <w:rsid w:val="003346BC"/>
    <w:rsid w:val="00334BA1"/>
    <w:rsid w:val="003360D8"/>
    <w:rsid w:val="003366A3"/>
    <w:rsid w:val="00337A83"/>
    <w:rsid w:val="003401DC"/>
    <w:rsid w:val="003414CF"/>
    <w:rsid w:val="00341780"/>
    <w:rsid w:val="00341B12"/>
    <w:rsid w:val="00342086"/>
    <w:rsid w:val="003435DF"/>
    <w:rsid w:val="0034576C"/>
    <w:rsid w:val="00345856"/>
    <w:rsid w:val="003459FE"/>
    <w:rsid w:val="003467B1"/>
    <w:rsid w:val="00346A03"/>
    <w:rsid w:val="00346C3A"/>
    <w:rsid w:val="00347517"/>
    <w:rsid w:val="0034788E"/>
    <w:rsid w:val="00350174"/>
    <w:rsid w:val="003506E7"/>
    <w:rsid w:val="00351326"/>
    <w:rsid w:val="003513A2"/>
    <w:rsid w:val="003514A7"/>
    <w:rsid w:val="00351562"/>
    <w:rsid w:val="00353348"/>
    <w:rsid w:val="003552D8"/>
    <w:rsid w:val="00356B3B"/>
    <w:rsid w:val="00357F03"/>
    <w:rsid w:val="0036110D"/>
    <w:rsid w:val="00361163"/>
    <w:rsid w:val="0036228D"/>
    <w:rsid w:val="00362575"/>
    <w:rsid w:val="00362951"/>
    <w:rsid w:val="00362E6B"/>
    <w:rsid w:val="00363253"/>
    <w:rsid w:val="00363DDD"/>
    <w:rsid w:val="00364D76"/>
    <w:rsid w:val="003651FA"/>
    <w:rsid w:val="00365264"/>
    <w:rsid w:val="00365317"/>
    <w:rsid w:val="00365B4D"/>
    <w:rsid w:val="003668EE"/>
    <w:rsid w:val="00367717"/>
    <w:rsid w:val="0037088E"/>
    <w:rsid w:val="0037171C"/>
    <w:rsid w:val="00371768"/>
    <w:rsid w:val="003731D7"/>
    <w:rsid w:val="003732DA"/>
    <w:rsid w:val="003733AE"/>
    <w:rsid w:val="00373729"/>
    <w:rsid w:val="00374292"/>
    <w:rsid w:val="00374B8F"/>
    <w:rsid w:val="00375A11"/>
    <w:rsid w:val="00375B5C"/>
    <w:rsid w:val="003761F2"/>
    <w:rsid w:val="00376F77"/>
    <w:rsid w:val="003775DE"/>
    <w:rsid w:val="003776C1"/>
    <w:rsid w:val="003777F4"/>
    <w:rsid w:val="003807F4"/>
    <w:rsid w:val="00381FDD"/>
    <w:rsid w:val="00382367"/>
    <w:rsid w:val="00383946"/>
    <w:rsid w:val="00383F9D"/>
    <w:rsid w:val="00384BB6"/>
    <w:rsid w:val="00385364"/>
    <w:rsid w:val="00385B0A"/>
    <w:rsid w:val="00385C4A"/>
    <w:rsid w:val="003862BA"/>
    <w:rsid w:val="00387B45"/>
    <w:rsid w:val="003914AF"/>
    <w:rsid w:val="00391760"/>
    <w:rsid w:val="0039182B"/>
    <w:rsid w:val="00391BFE"/>
    <w:rsid w:val="0039208E"/>
    <w:rsid w:val="003923FF"/>
    <w:rsid w:val="003927BC"/>
    <w:rsid w:val="0039296B"/>
    <w:rsid w:val="00392E3C"/>
    <w:rsid w:val="00393477"/>
    <w:rsid w:val="0039359F"/>
    <w:rsid w:val="00393CA1"/>
    <w:rsid w:val="00394D04"/>
    <w:rsid w:val="00396E36"/>
    <w:rsid w:val="003977B4"/>
    <w:rsid w:val="00397DBC"/>
    <w:rsid w:val="003A0C24"/>
    <w:rsid w:val="003A0FA0"/>
    <w:rsid w:val="003A107F"/>
    <w:rsid w:val="003A22BC"/>
    <w:rsid w:val="003A2543"/>
    <w:rsid w:val="003A34D4"/>
    <w:rsid w:val="003A66A9"/>
    <w:rsid w:val="003A66F0"/>
    <w:rsid w:val="003A71CB"/>
    <w:rsid w:val="003A76E2"/>
    <w:rsid w:val="003A77C5"/>
    <w:rsid w:val="003A7F11"/>
    <w:rsid w:val="003B1369"/>
    <w:rsid w:val="003B1EE8"/>
    <w:rsid w:val="003B52B2"/>
    <w:rsid w:val="003B5811"/>
    <w:rsid w:val="003B58CB"/>
    <w:rsid w:val="003B5D26"/>
    <w:rsid w:val="003B72B4"/>
    <w:rsid w:val="003B7611"/>
    <w:rsid w:val="003C0143"/>
    <w:rsid w:val="003C0EBF"/>
    <w:rsid w:val="003C211C"/>
    <w:rsid w:val="003C3DF2"/>
    <w:rsid w:val="003C42A9"/>
    <w:rsid w:val="003C724F"/>
    <w:rsid w:val="003D04EB"/>
    <w:rsid w:val="003D0CE0"/>
    <w:rsid w:val="003D148D"/>
    <w:rsid w:val="003D2668"/>
    <w:rsid w:val="003D3604"/>
    <w:rsid w:val="003D511E"/>
    <w:rsid w:val="003D5728"/>
    <w:rsid w:val="003D6BE2"/>
    <w:rsid w:val="003D7EE6"/>
    <w:rsid w:val="003E0BB4"/>
    <w:rsid w:val="003E1532"/>
    <w:rsid w:val="003E375B"/>
    <w:rsid w:val="003E5084"/>
    <w:rsid w:val="003E5979"/>
    <w:rsid w:val="003E5A18"/>
    <w:rsid w:val="003E7178"/>
    <w:rsid w:val="003E7A5A"/>
    <w:rsid w:val="003F0071"/>
    <w:rsid w:val="003F21BB"/>
    <w:rsid w:val="003F2BF5"/>
    <w:rsid w:val="003F3542"/>
    <w:rsid w:val="003F4DEA"/>
    <w:rsid w:val="003F5258"/>
    <w:rsid w:val="003F5BCC"/>
    <w:rsid w:val="003F6F15"/>
    <w:rsid w:val="003F784D"/>
    <w:rsid w:val="003F7C85"/>
    <w:rsid w:val="00401190"/>
    <w:rsid w:val="00401347"/>
    <w:rsid w:val="00401554"/>
    <w:rsid w:val="004019FA"/>
    <w:rsid w:val="00402154"/>
    <w:rsid w:val="0040398B"/>
    <w:rsid w:val="0040531F"/>
    <w:rsid w:val="004055F1"/>
    <w:rsid w:val="004113BF"/>
    <w:rsid w:val="00411AFC"/>
    <w:rsid w:val="00411B9C"/>
    <w:rsid w:val="00411F72"/>
    <w:rsid w:val="00413EC3"/>
    <w:rsid w:val="00414361"/>
    <w:rsid w:val="004145A3"/>
    <w:rsid w:val="00415BAA"/>
    <w:rsid w:val="00415DF5"/>
    <w:rsid w:val="004165F0"/>
    <w:rsid w:val="0041735C"/>
    <w:rsid w:val="00417519"/>
    <w:rsid w:val="00417B5E"/>
    <w:rsid w:val="00417C5A"/>
    <w:rsid w:val="00420D42"/>
    <w:rsid w:val="00420FDE"/>
    <w:rsid w:val="00421433"/>
    <w:rsid w:val="00421B8C"/>
    <w:rsid w:val="00421E63"/>
    <w:rsid w:val="0042279F"/>
    <w:rsid w:val="00422CE9"/>
    <w:rsid w:val="00425822"/>
    <w:rsid w:val="00425DBD"/>
    <w:rsid w:val="0042636C"/>
    <w:rsid w:val="00426A91"/>
    <w:rsid w:val="00431DDA"/>
    <w:rsid w:val="00431EC8"/>
    <w:rsid w:val="00432D52"/>
    <w:rsid w:val="00433326"/>
    <w:rsid w:val="004333A2"/>
    <w:rsid w:val="004343AA"/>
    <w:rsid w:val="00434E5B"/>
    <w:rsid w:val="00435843"/>
    <w:rsid w:val="00436D84"/>
    <w:rsid w:val="00436ED2"/>
    <w:rsid w:val="00437C64"/>
    <w:rsid w:val="00437D57"/>
    <w:rsid w:val="00440B64"/>
    <w:rsid w:val="00440CF8"/>
    <w:rsid w:val="00441A4B"/>
    <w:rsid w:val="00441F8C"/>
    <w:rsid w:val="0044297F"/>
    <w:rsid w:val="0044379E"/>
    <w:rsid w:val="00443921"/>
    <w:rsid w:val="00444E2A"/>
    <w:rsid w:val="00444E80"/>
    <w:rsid w:val="00444F16"/>
    <w:rsid w:val="004452EF"/>
    <w:rsid w:val="004454E5"/>
    <w:rsid w:val="00447B4A"/>
    <w:rsid w:val="00447B58"/>
    <w:rsid w:val="00447B9A"/>
    <w:rsid w:val="0045003C"/>
    <w:rsid w:val="00450406"/>
    <w:rsid w:val="00451A87"/>
    <w:rsid w:val="00452EF8"/>
    <w:rsid w:val="0045303A"/>
    <w:rsid w:val="004543E1"/>
    <w:rsid w:val="0045588A"/>
    <w:rsid w:val="00455B79"/>
    <w:rsid w:val="00455D72"/>
    <w:rsid w:val="00455FEF"/>
    <w:rsid w:val="004573A0"/>
    <w:rsid w:val="004608C7"/>
    <w:rsid w:val="00461871"/>
    <w:rsid w:val="004624C8"/>
    <w:rsid w:val="00462AB4"/>
    <w:rsid w:val="004635F6"/>
    <w:rsid w:val="0046389E"/>
    <w:rsid w:val="00463E48"/>
    <w:rsid w:val="00464F0B"/>
    <w:rsid w:val="004653F5"/>
    <w:rsid w:val="0046608F"/>
    <w:rsid w:val="00466DCD"/>
    <w:rsid w:val="004679EC"/>
    <w:rsid w:val="00467BA1"/>
    <w:rsid w:val="00467FC6"/>
    <w:rsid w:val="004714FB"/>
    <w:rsid w:val="004725DD"/>
    <w:rsid w:val="00473321"/>
    <w:rsid w:val="004740D6"/>
    <w:rsid w:val="0047417A"/>
    <w:rsid w:val="00476009"/>
    <w:rsid w:val="004766A7"/>
    <w:rsid w:val="004766AF"/>
    <w:rsid w:val="00477277"/>
    <w:rsid w:val="00477E99"/>
    <w:rsid w:val="00480AAF"/>
    <w:rsid w:val="00480E4E"/>
    <w:rsid w:val="00481E2E"/>
    <w:rsid w:val="00482271"/>
    <w:rsid w:val="00482C2E"/>
    <w:rsid w:val="00482E84"/>
    <w:rsid w:val="00483046"/>
    <w:rsid w:val="00483179"/>
    <w:rsid w:val="0048337A"/>
    <w:rsid w:val="0048351D"/>
    <w:rsid w:val="00483B5F"/>
    <w:rsid w:val="00483FBD"/>
    <w:rsid w:val="004848E1"/>
    <w:rsid w:val="00484ED3"/>
    <w:rsid w:val="0048525D"/>
    <w:rsid w:val="004853F0"/>
    <w:rsid w:val="00486718"/>
    <w:rsid w:val="004907CD"/>
    <w:rsid w:val="004911A5"/>
    <w:rsid w:val="004917ED"/>
    <w:rsid w:val="0049362E"/>
    <w:rsid w:val="00493843"/>
    <w:rsid w:val="00493E84"/>
    <w:rsid w:val="00494432"/>
    <w:rsid w:val="00494506"/>
    <w:rsid w:val="00494BA9"/>
    <w:rsid w:val="00494ED9"/>
    <w:rsid w:val="00495A52"/>
    <w:rsid w:val="00496A14"/>
    <w:rsid w:val="00496FC5"/>
    <w:rsid w:val="004A093E"/>
    <w:rsid w:val="004A0C1B"/>
    <w:rsid w:val="004A1111"/>
    <w:rsid w:val="004A12F1"/>
    <w:rsid w:val="004A16A6"/>
    <w:rsid w:val="004A19DE"/>
    <w:rsid w:val="004A2C09"/>
    <w:rsid w:val="004A2ED8"/>
    <w:rsid w:val="004A3457"/>
    <w:rsid w:val="004A37A0"/>
    <w:rsid w:val="004A3811"/>
    <w:rsid w:val="004A4348"/>
    <w:rsid w:val="004A4C16"/>
    <w:rsid w:val="004A5400"/>
    <w:rsid w:val="004A64BC"/>
    <w:rsid w:val="004A6DAD"/>
    <w:rsid w:val="004A7402"/>
    <w:rsid w:val="004A77FC"/>
    <w:rsid w:val="004A7FFE"/>
    <w:rsid w:val="004B03AA"/>
    <w:rsid w:val="004B03D2"/>
    <w:rsid w:val="004B0753"/>
    <w:rsid w:val="004B196E"/>
    <w:rsid w:val="004B1AD5"/>
    <w:rsid w:val="004B293E"/>
    <w:rsid w:val="004B329D"/>
    <w:rsid w:val="004B3818"/>
    <w:rsid w:val="004B40A7"/>
    <w:rsid w:val="004B5B35"/>
    <w:rsid w:val="004B642F"/>
    <w:rsid w:val="004B6783"/>
    <w:rsid w:val="004C2025"/>
    <w:rsid w:val="004C2AD5"/>
    <w:rsid w:val="004C30A2"/>
    <w:rsid w:val="004C4BEA"/>
    <w:rsid w:val="004C4C3F"/>
    <w:rsid w:val="004C50AD"/>
    <w:rsid w:val="004C57FF"/>
    <w:rsid w:val="004C5AF5"/>
    <w:rsid w:val="004C6226"/>
    <w:rsid w:val="004D0E92"/>
    <w:rsid w:val="004D0EF5"/>
    <w:rsid w:val="004D212B"/>
    <w:rsid w:val="004D36D8"/>
    <w:rsid w:val="004D4AFD"/>
    <w:rsid w:val="004D4B32"/>
    <w:rsid w:val="004D56FC"/>
    <w:rsid w:val="004D650B"/>
    <w:rsid w:val="004D75A9"/>
    <w:rsid w:val="004E0757"/>
    <w:rsid w:val="004E1871"/>
    <w:rsid w:val="004E300D"/>
    <w:rsid w:val="004E3EEB"/>
    <w:rsid w:val="004E4FCE"/>
    <w:rsid w:val="004E5E48"/>
    <w:rsid w:val="004E6333"/>
    <w:rsid w:val="004E74C7"/>
    <w:rsid w:val="004E777F"/>
    <w:rsid w:val="004E7CE3"/>
    <w:rsid w:val="004E7F3A"/>
    <w:rsid w:val="004F03F3"/>
    <w:rsid w:val="004F0A74"/>
    <w:rsid w:val="004F173E"/>
    <w:rsid w:val="004F1F64"/>
    <w:rsid w:val="004F2B31"/>
    <w:rsid w:val="004F2D68"/>
    <w:rsid w:val="004F37AE"/>
    <w:rsid w:val="004F565E"/>
    <w:rsid w:val="004F6438"/>
    <w:rsid w:val="004F656A"/>
    <w:rsid w:val="004F7727"/>
    <w:rsid w:val="005002AA"/>
    <w:rsid w:val="00500BFD"/>
    <w:rsid w:val="00500D12"/>
    <w:rsid w:val="00501B3C"/>
    <w:rsid w:val="00502131"/>
    <w:rsid w:val="0050327D"/>
    <w:rsid w:val="00504278"/>
    <w:rsid w:val="00505018"/>
    <w:rsid w:val="00510292"/>
    <w:rsid w:val="00510568"/>
    <w:rsid w:val="005117DE"/>
    <w:rsid w:val="005120A9"/>
    <w:rsid w:val="005136F9"/>
    <w:rsid w:val="005141FF"/>
    <w:rsid w:val="005142F6"/>
    <w:rsid w:val="00514502"/>
    <w:rsid w:val="00516441"/>
    <w:rsid w:val="0051772D"/>
    <w:rsid w:val="00520170"/>
    <w:rsid w:val="005201AD"/>
    <w:rsid w:val="005205FC"/>
    <w:rsid w:val="005209C1"/>
    <w:rsid w:val="00520D27"/>
    <w:rsid w:val="005243B8"/>
    <w:rsid w:val="0052548E"/>
    <w:rsid w:val="0052746F"/>
    <w:rsid w:val="005300C1"/>
    <w:rsid w:val="00530459"/>
    <w:rsid w:val="00530525"/>
    <w:rsid w:val="00530C6F"/>
    <w:rsid w:val="005318E4"/>
    <w:rsid w:val="005320F9"/>
    <w:rsid w:val="005323BF"/>
    <w:rsid w:val="005332E8"/>
    <w:rsid w:val="00534FC8"/>
    <w:rsid w:val="0053632B"/>
    <w:rsid w:val="005376D9"/>
    <w:rsid w:val="005404A9"/>
    <w:rsid w:val="00540BB2"/>
    <w:rsid w:val="0054245C"/>
    <w:rsid w:val="00543CD0"/>
    <w:rsid w:val="005460DA"/>
    <w:rsid w:val="0054644D"/>
    <w:rsid w:val="00547E10"/>
    <w:rsid w:val="00547EE8"/>
    <w:rsid w:val="00550330"/>
    <w:rsid w:val="005504E2"/>
    <w:rsid w:val="00550D1A"/>
    <w:rsid w:val="00550E9A"/>
    <w:rsid w:val="00550F7F"/>
    <w:rsid w:val="00553959"/>
    <w:rsid w:val="00553B7C"/>
    <w:rsid w:val="0055424E"/>
    <w:rsid w:val="0055491D"/>
    <w:rsid w:val="005549F3"/>
    <w:rsid w:val="005554E5"/>
    <w:rsid w:val="005573D4"/>
    <w:rsid w:val="00557D62"/>
    <w:rsid w:val="0056025E"/>
    <w:rsid w:val="005607A8"/>
    <w:rsid w:val="00562057"/>
    <w:rsid w:val="00562175"/>
    <w:rsid w:val="00562B13"/>
    <w:rsid w:val="00564700"/>
    <w:rsid w:val="00564FB9"/>
    <w:rsid w:val="00565D2E"/>
    <w:rsid w:val="005663FA"/>
    <w:rsid w:val="005712C0"/>
    <w:rsid w:val="00571E47"/>
    <w:rsid w:val="00572482"/>
    <w:rsid w:val="00572600"/>
    <w:rsid w:val="00573AE1"/>
    <w:rsid w:val="00573D47"/>
    <w:rsid w:val="00574719"/>
    <w:rsid w:val="00574C22"/>
    <w:rsid w:val="00574E0E"/>
    <w:rsid w:val="00575F82"/>
    <w:rsid w:val="00576613"/>
    <w:rsid w:val="00577BA8"/>
    <w:rsid w:val="005802B7"/>
    <w:rsid w:val="00582329"/>
    <w:rsid w:val="0058258C"/>
    <w:rsid w:val="005825EC"/>
    <w:rsid w:val="005836A9"/>
    <w:rsid w:val="005837D3"/>
    <w:rsid w:val="0058435F"/>
    <w:rsid w:val="005849E0"/>
    <w:rsid w:val="00584CC6"/>
    <w:rsid w:val="0058673D"/>
    <w:rsid w:val="00586C8B"/>
    <w:rsid w:val="00587B73"/>
    <w:rsid w:val="00590A64"/>
    <w:rsid w:val="00591F0B"/>
    <w:rsid w:val="005920F7"/>
    <w:rsid w:val="00593780"/>
    <w:rsid w:val="005939B7"/>
    <w:rsid w:val="00593FE8"/>
    <w:rsid w:val="005940FB"/>
    <w:rsid w:val="00594146"/>
    <w:rsid w:val="00594A76"/>
    <w:rsid w:val="00595421"/>
    <w:rsid w:val="00596794"/>
    <w:rsid w:val="00597DD4"/>
    <w:rsid w:val="005A14AB"/>
    <w:rsid w:val="005A1774"/>
    <w:rsid w:val="005A27BC"/>
    <w:rsid w:val="005A2CED"/>
    <w:rsid w:val="005A2E9E"/>
    <w:rsid w:val="005A4931"/>
    <w:rsid w:val="005A538C"/>
    <w:rsid w:val="005A5D6F"/>
    <w:rsid w:val="005A60E3"/>
    <w:rsid w:val="005A66D1"/>
    <w:rsid w:val="005A7399"/>
    <w:rsid w:val="005A795F"/>
    <w:rsid w:val="005A7993"/>
    <w:rsid w:val="005B0505"/>
    <w:rsid w:val="005B251A"/>
    <w:rsid w:val="005B268C"/>
    <w:rsid w:val="005B2715"/>
    <w:rsid w:val="005B3041"/>
    <w:rsid w:val="005B3A4C"/>
    <w:rsid w:val="005B44EA"/>
    <w:rsid w:val="005B5550"/>
    <w:rsid w:val="005B587A"/>
    <w:rsid w:val="005B693E"/>
    <w:rsid w:val="005B6AFC"/>
    <w:rsid w:val="005B6EC4"/>
    <w:rsid w:val="005B6F1B"/>
    <w:rsid w:val="005B7519"/>
    <w:rsid w:val="005C02C8"/>
    <w:rsid w:val="005C12FB"/>
    <w:rsid w:val="005C154D"/>
    <w:rsid w:val="005C1757"/>
    <w:rsid w:val="005C1F3D"/>
    <w:rsid w:val="005C2069"/>
    <w:rsid w:val="005C27D9"/>
    <w:rsid w:val="005C4F38"/>
    <w:rsid w:val="005C5293"/>
    <w:rsid w:val="005C5366"/>
    <w:rsid w:val="005C5C8C"/>
    <w:rsid w:val="005C6557"/>
    <w:rsid w:val="005C65C8"/>
    <w:rsid w:val="005C6C16"/>
    <w:rsid w:val="005D2921"/>
    <w:rsid w:val="005D2EF8"/>
    <w:rsid w:val="005D376E"/>
    <w:rsid w:val="005D3FD9"/>
    <w:rsid w:val="005D4099"/>
    <w:rsid w:val="005D561A"/>
    <w:rsid w:val="005D565D"/>
    <w:rsid w:val="005D71DF"/>
    <w:rsid w:val="005D76EC"/>
    <w:rsid w:val="005D772D"/>
    <w:rsid w:val="005E2731"/>
    <w:rsid w:val="005E2F1B"/>
    <w:rsid w:val="005E2F2E"/>
    <w:rsid w:val="005E3076"/>
    <w:rsid w:val="005E3E12"/>
    <w:rsid w:val="005E4505"/>
    <w:rsid w:val="005E4EA3"/>
    <w:rsid w:val="005E5734"/>
    <w:rsid w:val="005E5993"/>
    <w:rsid w:val="005E66BC"/>
    <w:rsid w:val="005E6716"/>
    <w:rsid w:val="005E7E9C"/>
    <w:rsid w:val="005F1053"/>
    <w:rsid w:val="005F1315"/>
    <w:rsid w:val="005F1AA7"/>
    <w:rsid w:val="005F1AD6"/>
    <w:rsid w:val="005F1B6F"/>
    <w:rsid w:val="005F1C4D"/>
    <w:rsid w:val="005F1C66"/>
    <w:rsid w:val="005F232E"/>
    <w:rsid w:val="005F3048"/>
    <w:rsid w:val="005F4509"/>
    <w:rsid w:val="005F4806"/>
    <w:rsid w:val="005F49F4"/>
    <w:rsid w:val="005F721F"/>
    <w:rsid w:val="005F7890"/>
    <w:rsid w:val="005F7FE8"/>
    <w:rsid w:val="0060115E"/>
    <w:rsid w:val="00602626"/>
    <w:rsid w:val="00603179"/>
    <w:rsid w:val="00603321"/>
    <w:rsid w:val="006042EE"/>
    <w:rsid w:val="006042F8"/>
    <w:rsid w:val="00606726"/>
    <w:rsid w:val="00606990"/>
    <w:rsid w:val="00606994"/>
    <w:rsid w:val="00607031"/>
    <w:rsid w:val="00607186"/>
    <w:rsid w:val="006078AD"/>
    <w:rsid w:val="00610319"/>
    <w:rsid w:val="0061065D"/>
    <w:rsid w:val="00610A75"/>
    <w:rsid w:val="0061173C"/>
    <w:rsid w:val="006117B7"/>
    <w:rsid w:val="00611AE1"/>
    <w:rsid w:val="0061224D"/>
    <w:rsid w:val="00612697"/>
    <w:rsid w:val="006137F9"/>
    <w:rsid w:val="006149D4"/>
    <w:rsid w:val="00614AFB"/>
    <w:rsid w:val="00615761"/>
    <w:rsid w:val="00615BC4"/>
    <w:rsid w:val="00616E9E"/>
    <w:rsid w:val="006212E5"/>
    <w:rsid w:val="00621376"/>
    <w:rsid w:val="0062185E"/>
    <w:rsid w:val="00621F3E"/>
    <w:rsid w:val="006249FA"/>
    <w:rsid w:val="00624E20"/>
    <w:rsid w:val="00625AAF"/>
    <w:rsid w:val="00625ED3"/>
    <w:rsid w:val="006263AD"/>
    <w:rsid w:val="006265C2"/>
    <w:rsid w:val="006276C0"/>
    <w:rsid w:val="0063096B"/>
    <w:rsid w:val="006317AA"/>
    <w:rsid w:val="00632CB0"/>
    <w:rsid w:val="00633C49"/>
    <w:rsid w:val="00634AB3"/>
    <w:rsid w:val="00635364"/>
    <w:rsid w:val="006361C9"/>
    <w:rsid w:val="00637DD3"/>
    <w:rsid w:val="006411D8"/>
    <w:rsid w:val="00641585"/>
    <w:rsid w:val="00641A4D"/>
    <w:rsid w:val="00641B1C"/>
    <w:rsid w:val="00642512"/>
    <w:rsid w:val="00643091"/>
    <w:rsid w:val="006438E7"/>
    <w:rsid w:val="00643E57"/>
    <w:rsid w:val="00644082"/>
    <w:rsid w:val="006455ED"/>
    <w:rsid w:val="006476A3"/>
    <w:rsid w:val="0064776A"/>
    <w:rsid w:val="0065022C"/>
    <w:rsid w:val="006502DD"/>
    <w:rsid w:val="006505A2"/>
    <w:rsid w:val="006506D6"/>
    <w:rsid w:val="0065152C"/>
    <w:rsid w:val="00651D0B"/>
    <w:rsid w:val="00652A29"/>
    <w:rsid w:val="006538F9"/>
    <w:rsid w:val="00654CAF"/>
    <w:rsid w:val="00654CB8"/>
    <w:rsid w:val="00654FA5"/>
    <w:rsid w:val="00655B49"/>
    <w:rsid w:val="00656514"/>
    <w:rsid w:val="00656C0D"/>
    <w:rsid w:val="0065730D"/>
    <w:rsid w:val="00657B3A"/>
    <w:rsid w:val="00657D38"/>
    <w:rsid w:val="00660A1E"/>
    <w:rsid w:val="00661211"/>
    <w:rsid w:val="00661CF8"/>
    <w:rsid w:val="00661F7D"/>
    <w:rsid w:val="006624C6"/>
    <w:rsid w:val="006629D3"/>
    <w:rsid w:val="00662A2A"/>
    <w:rsid w:val="00664557"/>
    <w:rsid w:val="0066719A"/>
    <w:rsid w:val="00667895"/>
    <w:rsid w:val="00667D7F"/>
    <w:rsid w:val="00670FFE"/>
    <w:rsid w:val="0067139A"/>
    <w:rsid w:val="00671B40"/>
    <w:rsid w:val="00673038"/>
    <w:rsid w:val="006731F6"/>
    <w:rsid w:val="00677E1E"/>
    <w:rsid w:val="00680931"/>
    <w:rsid w:val="00681A68"/>
    <w:rsid w:val="00682BA2"/>
    <w:rsid w:val="00682CFA"/>
    <w:rsid w:val="006831F3"/>
    <w:rsid w:val="006832B8"/>
    <w:rsid w:val="00683B35"/>
    <w:rsid w:val="00684666"/>
    <w:rsid w:val="006851C1"/>
    <w:rsid w:val="0068544D"/>
    <w:rsid w:val="00685968"/>
    <w:rsid w:val="00685BCB"/>
    <w:rsid w:val="006866D2"/>
    <w:rsid w:val="00686819"/>
    <w:rsid w:val="0068710E"/>
    <w:rsid w:val="0068732A"/>
    <w:rsid w:val="0068739F"/>
    <w:rsid w:val="006916A0"/>
    <w:rsid w:val="00693F20"/>
    <w:rsid w:val="00695201"/>
    <w:rsid w:val="00696187"/>
    <w:rsid w:val="00696A38"/>
    <w:rsid w:val="00696F3E"/>
    <w:rsid w:val="0069713B"/>
    <w:rsid w:val="006973CA"/>
    <w:rsid w:val="006973D0"/>
    <w:rsid w:val="006A0E2A"/>
    <w:rsid w:val="006A26D0"/>
    <w:rsid w:val="006A299B"/>
    <w:rsid w:val="006A2F59"/>
    <w:rsid w:val="006A49B5"/>
    <w:rsid w:val="006A5990"/>
    <w:rsid w:val="006A5BE5"/>
    <w:rsid w:val="006A698C"/>
    <w:rsid w:val="006A7204"/>
    <w:rsid w:val="006A7550"/>
    <w:rsid w:val="006A78C8"/>
    <w:rsid w:val="006B0F68"/>
    <w:rsid w:val="006B1095"/>
    <w:rsid w:val="006B19A2"/>
    <w:rsid w:val="006B3107"/>
    <w:rsid w:val="006B3223"/>
    <w:rsid w:val="006B44D2"/>
    <w:rsid w:val="006B4D52"/>
    <w:rsid w:val="006B4E4F"/>
    <w:rsid w:val="006B4E9C"/>
    <w:rsid w:val="006B526B"/>
    <w:rsid w:val="006B588F"/>
    <w:rsid w:val="006B5D79"/>
    <w:rsid w:val="006B7968"/>
    <w:rsid w:val="006C0DD3"/>
    <w:rsid w:val="006C21CA"/>
    <w:rsid w:val="006C334C"/>
    <w:rsid w:val="006C4FDA"/>
    <w:rsid w:val="006C54FA"/>
    <w:rsid w:val="006C6A7D"/>
    <w:rsid w:val="006C6B10"/>
    <w:rsid w:val="006C6BB7"/>
    <w:rsid w:val="006C6D0D"/>
    <w:rsid w:val="006C6E61"/>
    <w:rsid w:val="006C7DCC"/>
    <w:rsid w:val="006D0FDB"/>
    <w:rsid w:val="006D159B"/>
    <w:rsid w:val="006D1B12"/>
    <w:rsid w:val="006D1CDA"/>
    <w:rsid w:val="006D282B"/>
    <w:rsid w:val="006D2B27"/>
    <w:rsid w:val="006D37B6"/>
    <w:rsid w:val="006D4040"/>
    <w:rsid w:val="006D461C"/>
    <w:rsid w:val="006D4934"/>
    <w:rsid w:val="006D54B7"/>
    <w:rsid w:val="006D6B93"/>
    <w:rsid w:val="006E01B2"/>
    <w:rsid w:val="006E033D"/>
    <w:rsid w:val="006E0618"/>
    <w:rsid w:val="006E0676"/>
    <w:rsid w:val="006E0BBD"/>
    <w:rsid w:val="006E0C75"/>
    <w:rsid w:val="006E142B"/>
    <w:rsid w:val="006E3244"/>
    <w:rsid w:val="006E3797"/>
    <w:rsid w:val="006E4FCA"/>
    <w:rsid w:val="006E500A"/>
    <w:rsid w:val="006E50B9"/>
    <w:rsid w:val="006E50E3"/>
    <w:rsid w:val="006E512E"/>
    <w:rsid w:val="006E6181"/>
    <w:rsid w:val="006E67BB"/>
    <w:rsid w:val="006E7DA8"/>
    <w:rsid w:val="006F0091"/>
    <w:rsid w:val="006F14C0"/>
    <w:rsid w:val="006F1D2F"/>
    <w:rsid w:val="006F2510"/>
    <w:rsid w:val="006F339A"/>
    <w:rsid w:val="006F44EC"/>
    <w:rsid w:val="006F491F"/>
    <w:rsid w:val="006F5CB8"/>
    <w:rsid w:val="006F60E4"/>
    <w:rsid w:val="006F6B1E"/>
    <w:rsid w:val="006F723E"/>
    <w:rsid w:val="006F7C65"/>
    <w:rsid w:val="007019BF"/>
    <w:rsid w:val="007022AE"/>
    <w:rsid w:val="007034D5"/>
    <w:rsid w:val="00703778"/>
    <w:rsid w:val="007038F5"/>
    <w:rsid w:val="007078B9"/>
    <w:rsid w:val="00710555"/>
    <w:rsid w:val="0071153B"/>
    <w:rsid w:val="007119AC"/>
    <w:rsid w:val="00712BBE"/>
    <w:rsid w:val="00713C80"/>
    <w:rsid w:val="0071401C"/>
    <w:rsid w:val="007148C4"/>
    <w:rsid w:val="0071551F"/>
    <w:rsid w:val="00715E5D"/>
    <w:rsid w:val="00716CEA"/>
    <w:rsid w:val="007202B1"/>
    <w:rsid w:val="00720BC1"/>
    <w:rsid w:val="00721820"/>
    <w:rsid w:val="00723284"/>
    <w:rsid w:val="00723367"/>
    <w:rsid w:val="00723B70"/>
    <w:rsid w:val="00724925"/>
    <w:rsid w:val="00724EF5"/>
    <w:rsid w:val="0072593E"/>
    <w:rsid w:val="00725B04"/>
    <w:rsid w:val="00725E8D"/>
    <w:rsid w:val="00726A61"/>
    <w:rsid w:val="0072775C"/>
    <w:rsid w:val="00727924"/>
    <w:rsid w:val="00727FC5"/>
    <w:rsid w:val="0073040D"/>
    <w:rsid w:val="0073061F"/>
    <w:rsid w:val="007306D0"/>
    <w:rsid w:val="007309D8"/>
    <w:rsid w:val="00730C79"/>
    <w:rsid w:val="00731E94"/>
    <w:rsid w:val="00732430"/>
    <w:rsid w:val="007329FD"/>
    <w:rsid w:val="00732FAA"/>
    <w:rsid w:val="00733A4C"/>
    <w:rsid w:val="00733AB1"/>
    <w:rsid w:val="007341D1"/>
    <w:rsid w:val="00734311"/>
    <w:rsid w:val="007348F7"/>
    <w:rsid w:val="0073504F"/>
    <w:rsid w:val="00735ACA"/>
    <w:rsid w:val="0073720B"/>
    <w:rsid w:val="00737822"/>
    <w:rsid w:val="00737D3B"/>
    <w:rsid w:val="007407A5"/>
    <w:rsid w:val="0074086C"/>
    <w:rsid w:val="00740A7A"/>
    <w:rsid w:val="00740F7C"/>
    <w:rsid w:val="00741B39"/>
    <w:rsid w:val="00741FF5"/>
    <w:rsid w:val="007421F0"/>
    <w:rsid w:val="007432EA"/>
    <w:rsid w:val="0074553B"/>
    <w:rsid w:val="0074616B"/>
    <w:rsid w:val="00750B45"/>
    <w:rsid w:val="00753037"/>
    <w:rsid w:val="0075435F"/>
    <w:rsid w:val="00754743"/>
    <w:rsid w:val="007556B2"/>
    <w:rsid w:val="00756407"/>
    <w:rsid w:val="00757E81"/>
    <w:rsid w:val="0076042F"/>
    <w:rsid w:val="00760DFA"/>
    <w:rsid w:val="00761454"/>
    <w:rsid w:val="00762518"/>
    <w:rsid w:val="00762C4F"/>
    <w:rsid w:val="00764908"/>
    <w:rsid w:val="00764EDD"/>
    <w:rsid w:val="007656E4"/>
    <w:rsid w:val="00766097"/>
    <w:rsid w:val="007666D3"/>
    <w:rsid w:val="007732BA"/>
    <w:rsid w:val="007775D3"/>
    <w:rsid w:val="00777FA3"/>
    <w:rsid w:val="007803DC"/>
    <w:rsid w:val="00781055"/>
    <w:rsid w:val="00781E00"/>
    <w:rsid w:val="00784208"/>
    <w:rsid w:val="007844E6"/>
    <w:rsid w:val="007845E3"/>
    <w:rsid w:val="00784ACA"/>
    <w:rsid w:val="00790D9A"/>
    <w:rsid w:val="00791952"/>
    <w:rsid w:val="00791F55"/>
    <w:rsid w:val="007926A3"/>
    <w:rsid w:val="007931AF"/>
    <w:rsid w:val="00793A17"/>
    <w:rsid w:val="00794FB3"/>
    <w:rsid w:val="00795307"/>
    <w:rsid w:val="00795F4E"/>
    <w:rsid w:val="0079697F"/>
    <w:rsid w:val="0079727C"/>
    <w:rsid w:val="00797DC4"/>
    <w:rsid w:val="007A04BD"/>
    <w:rsid w:val="007A1B0D"/>
    <w:rsid w:val="007A347C"/>
    <w:rsid w:val="007A4788"/>
    <w:rsid w:val="007A4A7A"/>
    <w:rsid w:val="007A4F64"/>
    <w:rsid w:val="007A593D"/>
    <w:rsid w:val="007A5E05"/>
    <w:rsid w:val="007A66C8"/>
    <w:rsid w:val="007A66F3"/>
    <w:rsid w:val="007B0068"/>
    <w:rsid w:val="007B057C"/>
    <w:rsid w:val="007B09FF"/>
    <w:rsid w:val="007B0C26"/>
    <w:rsid w:val="007B1212"/>
    <w:rsid w:val="007B1464"/>
    <w:rsid w:val="007B1EC5"/>
    <w:rsid w:val="007B28DC"/>
    <w:rsid w:val="007B2A85"/>
    <w:rsid w:val="007B30B4"/>
    <w:rsid w:val="007B4F80"/>
    <w:rsid w:val="007B59DB"/>
    <w:rsid w:val="007B6944"/>
    <w:rsid w:val="007B6957"/>
    <w:rsid w:val="007B72D8"/>
    <w:rsid w:val="007C09DB"/>
    <w:rsid w:val="007C09DE"/>
    <w:rsid w:val="007C11D9"/>
    <w:rsid w:val="007C1516"/>
    <w:rsid w:val="007C1614"/>
    <w:rsid w:val="007C1739"/>
    <w:rsid w:val="007C235F"/>
    <w:rsid w:val="007C2FB9"/>
    <w:rsid w:val="007C4509"/>
    <w:rsid w:val="007C46CE"/>
    <w:rsid w:val="007C4DB7"/>
    <w:rsid w:val="007C594E"/>
    <w:rsid w:val="007C5D45"/>
    <w:rsid w:val="007C6CBD"/>
    <w:rsid w:val="007C7BFC"/>
    <w:rsid w:val="007D064A"/>
    <w:rsid w:val="007D0EFE"/>
    <w:rsid w:val="007D2372"/>
    <w:rsid w:val="007D27A5"/>
    <w:rsid w:val="007D2CAF"/>
    <w:rsid w:val="007D34C9"/>
    <w:rsid w:val="007D3DD2"/>
    <w:rsid w:val="007D5098"/>
    <w:rsid w:val="007D562A"/>
    <w:rsid w:val="007E21D8"/>
    <w:rsid w:val="007E22A7"/>
    <w:rsid w:val="007E24D8"/>
    <w:rsid w:val="007E2A54"/>
    <w:rsid w:val="007E3890"/>
    <w:rsid w:val="007E44DF"/>
    <w:rsid w:val="007E50D1"/>
    <w:rsid w:val="007E61C7"/>
    <w:rsid w:val="007E6221"/>
    <w:rsid w:val="007E6671"/>
    <w:rsid w:val="007E7ED3"/>
    <w:rsid w:val="007F02ED"/>
    <w:rsid w:val="007F0741"/>
    <w:rsid w:val="007F29B5"/>
    <w:rsid w:val="007F355E"/>
    <w:rsid w:val="007F464C"/>
    <w:rsid w:val="007F5261"/>
    <w:rsid w:val="007F5353"/>
    <w:rsid w:val="007F6CB3"/>
    <w:rsid w:val="007F7614"/>
    <w:rsid w:val="00801AA0"/>
    <w:rsid w:val="00802F29"/>
    <w:rsid w:val="008031B8"/>
    <w:rsid w:val="00803CA8"/>
    <w:rsid w:val="00804B40"/>
    <w:rsid w:val="00804FAA"/>
    <w:rsid w:val="0080660D"/>
    <w:rsid w:val="008069B3"/>
    <w:rsid w:val="008106AC"/>
    <w:rsid w:val="008113B6"/>
    <w:rsid w:val="0081229E"/>
    <w:rsid w:val="0081236F"/>
    <w:rsid w:val="0081288E"/>
    <w:rsid w:val="0081390F"/>
    <w:rsid w:val="008145C3"/>
    <w:rsid w:val="00814C49"/>
    <w:rsid w:val="008162EF"/>
    <w:rsid w:val="00817E57"/>
    <w:rsid w:val="008210ED"/>
    <w:rsid w:val="008215DA"/>
    <w:rsid w:val="00821631"/>
    <w:rsid w:val="0082233F"/>
    <w:rsid w:val="00822EA1"/>
    <w:rsid w:val="008231ED"/>
    <w:rsid w:val="00823834"/>
    <w:rsid w:val="008251DA"/>
    <w:rsid w:val="00826562"/>
    <w:rsid w:val="00831856"/>
    <w:rsid w:val="00831A7B"/>
    <w:rsid w:val="00832D04"/>
    <w:rsid w:val="00833C67"/>
    <w:rsid w:val="00835711"/>
    <w:rsid w:val="008362C3"/>
    <w:rsid w:val="00836565"/>
    <w:rsid w:val="00836916"/>
    <w:rsid w:val="00837A1C"/>
    <w:rsid w:val="00837F2A"/>
    <w:rsid w:val="008404CF"/>
    <w:rsid w:val="0084053B"/>
    <w:rsid w:val="00840ACA"/>
    <w:rsid w:val="00841145"/>
    <w:rsid w:val="0084130C"/>
    <w:rsid w:val="00841B95"/>
    <w:rsid w:val="008430F1"/>
    <w:rsid w:val="00846CEA"/>
    <w:rsid w:val="00847765"/>
    <w:rsid w:val="008505BC"/>
    <w:rsid w:val="008512F2"/>
    <w:rsid w:val="008514B8"/>
    <w:rsid w:val="008518A9"/>
    <w:rsid w:val="00851F0D"/>
    <w:rsid w:val="008524C5"/>
    <w:rsid w:val="0085374A"/>
    <w:rsid w:val="00853FB8"/>
    <w:rsid w:val="00854AB5"/>
    <w:rsid w:val="00856515"/>
    <w:rsid w:val="00857AAC"/>
    <w:rsid w:val="00860C22"/>
    <w:rsid w:val="00862121"/>
    <w:rsid w:val="00862599"/>
    <w:rsid w:val="00862A0A"/>
    <w:rsid w:val="00863501"/>
    <w:rsid w:val="0086553C"/>
    <w:rsid w:val="00865AF0"/>
    <w:rsid w:val="00865C93"/>
    <w:rsid w:val="00865F27"/>
    <w:rsid w:val="00870183"/>
    <w:rsid w:val="008703FC"/>
    <w:rsid w:val="00870C32"/>
    <w:rsid w:val="00870CDA"/>
    <w:rsid w:val="008716C6"/>
    <w:rsid w:val="00872FC1"/>
    <w:rsid w:val="00873D34"/>
    <w:rsid w:val="008748DB"/>
    <w:rsid w:val="00874B84"/>
    <w:rsid w:val="00875347"/>
    <w:rsid w:val="008761CB"/>
    <w:rsid w:val="00876A8A"/>
    <w:rsid w:val="00877684"/>
    <w:rsid w:val="008778FB"/>
    <w:rsid w:val="00880029"/>
    <w:rsid w:val="00880FEF"/>
    <w:rsid w:val="0088156B"/>
    <w:rsid w:val="00885427"/>
    <w:rsid w:val="008878B6"/>
    <w:rsid w:val="00890E8D"/>
    <w:rsid w:val="008914CF"/>
    <w:rsid w:val="008918F7"/>
    <w:rsid w:val="008920BE"/>
    <w:rsid w:val="008925A4"/>
    <w:rsid w:val="008931C8"/>
    <w:rsid w:val="00893299"/>
    <w:rsid w:val="00893BD6"/>
    <w:rsid w:val="00893ED5"/>
    <w:rsid w:val="00893FA4"/>
    <w:rsid w:val="00893FB4"/>
    <w:rsid w:val="00894083"/>
    <w:rsid w:val="00894452"/>
    <w:rsid w:val="00896145"/>
    <w:rsid w:val="00896614"/>
    <w:rsid w:val="00896A1C"/>
    <w:rsid w:val="00897115"/>
    <w:rsid w:val="00897D97"/>
    <w:rsid w:val="00897F19"/>
    <w:rsid w:val="00897F3C"/>
    <w:rsid w:val="008A05C1"/>
    <w:rsid w:val="008A2C8C"/>
    <w:rsid w:val="008A330E"/>
    <w:rsid w:val="008A4DD2"/>
    <w:rsid w:val="008A664B"/>
    <w:rsid w:val="008A6DC3"/>
    <w:rsid w:val="008A7430"/>
    <w:rsid w:val="008B0164"/>
    <w:rsid w:val="008B0F8C"/>
    <w:rsid w:val="008B2D8C"/>
    <w:rsid w:val="008B3929"/>
    <w:rsid w:val="008B44DF"/>
    <w:rsid w:val="008B4DDE"/>
    <w:rsid w:val="008B5161"/>
    <w:rsid w:val="008B7C33"/>
    <w:rsid w:val="008C0E8C"/>
    <w:rsid w:val="008C0FBB"/>
    <w:rsid w:val="008C11A6"/>
    <w:rsid w:val="008C2AC8"/>
    <w:rsid w:val="008C2EB0"/>
    <w:rsid w:val="008C3204"/>
    <w:rsid w:val="008C3731"/>
    <w:rsid w:val="008C3D15"/>
    <w:rsid w:val="008C51AA"/>
    <w:rsid w:val="008C674B"/>
    <w:rsid w:val="008C6E51"/>
    <w:rsid w:val="008C704C"/>
    <w:rsid w:val="008C72DD"/>
    <w:rsid w:val="008C7D6B"/>
    <w:rsid w:val="008D0A9A"/>
    <w:rsid w:val="008D0B09"/>
    <w:rsid w:val="008D2617"/>
    <w:rsid w:val="008D3B47"/>
    <w:rsid w:val="008D4387"/>
    <w:rsid w:val="008D46BF"/>
    <w:rsid w:val="008D5125"/>
    <w:rsid w:val="008D5170"/>
    <w:rsid w:val="008D51ED"/>
    <w:rsid w:val="008D534B"/>
    <w:rsid w:val="008D5B7D"/>
    <w:rsid w:val="008D5D0A"/>
    <w:rsid w:val="008D6D63"/>
    <w:rsid w:val="008D6F51"/>
    <w:rsid w:val="008E090D"/>
    <w:rsid w:val="008E0E4D"/>
    <w:rsid w:val="008E10AF"/>
    <w:rsid w:val="008E120A"/>
    <w:rsid w:val="008E1FA8"/>
    <w:rsid w:val="008E1FED"/>
    <w:rsid w:val="008E3943"/>
    <w:rsid w:val="008E5654"/>
    <w:rsid w:val="008E6ABE"/>
    <w:rsid w:val="008E7051"/>
    <w:rsid w:val="008E7A08"/>
    <w:rsid w:val="008E7A60"/>
    <w:rsid w:val="008E7A75"/>
    <w:rsid w:val="008F07DD"/>
    <w:rsid w:val="008F1A8B"/>
    <w:rsid w:val="008F2456"/>
    <w:rsid w:val="008F282A"/>
    <w:rsid w:val="008F4A09"/>
    <w:rsid w:val="008F4C2B"/>
    <w:rsid w:val="008F596C"/>
    <w:rsid w:val="008F5BFC"/>
    <w:rsid w:val="008F5DDE"/>
    <w:rsid w:val="008F67A1"/>
    <w:rsid w:val="008F69C2"/>
    <w:rsid w:val="008F76F1"/>
    <w:rsid w:val="00900F58"/>
    <w:rsid w:val="00901CD3"/>
    <w:rsid w:val="00903959"/>
    <w:rsid w:val="00904A91"/>
    <w:rsid w:val="00905066"/>
    <w:rsid w:val="00906306"/>
    <w:rsid w:val="00906E79"/>
    <w:rsid w:val="009070BA"/>
    <w:rsid w:val="009073CB"/>
    <w:rsid w:val="0090764C"/>
    <w:rsid w:val="00911A92"/>
    <w:rsid w:val="0091214C"/>
    <w:rsid w:val="009147D6"/>
    <w:rsid w:val="009148A8"/>
    <w:rsid w:val="00914E0D"/>
    <w:rsid w:val="009151CD"/>
    <w:rsid w:val="009160ED"/>
    <w:rsid w:val="00916296"/>
    <w:rsid w:val="0091666B"/>
    <w:rsid w:val="00916850"/>
    <w:rsid w:val="0091718E"/>
    <w:rsid w:val="00917296"/>
    <w:rsid w:val="00917AC1"/>
    <w:rsid w:val="00920722"/>
    <w:rsid w:val="0092122E"/>
    <w:rsid w:val="00922BE9"/>
    <w:rsid w:val="009232AD"/>
    <w:rsid w:val="009234DA"/>
    <w:rsid w:val="00923B4F"/>
    <w:rsid w:val="00925927"/>
    <w:rsid w:val="0092652D"/>
    <w:rsid w:val="00926C90"/>
    <w:rsid w:val="00926EE8"/>
    <w:rsid w:val="00926F49"/>
    <w:rsid w:val="009275C2"/>
    <w:rsid w:val="0093029D"/>
    <w:rsid w:val="00930B01"/>
    <w:rsid w:val="00931886"/>
    <w:rsid w:val="009326C4"/>
    <w:rsid w:val="00932924"/>
    <w:rsid w:val="00932956"/>
    <w:rsid w:val="00933267"/>
    <w:rsid w:val="009339BB"/>
    <w:rsid w:val="00933CE7"/>
    <w:rsid w:val="00934922"/>
    <w:rsid w:val="00934CEC"/>
    <w:rsid w:val="00934D5F"/>
    <w:rsid w:val="0093670F"/>
    <w:rsid w:val="009371F0"/>
    <w:rsid w:val="009372A8"/>
    <w:rsid w:val="009376B9"/>
    <w:rsid w:val="00937D2F"/>
    <w:rsid w:val="00937D7C"/>
    <w:rsid w:val="0094024A"/>
    <w:rsid w:val="009403A4"/>
    <w:rsid w:val="009411A4"/>
    <w:rsid w:val="00941278"/>
    <w:rsid w:val="00941303"/>
    <w:rsid w:val="009420A7"/>
    <w:rsid w:val="009429B9"/>
    <w:rsid w:val="00945AD2"/>
    <w:rsid w:val="00947321"/>
    <w:rsid w:val="00950943"/>
    <w:rsid w:val="00950B2D"/>
    <w:rsid w:val="00950BA0"/>
    <w:rsid w:val="00951B4E"/>
    <w:rsid w:val="0095217E"/>
    <w:rsid w:val="009528C7"/>
    <w:rsid w:val="00955B31"/>
    <w:rsid w:val="00956E22"/>
    <w:rsid w:val="00956E36"/>
    <w:rsid w:val="009572DA"/>
    <w:rsid w:val="00960323"/>
    <w:rsid w:val="0096037A"/>
    <w:rsid w:val="00961B77"/>
    <w:rsid w:val="0096204C"/>
    <w:rsid w:val="0096660C"/>
    <w:rsid w:val="00970952"/>
    <w:rsid w:val="00971249"/>
    <w:rsid w:val="00972135"/>
    <w:rsid w:val="0097221F"/>
    <w:rsid w:val="00972452"/>
    <w:rsid w:val="00972E09"/>
    <w:rsid w:val="00972E62"/>
    <w:rsid w:val="009733DD"/>
    <w:rsid w:val="00973DAF"/>
    <w:rsid w:val="0097427A"/>
    <w:rsid w:val="00974735"/>
    <w:rsid w:val="00976640"/>
    <w:rsid w:val="009801AE"/>
    <w:rsid w:val="00980F31"/>
    <w:rsid w:val="00981894"/>
    <w:rsid w:val="00983AF0"/>
    <w:rsid w:val="0098577C"/>
    <w:rsid w:val="0098602F"/>
    <w:rsid w:val="00986ADC"/>
    <w:rsid w:val="00990B58"/>
    <w:rsid w:val="0099232F"/>
    <w:rsid w:val="0099266B"/>
    <w:rsid w:val="00993272"/>
    <w:rsid w:val="00994B98"/>
    <w:rsid w:val="00995209"/>
    <w:rsid w:val="00995396"/>
    <w:rsid w:val="009965D9"/>
    <w:rsid w:val="00996D3B"/>
    <w:rsid w:val="00997F8A"/>
    <w:rsid w:val="009A0CED"/>
    <w:rsid w:val="009A1372"/>
    <w:rsid w:val="009A2375"/>
    <w:rsid w:val="009A2D24"/>
    <w:rsid w:val="009A2E6E"/>
    <w:rsid w:val="009A2E86"/>
    <w:rsid w:val="009A3240"/>
    <w:rsid w:val="009A4005"/>
    <w:rsid w:val="009A43C8"/>
    <w:rsid w:val="009A75C0"/>
    <w:rsid w:val="009B112B"/>
    <w:rsid w:val="009B11BF"/>
    <w:rsid w:val="009B15FB"/>
    <w:rsid w:val="009B23B1"/>
    <w:rsid w:val="009B2E4C"/>
    <w:rsid w:val="009B361D"/>
    <w:rsid w:val="009B366F"/>
    <w:rsid w:val="009B3826"/>
    <w:rsid w:val="009B44D2"/>
    <w:rsid w:val="009B4669"/>
    <w:rsid w:val="009B4A98"/>
    <w:rsid w:val="009B59C8"/>
    <w:rsid w:val="009B60BB"/>
    <w:rsid w:val="009B6D6C"/>
    <w:rsid w:val="009B703E"/>
    <w:rsid w:val="009B7F71"/>
    <w:rsid w:val="009C0524"/>
    <w:rsid w:val="009C131C"/>
    <w:rsid w:val="009C219E"/>
    <w:rsid w:val="009C234E"/>
    <w:rsid w:val="009C3D25"/>
    <w:rsid w:val="009C41D3"/>
    <w:rsid w:val="009C7DE9"/>
    <w:rsid w:val="009D07EF"/>
    <w:rsid w:val="009D29EE"/>
    <w:rsid w:val="009D3015"/>
    <w:rsid w:val="009D504A"/>
    <w:rsid w:val="009D5776"/>
    <w:rsid w:val="009D6CF8"/>
    <w:rsid w:val="009D714A"/>
    <w:rsid w:val="009E068B"/>
    <w:rsid w:val="009E0A5E"/>
    <w:rsid w:val="009E0D26"/>
    <w:rsid w:val="009E1970"/>
    <w:rsid w:val="009E1D11"/>
    <w:rsid w:val="009E3747"/>
    <w:rsid w:val="009E5C73"/>
    <w:rsid w:val="009E6C09"/>
    <w:rsid w:val="009E6D63"/>
    <w:rsid w:val="009E7B7D"/>
    <w:rsid w:val="009E7D96"/>
    <w:rsid w:val="009F0884"/>
    <w:rsid w:val="009F0F63"/>
    <w:rsid w:val="009F1929"/>
    <w:rsid w:val="009F1B67"/>
    <w:rsid w:val="009F1BDA"/>
    <w:rsid w:val="009F21CE"/>
    <w:rsid w:val="009F2BF7"/>
    <w:rsid w:val="009F2C44"/>
    <w:rsid w:val="009F318B"/>
    <w:rsid w:val="009F3B9E"/>
    <w:rsid w:val="009F46C8"/>
    <w:rsid w:val="009F56C1"/>
    <w:rsid w:val="009F5B0A"/>
    <w:rsid w:val="009F6474"/>
    <w:rsid w:val="009F75A5"/>
    <w:rsid w:val="009F7D1A"/>
    <w:rsid w:val="00A0126F"/>
    <w:rsid w:val="00A0178E"/>
    <w:rsid w:val="00A01CF8"/>
    <w:rsid w:val="00A01F95"/>
    <w:rsid w:val="00A02638"/>
    <w:rsid w:val="00A0306F"/>
    <w:rsid w:val="00A0526A"/>
    <w:rsid w:val="00A05707"/>
    <w:rsid w:val="00A06326"/>
    <w:rsid w:val="00A06C76"/>
    <w:rsid w:val="00A0726A"/>
    <w:rsid w:val="00A10467"/>
    <w:rsid w:val="00A10849"/>
    <w:rsid w:val="00A10F89"/>
    <w:rsid w:val="00A116AB"/>
    <w:rsid w:val="00A11F08"/>
    <w:rsid w:val="00A14DA6"/>
    <w:rsid w:val="00A14FD1"/>
    <w:rsid w:val="00A1555D"/>
    <w:rsid w:val="00A15652"/>
    <w:rsid w:val="00A1631B"/>
    <w:rsid w:val="00A20AF0"/>
    <w:rsid w:val="00A21470"/>
    <w:rsid w:val="00A228F6"/>
    <w:rsid w:val="00A233C2"/>
    <w:rsid w:val="00A2629E"/>
    <w:rsid w:val="00A265DA"/>
    <w:rsid w:val="00A27A36"/>
    <w:rsid w:val="00A27AC0"/>
    <w:rsid w:val="00A30FEA"/>
    <w:rsid w:val="00A3166D"/>
    <w:rsid w:val="00A31B0F"/>
    <w:rsid w:val="00A3296B"/>
    <w:rsid w:val="00A32D98"/>
    <w:rsid w:val="00A34649"/>
    <w:rsid w:val="00A357F9"/>
    <w:rsid w:val="00A35B71"/>
    <w:rsid w:val="00A35D54"/>
    <w:rsid w:val="00A372AA"/>
    <w:rsid w:val="00A417DE"/>
    <w:rsid w:val="00A41AA5"/>
    <w:rsid w:val="00A42491"/>
    <w:rsid w:val="00A425D8"/>
    <w:rsid w:val="00A43475"/>
    <w:rsid w:val="00A44742"/>
    <w:rsid w:val="00A459DA"/>
    <w:rsid w:val="00A460B4"/>
    <w:rsid w:val="00A47149"/>
    <w:rsid w:val="00A503B4"/>
    <w:rsid w:val="00A539DF"/>
    <w:rsid w:val="00A53CA1"/>
    <w:rsid w:val="00A540EC"/>
    <w:rsid w:val="00A550F5"/>
    <w:rsid w:val="00A55699"/>
    <w:rsid w:val="00A56012"/>
    <w:rsid w:val="00A57610"/>
    <w:rsid w:val="00A6022F"/>
    <w:rsid w:val="00A604DE"/>
    <w:rsid w:val="00A60A1B"/>
    <w:rsid w:val="00A61056"/>
    <w:rsid w:val="00A610FA"/>
    <w:rsid w:val="00A6125A"/>
    <w:rsid w:val="00A624E1"/>
    <w:rsid w:val="00A63092"/>
    <w:rsid w:val="00A63DE4"/>
    <w:rsid w:val="00A63DF2"/>
    <w:rsid w:val="00A6536D"/>
    <w:rsid w:val="00A66144"/>
    <w:rsid w:val="00A67053"/>
    <w:rsid w:val="00A70A41"/>
    <w:rsid w:val="00A719FE"/>
    <w:rsid w:val="00A72286"/>
    <w:rsid w:val="00A73316"/>
    <w:rsid w:val="00A73CE3"/>
    <w:rsid w:val="00A74EE1"/>
    <w:rsid w:val="00A758B0"/>
    <w:rsid w:val="00A75D42"/>
    <w:rsid w:val="00A7745F"/>
    <w:rsid w:val="00A77ED7"/>
    <w:rsid w:val="00A77FEF"/>
    <w:rsid w:val="00A809A7"/>
    <w:rsid w:val="00A80B82"/>
    <w:rsid w:val="00A81BE9"/>
    <w:rsid w:val="00A82081"/>
    <w:rsid w:val="00A82D52"/>
    <w:rsid w:val="00A846A8"/>
    <w:rsid w:val="00A8483A"/>
    <w:rsid w:val="00A84CC9"/>
    <w:rsid w:val="00A84DAB"/>
    <w:rsid w:val="00A86007"/>
    <w:rsid w:val="00A860FB"/>
    <w:rsid w:val="00A86A55"/>
    <w:rsid w:val="00A90377"/>
    <w:rsid w:val="00A9072A"/>
    <w:rsid w:val="00A918F3"/>
    <w:rsid w:val="00A919F2"/>
    <w:rsid w:val="00A91AEF"/>
    <w:rsid w:val="00A91E24"/>
    <w:rsid w:val="00A93805"/>
    <w:rsid w:val="00A94E55"/>
    <w:rsid w:val="00A95E01"/>
    <w:rsid w:val="00A9678E"/>
    <w:rsid w:val="00AA0504"/>
    <w:rsid w:val="00AA0F05"/>
    <w:rsid w:val="00AA2CCF"/>
    <w:rsid w:val="00AA3033"/>
    <w:rsid w:val="00AA3A64"/>
    <w:rsid w:val="00AA3F67"/>
    <w:rsid w:val="00AA5367"/>
    <w:rsid w:val="00AA5A24"/>
    <w:rsid w:val="00AA5C37"/>
    <w:rsid w:val="00AA5FDD"/>
    <w:rsid w:val="00AA6790"/>
    <w:rsid w:val="00AA7A7D"/>
    <w:rsid w:val="00AB04C6"/>
    <w:rsid w:val="00AB1463"/>
    <w:rsid w:val="00AB1536"/>
    <w:rsid w:val="00AB1B20"/>
    <w:rsid w:val="00AB1DE7"/>
    <w:rsid w:val="00AB2E0F"/>
    <w:rsid w:val="00AB3283"/>
    <w:rsid w:val="00AB3BFD"/>
    <w:rsid w:val="00AB46A2"/>
    <w:rsid w:val="00AB54A5"/>
    <w:rsid w:val="00AB553E"/>
    <w:rsid w:val="00AB5C43"/>
    <w:rsid w:val="00AB6396"/>
    <w:rsid w:val="00AB680C"/>
    <w:rsid w:val="00AB6A77"/>
    <w:rsid w:val="00AB79E6"/>
    <w:rsid w:val="00AC002C"/>
    <w:rsid w:val="00AC1799"/>
    <w:rsid w:val="00AC25DF"/>
    <w:rsid w:val="00AC3232"/>
    <w:rsid w:val="00AC488E"/>
    <w:rsid w:val="00AC4A51"/>
    <w:rsid w:val="00AC4BE0"/>
    <w:rsid w:val="00AC62FD"/>
    <w:rsid w:val="00AC642E"/>
    <w:rsid w:val="00AC7111"/>
    <w:rsid w:val="00AD04AF"/>
    <w:rsid w:val="00AD08CE"/>
    <w:rsid w:val="00AD1A6F"/>
    <w:rsid w:val="00AD27EE"/>
    <w:rsid w:val="00AD2CD7"/>
    <w:rsid w:val="00AD2DE0"/>
    <w:rsid w:val="00AD3585"/>
    <w:rsid w:val="00AD575E"/>
    <w:rsid w:val="00AD62EF"/>
    <w:rsid w:val="00AD6C95"/>
    <w:rsid w:val="00AD75DC"/>
    <w:rsid w:val="00AD7754"/>
    <w:rsid w:val="00AE003B"/>
    <w:rsid w:val="00AE1731"/>
    <w:rsid w:val="00AE1F84"/>
    <w:rsid w:val="00AE2E87"/>
    <w:rsid w:val="00AE30A7"/>
    <w:rsid w:val="00AE3D5C"/>
    <w:rsid w:val="00AE5559"/>
    <w:rsid w:val="00AE67FD"/>
    <w:rsid w:val="00AE74ED"/>
    <w:rsid w:val="00AE7ECB"/>
    <w:rsid w:val="00AE7ED3"/>
    <w:rsid w:val="00AF0143"/>
    <w:rsid w:val="00AF0996"/>
    <w:rsid w:val="00AF0D63"/>
    <w:rsid w:val="00AF16C0"/>
    <w:rsid w:val="00AF1A0E"/>
    <w:rsid w:val="00AF1AA2"/>
    <w:rsid w:val="00AF24EC"/>
    <w:rsid w:val="00AF2AD1"/>
    <w:rsid w:val="00AF3CD1"/>
    <w:rsid w:val="00AF4902"/>
    <w:rsid w:val="00AF4A67"/>
    <w:rsid w:val="00AF5049"/>
    <w:rsid w:val="00AF51A3"/>
    <w:rsid w:val="00AF5A5C"/>
    <w:rsid w:val="00AF63C2"/>
    <w:rsid w:val="00B01946"/>
    <w:rsid w:val="00B02136"/>
    <w:rsid w:val="00B02168"/>
    <w:rsid w:val="00B02178"/>
    <w:rsid w:val="00B0256D"/>
    <w:rsid w:val="00B02E21"/>
    <w:rsid w:val="00B0334A"/>
    <w:rsid w:val="00B04490"/>
    <w:rsid w:val="00B055C8"/>
    <w:rsid w:val="00B06673"/>
    <w:rsid w:val="00B07613"/>
    <w:rsid w:val="00B07758"/>
    <w:rsid w:val="00B077A2"/>
    <w:rsid w:val="00B07899"/>
    <w:rsid w:val="00B07C46"/>
    <w:rsid w:val="00B10EFA"/>
    <w:rsid w:val="00B113BB"/>
    <w:rsid w:val="00B1152D"/>
    <w:rsid w:val="00B11E5F"/>
    <w:rsid w:val="00B126F8"/>
    <w:rsid w:val="00B1375E"/>
    <w:rsid w:val="00B145B3"/>
    <w:rsid w:val="00B14CFC"/>
    <w:rsid w:val="00B153BC"/>
    <w:rsid w:val="00B16E7B"/>
    <w:rsid w:val="00B17554"/>
    <w:rsid w:val="00B179A9"/>
    <w:rsid w:val="00B208B3"/>
    <w:rsid w:val="00B20A08"/>
    <w:rsid w:val="00B20E37"/>
    <w:rsid w:val="00B21C38"/>
    <w:rsid w:val="00B22843"/>
    <w:rsid w:val="00B2369C"/>
    <w:rsid w:val="00B23C83"/>
    <w:rsid w:val="00B246B0"/>
    <w:rsid w:val="00B24BF1"/>
    <w:rsid w:val="00B253CA"/>
    <w:rsid w:val="00B261AE"/>
    <w:rsid w:val="00B26F64"/>
    <w:rsid w:val="00B278EA"/>
    <w:rsid w:val="00B30A5C"/>
    <w:rsid w:val="00B30E80"/>
    <w:rsid w:val="00B312EC"/>
    <w:rsid w:val="00B31FB8"/>
    <w:rsid w:val="00B33E53"/>
    <w:rsid w:val="00B35282"/>
    <w:rsid w:val="00B364E3"/>
    <w:rsid w:val="00B36F1D"/>
    <w:rsid w:val="00B40B5F"/>
    <w:rsid w:val="00B413A5"/>
    <w:rsid w:val="00B4187C"/>
    <w:rsid w:val="00B41C25"/>
    <w:rsid w:val="00B41DA1"/>
    <w:rsid w:val="00B42AA9"/>
    <w:rsid w:val="00B437A7"/>
    <w:rsid w:val="00B44015"/>
    <w:rsid w:val="00B46DD8"/>
    <w:rsid w:val="00B4751F"/>
    <w:rsid w:val="00B501B6"/>
    <w:rsid w:val="00B505B7"/>
    <w:rsid w:val="00B51907"/>
    <w:rsid w:val="00B542CE"/>
    <w:rsid w:val="00B54548"/>
    <w:rsid w:val="00B5542E"/>
    <w:rsid w:val="00B56746"/>
    <w:rsid w:val="00B56BB1"/>
    <w:rsid w:val="00B60C2D"/>
    <w:rsid w:val="00B63E64"/>
    <w:rsid w:val="00B64570"/>
    <w:rsid w:val="00B64712"/>
    <w:rsid w:val="00B6513A"/>
    <w:rsid w:val="00B6713C"/>
    <w:rsid w:val="00B6769E"/>
    <w:rsid w:val="00B67F06"/>
    <w:rsid w:val="00B70161"/>
    <w:rsid w:val="00B70173"/>
    <w:rsid w:val="00B701CE"/>
    <w:rsid w:val="00B70C6D"/>
    <w:rsid w:val="00B71EEA"/>
    <w:rsid w:val="00B7229D"/>
    <w:rsid w:val="00B72365"/>
    <w:rsid w:val="00B72A12"/>
    <w:rsid w:val="00B734E4"/>
    <w:rsid w:val="00B73883"/>
    <w:rsid w:val="00B73C23"/>
    <w:rsid w:val="00B74DCD"/>
    <w:rsid w:val="00B75DCA"/>
    <w:rsid w:val="00B771D5"/>
    <w:rsid w:val="00B77427"/>
    <w:rsid w:val="00B77947"/>
    <w:rsid w:val="00B80BD4"/>
    <w:rsid w:val="00B83A78"/>
    <w:rsid w:val="00B84B6A"/>
    <w:rsid w:val="00B84FE9"/>
    <w:rsid w:val="00B8566D"/>
    <w:rsid w:val="00B86F4D"/>
    <w:rsid w:val="00B872CE"/>
    <w:rsid w:val="00B8770C"/>
    <w:rsid w:val="00B87AA5"/>
    <w:rsid w:val="00B91060"/>
    <w:rsid w:val="00B92CD7"/>
    <w:rsid w:val="00B92E0E"/>
    <w:rsid w:val="00B939B3"/>
    <w:rsid w:val="00B93A54"/>
    <w:rsid w:val="00B9566C"/>
    <w:rsid w:val="00B95E6C"/>
    <w:rsid w:val="00B963CF"/>
    <w:rsid w:val="00B96837"/>
    <w:rsid w:val="00B96CE6"/>
    <w:rsid w:val="00B96EF1"/>
    <w:rsid w:val="00B9769E"/>
    <w:rsid w:val="00B97904"/>
    <w:rsid w:val="00BA0979"/>
    <w:rsid w:val="00BA1805"/>
    <w:rsid w:val="00BA2660"/>
    <w:rsid w:val="00BA268A"/>
    <w:rsid w:val="00BA2CFF"/>
    <w:rsid w:val="00BA3D5D"/>
    <w:rsid w:val="00BA3F0C"/>
    <w:rsid w:val="00BA4012"/>
    <w:rsid w:val="00BA5319"/>
    <w:rsid w:val="00BA5B9C"/>
    <w:rsid w:val="00BA732A"/>
    <w:rsid w:val="00BA7788"/>
    <w:rsid w:val="00BA79E2"/>
    <w:rsid w:val="00BA7BCF"/>
    <w:rsid w:val="00BB0A36"/>
    <w:rsid w:val="00BB0CEF"/>
    <w:rsid w:val="00BB156F"/>
    <w:rsid w:val="00BB35B5"/>
    <w:rsid w:val="00BB53E4"/>
    <w:rsid w:val="00BB5E38"/>
    <w:rsid w:val="00BB7982"/>
    <w:rsid w:val="00BB7A15"/>
    <w:rsid w:val="00BC1409"/>
    <w:rsid w:val="00BC2143"/>
    <w:rsid w:val="00BC270C"/>
    <w:rsid w:val="00BC2797"/>
    <w:rsid w:val="00BC3098"/>
    <w:rsid w:val="00BC426F"/>
    <w:rsid w:val="00BC44AE"/>
    <w:rsid w:val="00BC45C8"/>
    <w:rsid w:val="00BC5A4F"/>
    <w:rsid w:val="00BD075C"/>
    <w:rsid w:val="00BD076D"/>
    <w:rsid w:val="00BD1E68"/>
    <w:rsid w:val="00BD2ACB"/>
    <w:rsid w:val="00BD4087"/>
    <w:rsid w:val="00BD49AF"/>
    <w:rsid w:val="00BD4AA9"/>
    <w:rsid w:val="00BD5EA6"/>
    <w:rsid w:val="00BD6330"/>
    <w:rsid w:val="00BE089B"/>
    <w:rsid w:val="00BE3FA2"/>
    <w:rsid w:val="00BE5104"/>
    <w:rsid w:val="00BE6270"/>
    <w:rsid w:val="00BE7643"/>
    <w:rsid w:val="00BE7DF7"/>
    <w:rsid w:val="00BF094A"/>
    <w:rsid w:val="00BF1AA9"/>
    <w:rsid w:val="00BF35E7"/>
    <w:rsid w:val="00BF3D11"/>
    <w:rsid w:val="00BF3D43"/>
    <w:rsid w:val="00BF4A39"/>
    <w:rsid w:val="00BF5EFE"/>
    <w:rsid w:val="00C00165"/>
    <w:rsid w:val="00C014FD"/>
    <w:rsid w:val="00C016E8"/>
    <w:rsid w:val="00C02EA9"/>
    <w:rsid w:val="00C03931"/>
    <w:rsid w:val="00C05231"/>
    <w:rsid w:val="00C05F31"/>
    <w:rsid w:val="00C06FA4"/>
    <w:rsid w:val="00C07084"/>
    <w:rsid w:val="00C07E0C"/>
    <w:rsid w:val="00C10033"/>
    <w:rsid w:val="00C10DE5"/>
    <w:rsid w:val="00C10F0B"/>
    <w:rsid w:val="00C119D8"/>
    <w:rsid w:val="00C11C34"/>
    <w:rsid w:val="00C12691"/>
    <w:rsid w:val="00C13EDA"/>
    <w:rsid w:val="00C14B1A"/>
    <w:rsid w:val="00C14F79"/>
    <w:rsid w:val="00C16616"/>
    <w:rsid w:val="00C16641"/>
    <w:rsid w:val="00C167D6"/>
    <w:rsid w:val="00C201B7"/>
    <w:rsid w:val="00C22B0B"/>
    <w:rsid w:val="00C2433A"/>
    <w:rsid w:val="00C24C6F"/>
    <w:rsid w:val="00C24FE1"/>
    <w:rsid w:val="00C25C3B"/>
    <w:rsid w:val="00C27CB1"/>
    <w:rsid w:val="00C30AC2"/>
    <w:rsid w:val="00C31F67"/>
    <w:rsid w:val="00C3264A"/>
    <w:rsid w:val="00C32F41"/>
    <w:rsid w:val="00C33654"/>
    <w:rsid w:val="00C33FC9"/>
    <w:rsid w:val="00C346B3"/>
    <w:rsid w:val="00C37599"/>
    <w:rsid w:val="00C4067B"/>
    <w:rsid w:val="00C41568"/>
    <w:rsid w:val="00C415A4"/>
    <w:rsid w:val="00C41989"/>
    <w:rsid w:val="00C433DE"/>
    <w:rsid w:val="00C438B7"/>
    <w:rsid w:val="00C43B36"/>
    <w:rsid w:val="00C43EC7"/>
    <w:rsid w:val="00C443EF"/>
    <w:rsid w:val="00C449C0"/>
    <w:rsid w:val="00C45404"/>
    <w:rsid w:val="00C4583D"/>
    <w:rsid w:val="00C46255"/>
    <w:rsid w:val="00C463C0"/>
    <w:rsid w:val="00C46D06"/>
    <w:rsid w:val="00C4795C"/>
    <w:rsid w:val="00C50299"/>
    <w:rsid w:val="00C51006"/>
    <w:rsid w:val="00C51024"/>
    <w:rsid w:val="00C5119A"/>
    <w:rsid w:val="00C52C53"/>
    <w:rsid w:val="00C52DBA"/>
    <w:rsid w:val="00C5360E"/>
    <w:rsid w:val="00C53A97"/>
    <w:rsid w:val="00C53E3E"/>
    <w:rsid w:val="00C54117"/>
    <w:rsid w:val="00C54597"/>
    <w:rsid w:val="00C5496E"/>
    <w:rsid w:val="00C575CC"/>
    <w:rsid w:val="00C57784"/>
    <w:rsid w:val="00C57E52"/>
    <w:rsid w:val="00C62391"/>
    <w:rsid w:val="00C627F7"/>
    <w:rsid w:val="00C64458"/>
    <w:rsid w:val="00C64855"/>
    <w:rsid w:val="00C64D4F"/>
    <w:rsid w:val="00C65CDB"/>
    <w:rsid w:val="00C70AE1"/>
    <w:rsid w:val="00C70F6F"/>
    <w:rsid w:val="00C72BB6"/>
    <w:rsid w:val="00C74143"/>
    <w:rsid w:val="00C759BE"/>
    <w:rsid w:val="00C76521"/>
    <w:rsid w:val="00C76BAE"/>
    <w:rsid w:val="00C776E5"/>
    <w:rsid w:val="00C807AC"/>
    <w:rsid w:val="00C8104C"/>
    <w:rsid w:val="00C811E7"/>
    <w:rsid w:val="00C83FD9"/>
    <w:rsid w:val="00C85DE7"/>
    <w:rsid w:val="00C86E19"/>
    <w:rsid w:val="00C87378"/>
    <w:rsid w:val="00C87BDF"/>
    <w:rsid w:val="00C87DEC"/>
    <w:rsid w:val="00C909E1"/>
    <w:rsid w:val="00C911EC"/>
    <w:rsid w:val="00C9131E"/>
    <w:rsid w:val="00C92C53"/>
    <w:rsid w:val="00C93282"/>
    <w:rsid w:val="00C944A9"/>
    <w:rsid w:val="00C9521E"/>
    <w:rsid w:val="00C953BE"/>
    <w:rsid w:val="00C9796A"/>
    <w:rsid w:val="00CA090E"/>
    <w:rsid w:val="00CA0A60"/>
    <w:rsid w:val="00CA1042"/>
    <w:rsid w:val="00CA105A"/>
    <w:rsid w:val="00CA1D21"/>
    <w:rsid w:val="00CA25F2"/>
    <w:rsid w:val="00CA285B"/>
    <w:rsid w:val="00CA3200"/>
    <w:rsid w:val="00CA41BB"/>
    <w:rsid w:val="00CA60BD"/>
    <w:rsid w:val="00CA654F"/>
    <w:rsid w:val="00CA76A3"/>
    <w:rsid w:val="00CA7C86"/>
    <w:rsid w:val="00CB025B"/>
    <w:rsid w:val="00CB09C5"/>
    <w:rsid w:val="00CB0F46"/>
    <w:rsid w:val="00CB34D9"/>
    <w:rsid w:val="00CB4672"/>
    <w:rsid w:val="00CB5307"/>
    <w:rsid w:val="00CB5364"/>
    <w:rsid w:val="00CB70D2"/>
    <w:rsid w:val="00CB7853"/>
    <w:rsid w:val="00CB7CF0"/>
    <w:rsid w:val="00CC04B8"/>
    <w:rsid w:val="00CC15B2"/>
    <w:rsid w:val="00CC3604"/>
    <w:rsid w:val="00CC4240"/>
    <w:rsid w:val="00CC4B92"/>
    <w:rsid w:val="00CC6C17"/>
    <w:rsid w:val="00CC7627"/>
    <w:rsid w:val="00CD042A"/>
    <w:rsid w:val="00CD14CE"/>
    <w:rsid w:val="00CD1D1F"/>
    <w:rsid w:val="00CD377C"/>
    <w:rsid w:val="00CD45D2"/>
    <w:rsid w:val="00CD4CE2"/>
    <w:rsid w:val="00CD5ED9"/>
    <w:rsid w:val="00CD6414"/>
    <w:rsid w:val="00CD6777"/>
    <w:rsid w:val="00CD6FCD"/>
    <w:rsid w:val="00CD7B09"/>
    <w:rsid w:val="00CE087C"/>
    <w:rsid w:val="00CE0FFC"/>
    <w:rsid w:val="00CE15B8"/>
    <w:rsid w:val="00CE17A8"/>
    <w:rsid w:val="00CE1B41"/>
    <w:rsid w:val="00CE1BF6"/>
    <w:rsid w:val="00CE28A2"/>
    <w:rsid w:val="00CE3760"/>
    <w:rsid w:val="00CE5239"/>
    <w:rsid w:val="00CE59F6"/>
    <w:rsid w:val="00CE66D1"/>
    <w:rsid w:val="00CE6D47"/>
    <w:rsid w:val="00CE6DC4"/>
    <w:rsid w:val="00CF1048"/>
    <w:rsid w:val="00CF155A"/>
    <w:rsid w:val="00CF19EB"/>
    <w:rsid w:val="00CF28DE"/>
    <w:rsid w:val="00CF3E7C"/>
    <w:rsid w:val="00CF5B35"/>
    <w:rsid w:val="00CF5C16"/>
    <w:rsid w:val="00CF668C"/>
    <w:rsid w:val="00D000A1"/>
    <w:rsid w:val="00D00B58"/>
    <w:rsid w:val="00D00D17"/>
    <w:rsid w:val="00D02B71"/>
    <w:rsid w:val="00D039C6"/>
    <w:rsid w:val="00D03BBE"/>
    <w:rsid w:val="00D03ED5"/>
    <w:rsid w:val="00D045B7"/>
    <w:rsid w:val="00D04E36"/>
    <w:rsid w:val="00D05BD6"/>
    <w:rsid w:val="00D067AA"/>
    <w:rsid w:val="00D07906"/>
    <w:rsid w:val="00D142CE"/>
    <w:rsid w:val="00D158D7"/>
    <w:rsid w:val="00D16377"/>
    <w:rsid w:val="00D177B1"/>
    <w:rsid w:val="00D179B1"/>
    <w:rsid w:val="00D20DE4"/>
    <w:rsid w:val="00D22119"/>
    <w:rsid w:val="00D22963"/>
    <w:rsid w:val="00D23256"/>
    <w:rsid w:val="00D24278"/>
    <w:rsid w:val="00D24BA9"/>
    <w:rsid w:val="00D25428"/>
    <w:rsid w:val="00D258D1"/>
    <w:rsid w:val="00D25E05"/>
    <w:rsid w:val="00D25E98"/>
    <w:rsid w:val="00D25EBB"/>
    <w:rsid w:val="00D26067"/>
    <w:rsid w:val="00D268BD"/>
    <w:rsid w:val="00D32B94"/>
    <w:rsid w:val="00D33B70"/>
    <w:rsid w:val="00D346BC"/>
    <w:rsid w:val="00D34967"/>
    <w:rsid w:val="00D34C63"/>
    <w:rsid w:val="00D35210"/>
    <w:rsid w:val="00D3641F"/>
    <w:rsid w:val="00D374A4"/>
    <w:rsid w:val="00D37DDE"/>
    <w:rsid w:val="00D401CA"/>
    <w:rsid w:val="00D40E26"/>
    <w:rsid w:val="00D42146"/>
    <w:rsid w:val="00D42B53"/>
    <w:rsid w:val="00D43513"/>
    <w:rsid w:val="00D43C93"/>
    <w:rsid w:val="00D452D1"/>
    <w:rsid w:val="00D46D8A"/>
    <w:rsid w:val="00D5002D"/>
    <w:rsid w:val="00D50067"/>
    <w:rsid w:val="00D5083B"/>
    <w:rsid w:val="00D517E2"/>
    <w:rsid w:val="00D51C87"/>
    <w:rsid w:val="00D52A47"/>
    <w:rsid w:val="00D52BC2"/>
    <w:rsid w:val="00D53764"/>
    <w:rsid w:val="00D53BBB"/>
    <w:rsid w:val="00D54438"/>
    <w:rsid w:val="00D545BE"/>
    <w:rsid w:val="00D557DA"/>
    <w:rsid w:val="00D55DD8"/>
    <w:rsid w:val="00D57812"/>
    <w:rsid w:val="00D57AFB"/>
    <w:rsid w:val="00D603E5"/>
    <w:rsid w:val="00D60F6F"/>
    <w:rsid w:val="00D617D4"/>
    <w:rsid w:val="00D6280B"/>
    <w:rsid w:val="00D62CD3"/>
    <w:rsid w:val="00D62D90"/>
    <w:rsid w:val="00D63205"/>
    <w:rsid w:val="00D64CA9"/>
    <w:rsid w:val="00D64ED5"/>
    <w:rsid w:val="00D65EC5"/>
    <w:rsid w:val="00D6666B"/>
    <w:rsid w:val="00D67CB9"/>
    <w:rsid w:val="00D704AA"/>
    <w:rsid w:val="00D70C62"/>
    <w:rsid w:val="00D73773"/>
    <w:rsid w:val="00D7467B"/>
    <w:rsid w:val="00D7681F"/>
    <w:rsid w:val="00D76BF5"/>
    <w:rsid w:val="00D777B7"/>
    <w:rsid w:val="00D811FA"/>
    <w:rsid w:val="00D818F6"/>
    <w:rsid w:val="00D826C7"/>
    <w:rsid w:val="00D82946"/>
    <w:rsid w:val="00D845B0"/>
    <w:rsid w:val="00D856E9"/>
    <w:rsid w:val="00D85701"/>
    <w:rsid w:val="00D8642C"/>
    <w:rsid w:val="00D90F50"/>
    <w:rsid w:val="00D920A0"/>
    <w:rsid w:val="00D92EB6"/>
    <w:rsid w:val="00D9360B"/>
    <w:rsid w:val="00D94A06"/>
    <w:rsid w:val="00D965F8"/>
    <w:rsid w:val="00D9682C"/>
    <w:rsid w:val="00D974FC"/>
    <w:rsid w:val="00D97FFA"/>
    <w:rsid w:val="00DA05F1"/>
    <w:rsid w:val="00DA150F"/>
    <w:rsid w:val="00DA1947"/>
    <w:rsid w:val="00DA2739"/>
    <w:rsid w:val="00DA2AA8"/>
    <w:rsid w:val="00DA39AB"/>
    <w:rsid w:val="00DA53F4"/>
    <w:rsid w:val="00DA5525"/>
    <w:rsid w:val="00DA5D61"/>
    <w:rsid w:val="00DA7562"/>
    <w:rsid w:val="00DA76CA"/>
    <w:rsid w:val="00DA7D60"/>
    <w:rsid w:val="00DB2E8F"/>
    <w:rsid w:val="00DB41E6"/>
    <w:rsid w:val="00DB4AD6"/>
    <w:rsid w:val="00DB4E22"/>
    <w:rsid w:val="00DB58FD"/>
    <w:rsid w:val="00DC0827"/>
    <w:rsid w:val="00DC1D35"/>
    <w:rsid w:val="00DC4A1C"/>
    <w:rsid w:val="00DC4ABF"/>
    <w:rsid w:val="00DC4CA4"/>
    <w:rsid w:val="00DC52F3"/>
    <w:rsid w:val="00DC58E0"/>
    <w:rsid w:val="00DC6D42"/>
    <w:rsid w:val="00DC7923"/>
    <w:rsid w:val="00DD159A"/>
    <w:rsid w:val="00DD3052"/>
    <w:rsid w:val="00DD3099"/>
    <w:rsid w:val="00DD327B"/>
    <w:rsid w:val="00DD39B5"/>
    <w:rsid w:val="00DD3C84"/>
    <w:rsid w:val="00DD4A35"/>
    <w:rsid w:val="00DD4F5B"/>
    <w:rsid w:val="00DD51CD"/>
    <w:rsid w:val="00DD7654"/>
    <w:rsid w:val="00DD7777"/>
    <w:rsid w:val="00DE0063"/>
    <w:rsid w:val="00DE010E"/>
    <w:rsid w:val="00DE082D"/>
    <w:rsid w:val="00DE275D"/>
    <w:rsid w:val="00DE27A7"/>
    <w:rsid w:val="00DE2CFB"/>
    <w:rsid w:val="00DE3442"/>
    <w:rsid w:val="00DE4070"/>
    <w:rsid w:val="00DE4F88"/>
    <w:rsid w:val="00DE574F"/>
    <w:rsid w:val="00DE57FF"/>
    <w:rsid w:val="00DE5822"/>
    <w:rsid w:val="00DE5EC5"/>
    <w:rsid w:val="00DE643F"/>
    <w:rsid w:val="00DE6A50"/>
    <w:rsid w:val="00DE6B47"/>
    <w:rsid w:val="00DE6C06"/>
    <w:rsid w:val="00DE731B"/>
    <w:rsid w:val="00DE761E"/>
    <w:rsid w:val="00DF0076"/>
    <w:rsid w:val="00DF2988"/>
    <w:rsid w:val="00DF3047"/>
    <w:rsid w:val="00DF3AAC"/>
    <w:rsid w:val="00DF418D"/>
    <w:rsid w:val="00DF58B5"/>
    <w:rsid w:val="00DF5C19"/>
    <w:rsid w:val="00DF76DC"/>
    <w:rsid w:val="00DF7BA7"/>
    <w:rsid w:val="00E002DE"/>
    <w:rsid w:val="00E015B2"/>
    <w:rsid w:val="00E01995"/>
    <w:rsid w:val="00E0250E"/>
    <w:rsid w:val="00E04FCF"/>
    <w:rsid w:val="00E051D6"/>
    <w:rsid w:val="00E0525F"/>
    <w:rsid w:val="00E05EF0"/>
    <w:rsid w:val="00E0650E"/>
    <w:rsid w:val="00E06787"/>
    <w:rsid w:val="00E0726A"/>
    <w:rsid w:val="00E0726C"/>
    <w:rsid w:val="00E07E20"/>
    <w:rsid w:val="00E117C0"/>
    <w:rsid w:val="00E1333B"/>
    <w:rsid w:val="00E138A6"/>
    <w:rsid w:val="00E13C22"/>
    <w:rsid w:val="00E13DEC"/>
    <w:rsid w:val="00E150E5"/>
    <w:rsid w:val="00E172A0"/>
    <w:rsid w:val="00E23E31"/>
    <w:rsid w:val="00E23F57"/>
    <w:rsid w:val="00E240A1"/>
    <w:rsid w:val="00E25311"/>
    <w:rsid w:val="00E25876"/>
    <w:rsid w:val="00E25D11"/>
    <w:rsid w:val="00E270F0"/>
    <w:rsid w:val="00E27433"/>
    <w:rsid w:val="00E27999"/>
    <w:rsid w:val="00E279DF"/>
    <w:rsid w:val="00E317FA"/>
    <w:rsid w:val="00E31AFE"/>
    <w:rsid w:val="00E3212C"/>
    <w:rsid w:val="00E32460"/>
    <w:rsid w:val="00E327E0"/>
    <w:rsid w:val="00E3284D"/>
    <w:rsid w:val="00E34268"/>
    <w:rsid w:val="00E34405"/>
    <w:rsid w:val="00E35383"/>
    <w:rsid w:val="00E36B58"/>
    <w:rsid w:val="00E3729B"/>
    <w:rsid w:val="00E40C85"/>
    <w:rsid w:val="00E41088"/>
    <w:rsid w:val="00E41358"/>
    <w:rsid w:val="00E41A70"/>
    <w:rsid w:val="00E42326"/>
    <w:rsid w:val="00E43CBB"/>
    <w:rsid w:val="00E44025"/>
    <w:rsid w:val="00E44641"/>
    <w:rsid w:val="00E44DA5"/>
    <w:rsid w:val="00E44E7F"/>
    <w:rsid w:val="00E45706"/>
    <w:rsid w:val="00E4582D"/>
    <w:rsid w:val="00E45868"/>
    <w:rsid w:val="00E45B8F"/>
    <w:rsid w:val="00E4660B"/>
    <w:rsid w:val="00E478BC"/>
    <w:rsid w:val="00E50B9D"/>
    <w:rsid w:val="00E53F54"/>
    <w:rsid w:val="00E546D5"/>
    <w:rsid w:val="00E55D6C"/>
    <w:rsid w:val="00E564FA"/>
    <w:rsid w:val="00E5652E"/>
    <w:rsid w:val="00E5683D"/>
    <w:rsid w:val="00E57457"/>
    <w:rsid w:val="00E574C7"/>
    <w:rsid w:val="00E57BD9"/>
    <w:rsid w:val="00E57D64"/>
    <w:rsid w:val="00E60BBE"/>
    <w:rsid w:val="00E618F6"/>
    <w:rsid w:val="00E62052"/>
    <w:rsid w:val="00E63D5A"/>
    <w:rsid w:val="00E640D7"/>
    <w:rsid w:val="00E6530E"/>
    <w:rsid w:val="00E654A0"/>
    <w:rsid w:val="00E657ED"/>
    <w:rsid w:val="00E658C4"/>
    <w:rsid w:val="00E65D2E"/>
    <w:rsid w:val="00E65E2A"/>
    <w:rsid w:val="00E66CA6"/>
    <w:rsid w:val="00E66E8F"/>
    <w:rsid w:val="00E67163"/>
    <w:rsid w:val="00E7331E"/>
    <w:rsid w:val="00E738C0"/>
    <w:rsid w:val="00E73EF3"/>
    <w:rsid w:val="00E73F0E"/>
    <w:rsid w:val="00E74BCD"/>
    <w:rsid w:val="00E74C49"/>
    <w:rsid w:val="00E76C35"/>
    <w:rsid w:val="00E76F56"/>
    <w:rsid w:val="00E810B4"/>
    <w:rsid w:val="00E816F7"/>
    <w:rsid w:val="00E81D13"/>
    <w:rsid w:val="00E81E66"/>
    <w:rsid w:val="00E83FDF"/>
    <w:rsid w:val="00E84B88"/>
    <w:rsid w:val="00E86180"/>
    <w:rsid w:val="00E86195"/>
    <w:rsid w:val="00E87FFC"/>
    <w:rsid w:val="00E90553"/>
    <w:rsid w:val="00E909CE"/>
    <w:rsid w:val="00E91610"/>
    <w:rsid w:val="00E91FDC"/>
    <w:rsid w:val="00E9259F"/>
    <w:rsid w:val="00E93692"/>
    <w:rsid w:val="00E94E36"/>
    <w:rsid w:val="00E9658A"/>
    <w:rsid w:val="00E965AF"/>
    <w:rsid w:val="00E96C76"/>
    <w:rsid w:val="00E97031"/>
    <w:rsid w:val="00E97476"/>
    <w:rsid w:val="00E97550"/>
    <w:rsid w:val="00EA065C"/>
    <w:rsid w:val="00EA1171"/>
    <w:rsid w:val="00EA1893"/>
    <w:rsid w:val="00EA493C"/>
    <w:rsid w:val="00EA6237"/>
    <w:rsid w:val="00EA70DC"/>
    <w:rsid w:val="00EA74C0"/>
    <w:rsid w:val="00EA7A1D"/>
    <w:rsid w:val="00EB06BD"/>
    <w:rsid w:val="00EB17AA"/>
    <w:rsid w:val="00EB17E6"/>
    <w:rsid w:val="00EB1F5C"/>
    <w:rsid w:val="00EB2253"/>
    <w:rsid w:val="00EB2467"/>
    <w:rsid w:val="00EB28E5"/>
    <w:rsid w:val="00EB2EEE"/>
    <w:rsid w:val="00EB47DA"/>
    <w:rsid w:val="00EB53B3"/>
    <w:rsid w:val="00EB5734"/>
    <w:rsid w:val="00EB5F6A"/>
    <w:rsid w:val="00EB7A4D"/>
    <w:rsid w:val="00EC04C2"/>
    <w:rsid w:val="00EC1D0F"/>
    <w:rsid w:val="00EC2764"/>
    <w:rsid w:val="00EC27A6"/>
    <w:rsid w:val="00EC30B8"/>
    <w:rsid w:val="00EC41C7"/>
    <w:rsid w:val="00EC46EF"/>
    <w:rsid w:val="00EC4763"/>
    <w:rsid w:val="00EC4DCA"/>
    <w:rsid w:val="00EC645A"/>
    <w:rsid w:val="00EC69C1"/>
    <w:rsid w:val="00EC6F9D"/>
    <w:rsid w:val="00EC743F"/>
    <w:rsid w:val="00EC76EE"/>
    <w:rsid w:val="00EC7E4F"/>
    <w:rsid w:val="00ED035C"/>
    <w:rsid w:val="00ED13FD"/>
    <w:rsid w:val="00ED15E0"/>
    <w:rsid w:val="00ED26FC"/>
    <w:rsid w:val="00ED37B0"/>
    <w:rsid w:val="00ED4869"/>
    <w:rsid w:val="00ED4881"/>
    <w:rsid w:val="00ED541C"/>
    <w:rsid w:val="00ED5E5D"/>
    <w:rsid w:val="00ED6DA2"/>
    <w:rsid w:val="00ED79F0"/>
    <w:rsid w:val="00ED7B5F"/>
    <w:rsid w:val="00EE1A12"/>
    <w:rsid w:val="00EE21EA"/>
    <w:rsid w:val="00EE291B"/>
    <w:rsid w:val="00EE3FD8"/>
    <w:rsid w:val="00EE5491"/>
    <w:rsid w:val="00EE5F17"/>
    <w:rsid w:val="00EF010D"/>
    <w:rsid w:val="00EF06A1"/>
    <w:rsid w:val="00EF181C"/>
    <w:rsid w:val="00EF1B70"/>
    <w:rsid w:val="00EF23E8"/>
    <w:rsid w:val="00EF397B"/>
    <w:rsid w:val="00EF4FF3"/>
    <w:rsid w:val="00EF5327"/>
    <w:rsid w:val="00EF7799"/>
    <w:rsid w:val="00F02F39"/>
    <w:rsid w:val="00F05866"/>
    <w:rsid w:val="00F06249"/>
    <w:rsid w:val="00F06B02"/>
    <w:rsid w:val="00F0777D"/>
    <w:rsid w:val="00F10A3B"/>
    <w:rsid w:val="00F10F06"/>
    <w:rsid w:val="00F1137E"/>
    <w:rsid w:val="00F1148B"/>
    <w:rsid w:val="00F118C4"/>
    <w:rsid w:val="00F124C6"/>
    <w:rsid w:val="00F129CA"/>
    <w:rsid w:val="00F13D61"/>
    <w:rsid w:val="00F15F23"/>
    <w:rsid w:val="00F17D27"/>
    <w:rsid w:val="00F206B7"/>
    <w:rsid w:val="00F20CEE"/>
    <w:rsid w:val="00F2156F"/>
    <w:rsid w:val="00F21892"/>
    <w:rsid w:val="00F22AAD"/>
    <w:rsid w:val="00F231F5"/>
    <w:rsid w:val="00F2380A"/>
    <w:rsid w:val="00F23DFC"/>
    <w:rsid w:val="00F24DC7"/>
    <w:rsid w:val="00F24F7D"/>
    <w:rsid w:val="00F2646C"/>
    <w:rsid w:val="00F26A42"/>
    <w:rsid w:val="00F27769"/>
    <w:rsid w:val="00F300D0"/>
    <w:rsid w:val="00F31D1D"/>
    <w:rsid w:val="00F320D6"/>
    <w:rsid w:val="00F33796"/>
    <w:rsid w:val="00F34202"/>
    <w:rsid w:val="00F3521A"/>
    <w:rsid w:val="00F3573F"/>
    <w:rsid w:val="00F3679C"/>
    <w:rsid w:val="00F36AD7"/>
    <w:rsid w:val="00F36B20"/>
    <w:rsid w:val="00F40595"/>
    <w:rsid w:val="00F40927"/>
    <w:rsid w:val="00F410CB"/>
    <w:rsid w:val="00F41522"/>
    <w:rsid w:val="00F41820"/>
    <w:rsid w:val="00F422E5"/>
    <w:rsid w:val="00F427CF"/>
    <w:rsid w:val="00F429DB"/>
    <w:rsid w:val="00F42CC3"/>
    <w:rsid w:val="00F432E1"/>
    <w:rsid w:val="00F45015"/>
    <w:rsid w:val="00F450B3"/>
    <w:rsid w:val="00F460ED"/>
    <w:rsid w:val="00F461C9"/>
    <w:rsid w:val="00F46E9B"/>
    <w:rsid w:val="00F46FA3"/>
    <w:rsid w:val="00F4744E"/>
    <w:rsid w:val="00F47F31"/>
    <w:rsid w:val="00F5060E"/>
    <w:rsid w:val="00F51327"/>
    <w:rsid w:val="00F51926"/>
    <w:rsid w:val="00F52CED"/>
    <w:rsid w:val="00F53A3B"/>
    <w:rsid w:val="00F542E1"/>
    <w:rsid w:val="00F54471"/>
    <w:rsid w:val="00F54562"/>
    <w:rsid w:val="00F54E78"/>
    <w:rsid w:val="00F566DC"/>
    <w:rsid w:val="00F56DF8"/>
    <w:rsid w:val="00F57DF5"/>
    <w:rsid w:val="00F6175D"/>
    <w:rsid w:val="00F61C22"/>
    <w:rsid w:val="00F62884"/>
    <w:rsid w:val="00F639A1"/>
    <w:rsid w:val="00F63A85"/>
    <w:rsid w:val="00F63B4F"/>
    <w:rsid w:val="00F63D84"/>
    <w:rsid w:val="00F6462E"/>
    <w:rsid w:val="00F65188"/>
    <w:rsid w:val="00F65347"/>
    <w:rsid w:val="00F6581B"/>
    <w:rsid w:val="00F6593D"/>
    <w:rsid w:val="00F6735A"/>
    <w:rsid w:val="00F67480"/>
    <w:rsid w:val="00F706B7"/>
    <w:rsid w:val="00F72637"/>
    <w:rsid w:val="00F72DA2"/>
    <w:rsid w:val="00F7367E"/>
    <w:rsid w:val="00F73B29"/>
    <w:rsid w:val="00F73DB2"/>
    <w:rsid w:val="00F74629"/>
    <w:rsid w:val="00F75C1C"/>
    <w:rsid w:val="00F760A1"/>
    <w:rsid w:val="00F76AFE"/>
    <w:rsid w:val="00F80FFA"/>
    <w:rsid w:val="00F812B5"/>
    <w:rsid w:val="00F81AC7"/>
    <w:rsid w:val="00F82270"/>
    <w:rsid w:val="00F838EA"/>
    <w:rsid w:val="00F847A4"/>
    <w:rsid w:val="00F85ADB"/>
    <w:rsid w:val="00F85E82"/>
    <w:rsid w:val="00F85F01"/>
    <w:rsid w:val="00F87445"/>
    <w:rsid w:val="00F90F8A"/>
    <w:rsid w:val="00F91354"/>
    <w:rsid w:val="00F918F0"/>
    <w:rsid w:val="00F91D7E"/>
    <w:rsid w:val="00F91E28"/>
    <w:rsid w:val="00F93340"/>
    <w:rsid w:val="00F93930"/>
    <w:rsid w:val="00F94938"/>
    <w:rsid w:val="00F9589B"/>
    <w:rsid w:val="00FA0B27"/>
    <w:rsid w:val="00FA0E06"/>
    <w:rsid w:val="00FA1A6A"/>
    <w:rsid w:val="00FA1AE7"/>
    <w:rsid w:val="00FA2EC0"/>
    <w:rsid w:val="00FA3F96"/>
    <w:rsid w:val="00FA4020"/>
    <w:rsid w:val="00FA5B95"/>
    <w:rsid w:val="00FA7515"/>
    <w:rsid w:val="00FA7739"/>
    <w:rsid w:val="00FB0337"/>
    <w:rsid w:val="00FB1C56"/>
    <w:rsid w:val="00FB24FB"/>
    <w:rsid w:val="00FB25FE"/>
    <w:rsid w:val="00FB4016"/>
    <w:rsid w:val="00FB456F"/>
    <w:rsid w:val="00FB4DFD"/>
    <w:rsid w:val="00FB593B"/>
    <w:rsid w:val="00FC0551"/>
    <w:rsid w:val="00FC0903"/>
    <w:rsid w:val="00FC144B"/>
    <w:rsid w:val="00FC188E"/>
    <w:rsid w:val="00FC1A09"/>
    <w:rsid w:val="00FC1ECB"/>
    <w:rsid w:val="00FC21B3"/>
    <w:rsid w:val="00FC24DC"/>
    <w:rsid w:val="00FC2543"/>
    <w:rsid w:val="00FC4EBC"/>
    <w:rsid w:val="00FC59E2"/>
    <w:rsid w:val="00FC6CF5"/>
    <w:rsid w:val="00FC7608"/>
    <w:rsid w:val="00FD0353"/>
    <w:rsid w:val="00FD055E"/>
    <w:rsid w:val="00FD0B3D"/>
    <w:rsid w:val="00FD1557"/>
    <w:rsid w:val="00FD298A"/>
    <w:rsid w:val="00FD2B24"/>
    <w:rsid w:val="00FD37A6"/>
    <w:rsid w:val="00FD3C3E"/>
    <w:rsid w:val="00FD56C4"/>
    <w:rsid w:val="00FD5977"/>
    <w:rsid w:val="00FD6953"/>
    <w:rsid w:val="00FE04A1"/>
    <w:rsid w:val="00FE0B83"/>
    <w:rsid w:val="00FE0E43"/>
    <w:rsid w:val="00FE2BBF"/>
    <w:rsid w:val="00FE36B6"/>
    <w:rsid w:val="00FE3C2C"/>
    <w:rsid w:val="00FE59BA"/>
    <w:rsid w:val="00FE641A"/>
    <w:rsid w:val="00FE6F1D"/>
    <w:rsid w:val="00FF07D5"/>
    <w:rsid w:val="00FF1060"/>
    <w:rsid w:val="00FF2C6E"/>
    <w:rsid w:val="00FF35E7"/>
    <w:rsid w:val="00FF3921"/>
    <w:rsid w:val="00FF4D83"/>
    <w:rsid w:val="00FF5CF9"/>
    <w:rsid w:val="00FF63D6"/>
    <w:rsid w:val="00FF7CB3"/>
    <w:rsid w:val="06F62467"/>
    <w:rsid w:val="126B07B2"/>
    <w:rsid w:val="14DA401C"/>
    <w:rsid w:val="19371A3D"/>
    <w:rsid w:val="19547F4F"/>
    <w:rsid w:val="26DDF200"/>
    <w:rsid w:val="378F21D4"/>
    <w:rsid w:val="3D7FE15C"/>
    <w:rsid w:val="3EFFD26C"/>
    <w:rsid w:val="5B3551D2"/>
    <w:rsid w:val="5BFED9F8"/>
    <w:rsid w:val="5E0E1E65"/>
    <w:rsid w:val="5EB80CF4"/>
    <w:rsid w:val="5FFBD015"/>
    <w:rsid w:val="69E759C3"/>
    <w:rsid w:val="6C093C3F"/>
    <w:rsid w:val="765972B7"/>
    <w:rsid w:val="766F14AE"/>
    <w:rsid w:val="77E8114E"/>
    <w:rsid w:val="77EB8603"/>
    <w:rsid w:val="79F2B4D0"/>
    <w:rsid w:val="7ABB429C"/>
    <w:rsid w:val="7CB9602C"/>
    <w:rsid w:val="7DF7D071"/>
    <w:rsid w:val="7EBB8FB5"/>
    <w:rsid w:val="7F6776A3"/>
    <w:rsid w:val="7FDF22CF"/>
    <w:rsid w:val="7FFE5203"/>
    <w:rsid w:val="7FFF0D9F"/>
    <w:rsid w:val="8F9B5D2F"/>
    <w:rsid w:val="97731D1A"/>
    <w:rsid w:val="9FDB483F"/>
    <w:rsid w:val="C3FB0819"/>
    <w:rsid w:val="DBFD919C"/>
    <w:rsid w:val="DFBD6885"/>
    <w:rsid w:val="EFCF0738"/>
    <w:rsid w:val="F7BF4648"/>
    <w:rsid w:val="F9BE554A"/>
    <w:rsid w:val="FABE7120"/>
    <w:rsid w:val="FBF7991C"/>
    <w:rsid w:val="FDFDEFC2"/>
    <w:rsid w:val="FDFEDF1C"/>
    <w:rsid w:val="FEDFC94E"/>
    <w:rsid w:val="FEFF09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iPriority="9" w:semiHidden="0" w:name="heading 4"/>
    <w:lsdException w:qFormat="1" w:uiPriority="9"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semiHidden="0" w:name="footnote text"/>
    <w:lsdException w:qFormat="1"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iPriority="99" w:semiHidden="0" w:name="footnote reference"/>
    <w:lsdException w:qFormat="1"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qFormat="1" w:unhideWhenUsed="0" w:uiPriority="99"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0" w:semiHidden="0" w:name="Emphasis"/>
    <w:lsdException w:qFormat="1" w:uiPriority="0" w:semiHidden="0" w:name="Document Map"/>
    <w:lsdException w:qFormat="1"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4">
    <w:name w:val="heading 1"/>
    <w:basedOn w:val="1"/>
    <w:next w:val="1"/>
    <w:link w:val="46"/>
    <w:qFormat/>
    <w:uiPriority w:val="0"/>
    <w:pPr>
      <w:keepNext/>
      <w:keepLines/>
      <w:spacing w:before="340" w:after="330" w:line="578" w:lineRule="auto"/>
      <w:outlineLvl w:val="0"/>
    </w:pPr>
    <w:rPr>
      <w:rFonts w:ascii="Calibri" w:hAnsi="Calibri"/>
      <w:b/>
      <w:bCs/>
      <w:kern w:val="44"/>
      <w:sz w:val="44"/>
      <w:szCs w:val="44"/>
      <w:lang w:val="zh-CN" w:eastAsia="zh-CN"/>
    </w:rPr>
  </w:style>
  <w:style w:type="paragraph" w:styleId="5">
    <w:name w:val="heading 2"/>
    <w:basedOn w:val="1"/>
    <w:next w:val="6"/>
    <w:link w:val="47"/>
    <w:qFormat/>
    <w:uiPriority w:val="0"/>
    <w:pPr>
      <w:keepNext/>
      <w:keepLines/>
      <w:spacing w:before="260" w:after="260" w:line="416" w:lineRule="auto"/>
      <w:outlineLvl w:val="1"/>
    </w:pPr>
    <w:rPr>
      <w:rFonts w:ascii="Arial" w:hAnsi="Arial" w:eastAsia="黑体"/>
      <w:b/>
      <w:sz w:val="32"/>
    </w:rPr>
  </w:style>
  <w:style w:type="paragraph" w:styleId="7">
    <w:name w:val="heading 3"/>
    <w:basedOn w:val="1"/>
    <w:next w:val="1"/>
    <w:link w:val="48"/>
    <w:qFormat/>
    <w:uiPriority w:val="9"/>
    <w:pPr>
      <w:keepNext/>
      <w:keepLines/>
      <w:spacing w:before="260" w:after="260" w:line="416" w:lineRule="auto"/>
      <w:outlineLvl w:val="2"/>
    </w:pPr>
    <w:rPr>
      <w:b/>
      <w:bCs/>
      <w:sz w:val="32"/>
      <w:szCs w:val="32"/>
    </w:rPr>
  </w:style>
  <w:style w:type="paragraph" w:styleId="8">
    <w:name w:val="heading 4"/>
    <w:basedOn w:val="1"/>
    <w:next w:val="1"/>
    <w:link w:val="49"/>
    <w:unhideWhenUsed/>
    <w:qFormat/>
    <w:uiPriority w:val="9"/>
    <w:pPr>
      <w:keepNext/>
      <w:keepLines/>
      <w:spacing w:before="280" w:after="290" w:line="376" w:lineRule="auto"/>
      <w:outlineLvl w:val="3"/>
    </w:pPr>
    <w:rPr>
      <w:rFonts w:ascii="Calibri Light" w:hAnsi="Calibri Light"/>
      <w:b/>
      <w:bCs/>
      <w:sz w:val="28"/>
      <w:szCs w:val="28"/>
    </w:rPr>
  </w:style>
  <w:style w:type="paragraph" w:styleId="9">
    <w:name w:val="heading 5"/>
    <w:basedOn w:val="1"/>
    <w:next w:val="1"/>
    <w:link w:val="50"/>
    <w:unhideWhenUsed/>
    <w:qFormat/>
    <w:uiPriority w:val="9"/>
    <w:pPr>
      <w:keepNext/>
      <w:keepLines/>
      <w:spacing w:before="280" w:after="290" w:line="376" w:lineRule="auto"/>
      <w:outlineLvl w:val="4"/>
    </w:pPr>
    <w:rPr>
      <w:rFonts w:ascii="Calibri" w:hAnsi="Calibri"/>
      <w:b/>
      <w:bCs/>
      <w:sz w:val="28"/>
      <w:szCs w:val="28"/>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qFormat/>
    <w:uiPriority w:val="0"/>
    <w:pPr>
      <w:ind w:firstLine="420" w:firstLineChars="100"/>
    </w:pPr>
  </w:style>
  <w:style w:type="paragraph" w:styleId="3">
    <w:name w:val="Body Text"/>
    <w:basedOn w:val="1"/>
    <w:qFormat/>
    <w:uiPriority w:val="0"/>
    <w:rPr>
      <w:sz w:val="28"/>
    </w:rPr>
  </w:style>
  <w:style w:type="paragraph" w:styleId="6">
    <w:name w:val="Normal Indent"/>
    <w:basedOn w:val="1"/>
    <w:qFormat/>
    <w:uiPriority w:val="99"/>
    <w:pPr>
      <w:ind w:firstLine="420"/>
    </w:pPr>
  </w:style>
  <w:style w:type="paragraph" w:styleId="10">
    <w:name w:val="toc 7"/>
    <w:basedOn w:val="1"/>
    <w:next w:val="1"/>
    <w:unhideWhenUsed/>
    <w:qFormat/>
    <w:uiPriority w:val="39"/>
    <w:pPr>
      <w:ind w:left="2520" w:leftChars="1200"/>
    </w:pPr>
    <w:rPr>
      <w:rFonts w:ascii="Calibri" w:hAnsi="Calibri"/>
      <w:szCs w:val="22"/>
    </w:rPr>
  </w:style>
  <w:style w:type="paragraph" w:styleId="11">
    <w:name w:val="Document Map"/>
    <w:basedOn w:val="1"/>
    <w:link w:val="67"/>
    <w:unhideWhenUsed/>
    <w:qFormat/>
    <w:uiPriority w:val="0"/>
    <w:rPr>
      <w:rFonts w:ascii="宋体" w:hAnsi="Calibri"/>
      <w:kern w:val="0"/>
      <w:sz w:val="18"/>
      <w:szCs w:val="18"/>
      <w:lang w:val="zh-CN" w:eastAsia="zh-CN"/>
    </w:rPr>
  </w:style>
  <w:style w:type="paragraph" w:styleId="12">
    <w:name w:val="annotation text"/>
    <w:basedOn w:val="1"/>
    <w:link w:val="69"/>
    <w:unhideWhenUsed/>
    <w:qFormat/>
    <w:uiPriority w:val="0"/>
    <w:pPr>
      <w:jc w:val="left"/>
    </w:pPr>
    <w:rPr>
      <w:rFonts w:ascii="Calibri" w:hAnsi="Calibri"/>
      <w:szCs w:val="22"/>
    </w:rPr>
  </w:style>
  <w:style w:type="paragraph" w:styleId="13">
    <w:name w:val="Body Text 3"/>
    <w:basedOn w:val="1"/>
    <w:qFormat/>
    <w:uiPriority w:val="0"/>
    <w:rPr>
      <w:rFonts w:eastAsia="方正楷体简体"/>
      <w:sz w:val="24"/>
    </w:rPr>
  </w:style>
  <w:style w:type="paragraph" w:styleId="14">
    <w:name w:val="Body Text Indent"/>
    <w:basedOn w:val="1"/>
    <w:link w:val="53"/>
    <w:qFormat/>
    <w:uiPriority w:val="0"/>
    <w:pPr>
      <w:ind w:firstLine="645"/>
    </w:pPr>
    <w:rPr>
      <w:rFonts w:ascii="仿宋_GB2312" w:eastAsia="仿宋_GB2312"/>
      <w:sz w:val="32"/>
    </w:rPr>
  </w:style>
  <w:style w:type="paragraph" w:styleId="15">
    <w:name w:val="toc 5"/>
    <w:basedOn w:val="1"/>
    <w:next w:val="1"/>
    <w:unhideWhenUsed/>
    <w:qFormat/>
    <w:uiPriority w:val="39"/>
    <w:pPr>
      <w:ind w:left="1680" w:leftChars="800"/>
    </w:pPr>
    <w:rPr>
      <w:rFonts w:ascii="Calibri" w:hAnsi="Calibri"/>
      <w:szCs w:val="22"/>
    </w:rPr>
  </w:style>
  <w:style w:type="paragraph" w:styleId="16">
    <w:name w:val="toc 3"/>
    <w:basedOn w:val="1"/>
    <w:next w:val="1"/>
    <w:unhideWhenUsed/>
    <w:qFormat/>
    <w:uiPriority w:val="39"/>
    <w:pPr>
      <w:widowControl/>
      <w:spacing w:after="100" w:line="276" w:lineRule="auto"/>
      <w:ind w:left="440"/>
      <w:jc w:val="left"/>
    </w:pPr>
    <w:rPr>
      <w:rFonts w:ascii="Calibri" w:hAnsi="Calibri"/>
      <w:kern w:val="0"/>
      <w:sz w:val="22"/>
      <w:szCs w:val="22"/>
    </w:rPr>
  </w:style>
  <w:style w:type="paragraph" w:styleId="17">
    <w:name w:val="Plain Text"/>
    <w:basedOn w:val="1"/>
    <w:link w:val="55"/>
    <w:qFormat/>
    <w:uiPriority w:val="0"/>
    <w:rPr>
      <w:rFonts w:ascii="宋体" w:hAnsi="Courier New"/>
    </w:rPr>
  </w:style>
  <w:style w:type="paragraph" w:styleId="18">
    <w:name w:val="toc 8"/>
    <w:basedOn w:val="1"/>
    <w:next w:val="1"/>
    <w:unhideWhenUsed/>
    <w:qFormat/>
    <w:uiPriority w:val="39"/>
    <w:pPr>
      <w:ind w:left="2940" w:leftChars="1400"/>
    </w:pPr>
    <w:rPr>
      <w:rFonts w:ascii="Calibri" w:hAnsi="Calibri"/>
      <w:szCs w:val="22"/>
    </w:rPr>
  </w:style>
  <w:style w:type="paragraph" w:styleId="19">
    <w:name w:val="Date"/>
    <w:basedOn w:val="1"/>
    <w:next w:val="1"/>
    <w:link w:val="54"/>
    <w:qFormat/>
    <w:uiPriority w:val="99"/>
    <w:rPr>
      <w:sz w:val="28"/>
    </w:rPr>
  </w:style>
  <w:style w:type="paragraph" w:styleId="20">
    <w:name w:val="Body Text Indent 2"/>
    <w:basedOn w:val="1"/>
    <w:link w:val="84"/>
    <w:qFormat/>
    <w:uiPriority w:val="0"/>
    <w:pPr>
      <w:spacing w:line="600" w:lineRule="exact"/>
      <w:ind w:firstLine="646"/>
    </w:pPr>
    <w:rPr>
      <w:rFonts w:ascii="仿宋_GB2312" w:eastAsia="仿宋_GB2312"/>
      <w:sz w:val="32"/>
    </w:rPr>
  </w:style>
  <w:style w:type="paragraph" w:styleId="21">
    <w:name w:val="Balloon Text"/>
    <w:basedOn w:val="1"/>
    <w:link w:val="56"/>
    <w:qFormat/>
    <w:uiPriority w:val="0"/>
    <w:rPr>
      <w:sz w:val="18"/>
      <w:szCs w:val="18"/>
    </w:rPr>
  </w:style>
  <w:style w:type="paragraph" w:styleId="22">
    <w:name w:val="footer"/>
    <w:basedOn w:val="1"/>
    <w:link w:val="51"/>
    <w:qFormat/>
    <w:uiPriority w:val="99"/>
    <w:pPr>
      <w:tabs>
        <w:tab w:val="center" w:pos="4153"/>
        <w:tab w:val="right" w:pos="8306"/>
      </w:tabs>
      <w:snapToGrid w:val="0"/>
      <w:jc w:val="left"/>
    </w:pPr>
    <w:rPr>
      <w:sz w:val="18"/>
    </w:rPr>
  </w:style>
  <w:style w:type="paragraph" w:styleId="23">
    <w:name w:val="header"/>
    <w:basedOn w:val="1"/>
    <w:link w:val="52"/>
    <w:qFormat/>
    <w:uiPriority w:val="0"/>
    <w:pPr>
      <w:pBdr>
        <w:bottom w:val="single" w:color="auto" w:sz="6" w:space="1"/>
      </w:pBdr>
      <w:tabs>
        <w:tab w:val="center" w:pos="4153"/>
        <w:tab w:val="right" w:pos="8306"/>
      </w:tabs>
      <w:snapToGrid w:val="0"/>
      <w:jc w:val="center"/>
    </w:pPr>
    <w:rPr>
      <w:sz w:val="18"/>
    </w:rPr>
  </w:style>
  <w:style w:type="paragraph" w:styleId="24">
    <w:name w:val="toc 1"/>
    <w:basedOn w:val="1"/>
    <w:next w:val="1"/>
    <w:unhideWhenUsed/>
    <w:qFormat/>
    <w:uiPriority w:val="39"/>
    <w:pPr>
      <w:widowControl/>
      <w:spacing w:after="100" w:line="276" w:lineRule="auto"/>
      <w:jc w:val="left"/>
    </w:pPr>
    <w:rPr>
      <w:rFonts w:ascii="Calibri" w:hAnsi="Calibri"/>
      <w:kern w:val="0"/>
      <w:sz w:val="22"/>
      <w:szCs w:val="22"/>
    </w:rPr>
  </w:style>
  <w:style w:type="paragraph" w:styleId="25">
    <w:name w:val="toc 4"/>
    <w:basedOn w:val="1"/>
    <w:next w:val="1"/>
    <w:unhideWhenUsed/>
    <w:qFormat/>
    <w:uiPriority w:val="39"/>
    <w:pPr>
      <w:ind w:left="1260" w:leftChars="600"/>
    </w:pPr>
    <w:rPr>
      <w:rFonts w:ascii="Calibri" w:hAnsi="Calibri"/>
      <w:szCs w:val="22"/>
    </w:rPr>
  </w:style>
  <w:style w:type="paragraph" w:styleId="26">
    <w:name w:val="Subtitle"/>
    <w:basedOn w:val="1"/>
    <w:next w:val="1"/>
    <w:link w:val="75"/>
    <w:qFormat/>
    <w:uiPriority w:val="11"/>
    <w:pPr>
      <w:spacing w:before="240" w:after="60"/>
      <w:ind w:firstLine="200" w:firstLineChars="200"/>
      <w:jc w:val="left"/>
      <w:outlineLvl w:val="1"/>
    </w:pPr>
    <w:rPr>
      <w:rFonts w:ascii="Cambria" w:hAnsi="Cambria" w:eastAsia="仿宋_GB2312"/>
      <w:bCs/>
      <w:kern w:val="28"/>
      <w:sz w:val="28"/>
      <w:szCs w:val="32"/>
      <w:lang w:val="zh-CN" w:eastAsia="zh-CN"/>
    </w:rPr>
  </w:style>
  <w:style w:type="paragraph" w:styleId="27">
    <w:name w:val="footnote text"/>
    <w:basedOn w:val="1"/>
    <w:link w:val="68"/>
    <w:unhideWhenUsed/>
    <w:qFormat/>
    <w:uiPriority w:val="99"/>
    <w:pPr>
      <w:snapToGrid w:val="0"/>
      <w:jc w:val="left"/>
    </w:pPr>
    <w:rPr>
      <w:rFonts w:ascii="Calibri" w:hAnsi="Calibri"/>
      <w:kern w:val="0"/>
      <w:sz w:val="18"/>
      <w:szCs w:val="18"/>
      <w:lang w:val="zh-CN" w:eastAsia="zh-CN"/>
    </w:rPr>
  </w:style>
  <w:style w:type="paragraph" w:styleId="28">
    <w:name w:val="toc 6"/>
    <w:basedOn w:val="1"/>
    <w:next w:val="1"/>
    <w:unhideWhenUsed/>
    <w:qFormat/>
    <w:uiPriority w:val="39"/>
    <w:pPr>
      <w:ind w:left="2100" w:leftChars="1000"/>
    </w:pPr>
    <w:rPr>
      <w:rFonts w:ascii="Calibri" w:hAnsi="Calibri"/>
      <w:szCs w:val="22"/>
    </w:rPr>
  </w:style>
  <w:style w:type="paragraph" w:styleId="29">
    <w:name w:val="Body Text Indent 3"/>
    <w:basedOn w:val="1"/>
    <w:qFormat/>
    <w:uiPriority w:val="0"/>
    <w:pPr>
      <w:spacing w:line="560" w:lineRule="exact"/>
      <w:ind w:firstLine="644"/>
    </w:pPr>
    <w:rPr>
      <w:rFonts w:ascii="方正仿宋简体" w:eastAsia="方正仿宋简体"/>
      <w:sz w:val="30"/>
    </w:rPr>
  </w:style>
  <w:style w:type="paragraph" w:styleId="30">
    <w:name w:val="toc 2"/>
    <w:basedOn w:val="1"/>
    <w:next w:val="1"/>
    <w:unhideWhenUsed/>
    <w:qFormat/>
    <w:uiPriority w:val="39"/>
    <w:pPr>
      <w:widowControl/>
      <w:spacing w:after="100" w:line="276" w:lineRule="auto"/>
      <w:ind w:left="220"/>
      <w:jc w:val="left"/>
    </w:pPr>
    <w:rPr>
      <w:rFonts w:ascii="Calibri" w:hAnsi="Calibri"/>
      <w:kern w:val="0"/>
      <w:sz w:val="22"/>
      <w:szCs w:val="22"/>
    </w:rPr>
  </w:style>
  <w:style w:type="paragraph" w:styleId="31">
    <w:name w:val="toc 9"/>
    <w:basedOn w:val="1"/>
    <w:next w:val="1"/>
    <w:unhideWhenUsed/>
    <w:qFormat/>
    <w:uiPriority w:val="39"/>
    <w:pPr>
      <w:ind w:left="3360" w:leftChars="1600"/>
    </w:pPr>
    <w:rPr>
      <w:rFonts w:ascii="Calibri" w:hAnsi="Calibri"/>
      <w:szCs w:val="22"/>
    </w:rPr>
  </w:style>
  <w:style w:type="paragraph" w:styleId="32">
    <w:name w:val="Body Text 2"/>
    <w:basedOn w:val="1"/>
    <w:qFormat/>
    <w:uiPriority w:val="0"/>
    <w:pPr>
      <w:spacing w:before="60" w:line="560" w:lineRule="exact"/>
      <w:jc w:val="center"/>
    </w:pPr>
    <w:rPr>
      <w:rFonts w:eastAsia="方正小标宋简体"/>
      <w:sz w:val="44"/>
    </w:rPr>
  </w:style>
  <w:style w:type="paragraph" w:styleId="33">
    <w:name w:val="HTML Preformatted"/>
    <w:basedOn w:val="1"/>
    <w:link w:val="85"/>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kern w:val="0"/>
      <w:sz w:val="20"/>
      <w:lang w:val="zh-CN" w:eastAsia="zh-CN"/>
    </w:rPr>
  </w:style>
  <w:style w:type="paragraph" w:styleId="34">
    <w:name w:val="Normal (Web)"/>
    <w:basedOn w:val="1"/>
    <w:unhideWhenUsed/>
    <w:qFormat/>
    <w:uiPriority w:val="0"/>
    <w:pPr>
      <w:widowControl/>
      <w:spacing w:before="100" w:beforeAutospacing="1" w:after="100" w:afterAutospacing="1"/>
      <w:jc w:val="left"/>
    </w:pPr>
    <w:rPr>
      <w:rFonts w:ascii="宋体" w:hAnsi="宋体" w:cs="宋体"/>
      <w:kern w:val="0"/>
      <w:sz w:val="24"/>
      <w:szCs w:val="24"/>
    </w:rPr>
  </w:style>
  <w:style w:type="paragraph" w:styleId="35">
    <w:name w:val="Title"/>
    <w:basedOn w:val="1"/>
    <w:next w:val="1"/>
    <w:link w:val="74"/>
    <w:qFormat/>
    <w:uiPriority w:val="0"/>
    <w:pPr>
      <w:spacing w:before="240" w:after="60"/>
      <w:ind w:left="100" w:leftChars="100" w:right="100" w:rightChars="100" w:firstLine="200" w:firstLineChars="200"/>
      <w:jc w:val="center"/>
      <w:outlineLvl w:val="0"/>
    </w:pPr>
    <w:rPr>
      <w:rFonts w:ascii="Cambria" w:hAnsi="Cambria" w:eastAsia="仿宋_GB2312"/>
      <w:b/>
      <w:bCs/>
      <w:kern w:val="0"/>
      <w:sz w:val="30"/>
      <w:szCs w:val="32"/>
      <w:lang w:val="zh-CN" w:eastAsia="zh-CN"/>
    </w:rPr>
  </w:style>
  <w:style w:type="paragraph" w:styleId="36">
    <w:name w:val="annotation subject"/>
    <w:basedOn w:val="12"/>
    <w:next w:val="12"/>
    <w:link w:val="71"/>
    <w:unhideWhenUsed/>
    <w:qFormat/>
    <w:uiPriority w:val="0"/>
    <w:rPr>
      <w:b/>
      <w:bCs/>
      <w:kern w:val="0"/>
      <w:sz w:val="20"/>
      <w:szCs w:val="20"/>
      <w:lang w:val="zh-CN" w:eastAsia="zh-CN"/>
    </w:rPr>
  </w:style>
  <w:style w:type="table" w:styleId="38">
    <w:name w:val="Table Grid"/>
    <w:basedOn w:val="3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0">
    <w:name w:val="Strong"/>
    <w:qFormat/>
    <w:uiPriority w:val="22"/>
    <w:rPr>
      <w:b/>
      <w:color w:val="23527C"/>
      <w:u w:val="none"/>
    </w:rPr>
  </w:style>
  <w:style w:type="character" w:styleId="41">
    <w:name w:val="page number"/>
    <w:basedOn w:val="39"/>
    <w:qFormat/>
    <w:uiPriority w:val="0"/>
  </w:style>
  <w:style w:type="character" w:styleId="42">
    <w:name w:val="FollowedHyperlink"/>
    <w:unhideWhenUsed/>
    <w:qFormat/>
    <w:uiPriority w:val="99"/>
    <w:rPr>
      <w:color w:val="800080"/>
      <w:u w:val="single"/>
    </w:rPr>
  </w:style>
  <w:style w:type="character" w:styleId="43">
    <w:name w:val="Hyperlink"/>
    <w:qFormat/>
    <w:uiPriority w:val="99"/>
    <w:rPr>
      <w:color w:val="0000FF"/>
      <w:u w:val="single"/>
    </w:rPr>
  </w:style>
  <w:style w:type="character" w:styleId="44">
    <w:name w:val="annotation reference"/>
    <w:unhideWhenUsed/>
    <w:qFormat/>
    <w:uiPriority w:val="0"/>
    <w:rPr>
      <w:sz w:val="21"/>
      <w:szCs w:val="21"/>
    </w:rPr>
  </w:style>
  <w:style w:type="character" w:styleId="45">
    <w:name w:val="footnote reference"/>
    <w:unhideWhenUsed/>
    <w:qFormat/>
    <w:uiPriority w:val="99"/>
    <w:rPr>
      <w:vertAlign w:val="superscript"/>
    </w:rPr>
  </w:style>
  <w:style w:type="character" w:customStyle="1" w:styleId="46">
    <w:name w:val="标题 1 Char"/>
    <w:link w:val="4"/>
    <w:qFormat/>
    <w:uiPriority w:val="0"/>
    <w:rPr>
      <w:rFonts w:ascii="Calibri" w:hAnsi="Calibri"/>
      <w:b/>
      <w:bCs/>
      <w:kern w:val="44"/>
      <w:sz w:val="44"/>
      <w:szCs w:val="44"/>
      <w:lang w:val="zh-CN" w:eastAsia="zh-CN"/>
    </w:rPr>
  </w:style>
  <w:style w:type="character" w:customStyle="1" w:styleId="47">
    <w:name w:val="标题 2 Char"/>
    <w:link w:val="5"/>
    <w:qFormat/>
    <w:uiPriority w:val="0"/>
    <w:rPr>
      <w:rFonts w:ascii="Arial" w:hAnsi="Arial" w:eastAsia="黑体"/>
      <w:b/>
      <w:kern w:val="2"/>
      <w:sz w:val="32"/>
    </w:rPr>
  </w:style>
  <w:style w:type="character" w:customStyle="1" w:styleId="48">
    <w:name w:val="标题 3 Char"/>
    <w:link w:val="7"/>
    <w:qFormat/>
    <w:uiPriority w:val="9"/>
    <w:rPr>
      <w:b/>
      <w:bCs/>
      <w:kern w:val="2"/>
      <w:sz w:val="32"/>
      <w:szCs w:val="32"/>
    </w:rPr>
  </w:style>
  <w:style w:type="character" w:customStyle="1" w:styleId="49">
    <w:name w:val="标题 4 Char"/>
    <w:link w:val="8"/>
    <w:qFormat/>
    <w:uiPriority w:val="9"/>
    <w:rPr>
      <w:rFonts w:ascii="Calibri Light" w:hAnsi="Calibri Light"/>
      <w:b/>
      <w:bCs/>
      <w:kern w:val="2"/>
      <w:sz w:val="28"/>
      <w:szCs w:val="28"/>
    </w:rPr>
  </w:style>
  <w:style w:type="character" w:customStyle="1" w:styleId="50">
    <w:name w:val="标题 5 Char"/>
    <w:link w:val="9"/>
    <w:qFormat/>
    <w:uiPriority w:val="9"/>
    <w:rPr>
      <w:rFonts w:ascii="Calibri" w:hAnsi="Calibri"/>
      <w:b/>
      <w:bCs/>
      <w:kern w:val="2"/>
      <w:sz w:val="28"/>
      <w:szCs w:val="28"/>
    </w:rPr>
  </w:style>
  <w:style w:type="character" w:customStyle="1" w:styleId="51">
    <w:name w:val="页脚 Char"/>
    <w:link w:val="22"/>
    <w:qFormat/>
    <w:locked/>
    <w:uiPriority w:val="99"/>
    <w:rPr>
      <w:kern w:val="2"/>
      <w:sz w:val="18"/>
    </w:rPr>
  </w:style>
  <w:style w:type="character" w:customStyle="1" w:styleId="52">
    <w:name w:val="页眉 Char"/>
    <w:link w:val="23"/>
    <w:qFormat/>
    <w:uiPriority w:val="0"/>
    <w:rPr>
      <w:kern w:val="2"/>
      <w:sz w:val="18"/>
    </w:rPr>
  </w:style>
  <w:style w:type="character" w:customStyle="1" w:styleId="53">
    <w:name w:val="正文文本缩进 Char"/>
    <w:link w:val="14"/>
    <w:qFormat/>
    <w:uiPriority w:val="0"/>
    <w:rPr>
      <w:rFonts w:ascii="仿宋_GB2312" w:eastAsia="仿宋_GB2312"/>
      <w:kern w:val="2"/>
      <w:sz w:val="32"/>
    </w:rPr>
  </w:style>
  <w:style w:type="character" w:customStyle="1" w:styleId="54">
    <w:name w:val="日期 Char"/>
    <w:link w:val="19"/>
    <w:qFormat/>
    <w:uiPriority w:val="99"/>
    <w:rPr>
      <w:kern w:val="2"/>
      <w:sz w:val="28"/>
    </w:rPr>
  </w:style>
  <w:style w:type="character" w:customStyle="1" w:styleId="55">
    <w:name w:val="纯文本 Char"/>
    <w:link w:val="17"/>
    <w:qFormat/>
    <w:locked/>
    <w:uiPriority w:val="0"/>
    <w:rPr>
      <w:rFonts w:ascii="宋体" w:hAnsi="Courier New" w:eastAsia="宋体"/>
      <w:kern w:val="2"/>
      <w:sz w:val="21"/>
      <w:lang w:val="en-US" w:eastAsia="zh-CN" w:bidi="ar-SA"/>
    </w:rPr>
  </w:style>
  <w:style w:type="character" w:customStyle="1" w:styleId="56">
    <w:name w:val="批注框文本 Char"/>
    <w:link w:val="21"/>
    <w:qFormat/>
    <w:uiPriority w:val="0"/>
    <w:rPr>
      <w:kern w:val="2"/>
      <w:sz w:val="18"/>
      <w:szCs w:val="18"/>
    </w:rPr>
  </w:style>
  <w:style w:type="paragraph" w:customStyle="1" w:styleId="57">
    <w:name w:val="_Style 33"/>
    <w:basedOn w:val="1"/>
    <w:next w:val="17"/>
    <w:qFormat/>
    <w:uiPriority w:val="0"/>
    <w:rPr>
      <w:rFonts w:ascii="宋体" w:hAnsi="Courier New"/>
    </w:rPr>
  </w:style>
  <w:style w:type="paragraph" w:customStyle="1" w:styleId="58">
    <w:name w:val="_Style 34"/>
    <w:basedOn w:val="1"/>
    <w:next w:val="17"/>
    <w:qFormat/>
    <w:uiPriority w:val="0"/>
    <w:rPr>
      <w:rFonts w:ascii="宋体" w:hAnsi="Courier New"/>
    </w:rPr>
  </w:style>
  <w:style w:type="paragraph" w:customStyle="1" w:styleId="59">
    <w:name w:val="_Style 35"/>
    <w:basedOn w:val="1"/>
    <w:next w:val="17"/>
    <w:qFormat/>
    <w:uiPriority w:val="0"/>
    <w:rPr>
      <w:rFonts w:ascii="宋体" w:hAnsi="Courier New"/>
    </w:rPr>
  </w:style>
  <w:style w:type="paragraph" w:customStyle="1" w:styleId="60">
    <w:name w:val="_Style 36"/>
    <w:basedOn w:val="1"/>
    <w:next w:val="17"/>
    <w:qFormat/>
    <w:uiPriority w:val="0"/>
    <w:rPr>
      <w:rFonts w:ascii="宋体" w:hAnsi="Courier New"/>
    </w:rPr>
  </w:style>
  <w:style w:type="paragraph" w:customStyle="1" w:styleId="61">
    <w:name w:val="ccb1"/>
    <w:basedOn w:val="1"/>
    <w:qFormat/>
    <w:uiPriority w:val="0"/>
    <w:pPr>
      <w:widowControl/>
      <w:numPr>
        <w:ilvl w:val="8"/>
        <w:numId w:val="1"/>
      </w:numPr>
      <w:spacing w:line="360" w:lineRule="auto"/>
    </w:pPr>
    <w:rPr>
      <w:rFonts w:ascii="楷体" w:eastAsia="楷体"/>
      <w:snapToGrid w:val="0"/>
      <w:kern w:val="0"/>
      <w:sz w:val="28"/>
      <w:lang w:eastAsia="en-US"/>
    </w:rPr>
  </w:style>
  <w:style w:type="paragraph" w:styleId="62">
    <w:name w:val="List Paragraph"/>
    <w:basedOn w:val="1"/>
    <w:link w:val="63"/>
    <w:qFormat/>
    <w:uiPriority w:val="34"/>
    <w:pPr>
      <w:ind w:firstLine="420" w:firstLineChars="200"/>
    </w:pPr>
  </w:style>
  <w:style w:type="character" w:customStyle="1" w:styleId="63">
    <w:name w:val="列出段落 Char"/>
    <w:link w:val="62"/>
    <w:qFormat/>
    <w:uiPriority w:val="34"/>
    <w:rPr>
      <w:kern w:val="2"/>
      <w:sz w:val="21"/>
    </w:rPr>
  </w:style>
  <w:style w:type="paragraph" w:customStyle="1" w:styleId="64">
    <w:name w:val="Revision"/>
    <w:hidden/>
    <w:qFormat/>
    <w:uiPriority w:val="99"/>
    <w:rPr>
      <w:rFonts w:ascii="Times New Roman" w:hAnsi="Times New Roman" w:eastAsia="宋体" w:cs="Times New Roman"/>
      <w:kern w:val="2"/>
      <w:sz w:val="21"/>
      <w:lang w:val="en-US" w:eastAsia="zh-CN" w:bidi="ar-SA"/>
    </w:rPr>
  </w:style>
  <w:style w:type="paragraph" w:customStyle="1" w:styleId="65">
    <w:name w:val="Default"/>
    <w:qFormat/>
    <w:uiPriority w:val="0"/>
    <w:pPr>
      <w:widowControl w:val="0"/>
      <w:autoSpaceDE w:val="0"/>
      <w:autoSpaceDN w:val="0"/>
      <w:adjustRightInd w:val="0"/>
    </w:pPr>
    <w:rPr>
      <w:rFonts w:ascii="Arial Unicode MS" w:hAnsi="Calibri" w:eastAsia="Arial Unicode MS" w:cs="Arial Unicode MS"/>
      <w:color w:val="000000"/>
      <w:sz w:val="24"/>
      <w:szCs w:val="24"/>
      <w:lang w:val="en-US" w:eastAsia="zh-CN" w:bidi="ar-SA"/>
    </w:rPr>
  </w:style>
  <w:style w:type="paragraph" w:customStyle="1" w:styleId="66">
    <w:name w:val="Normal0"/>
    <w:qFormat/>
    <w:uiPriority w:val="0"/>
    <w:rPr>
      <w:rFonts w:ascii="Times New Roman" w:hAnsi="Times New Roman" w:eastAsia="宋体" w:cs="Times New Roman"/>
      <w:lang w:val="en-US" w:eastAsia="en-US" w:bidi="ar-SA"/>
    </w:rPr>
  </w:style>
  <w:style w:type="character" w:customStyle="1" w:styleId="67">
    <w:name w:val="文档结构图 Char"/>
    <w:link w:val="11"/>
    <w:qFormat/>
    <w:uiPriority w:val="0"/>
    <w:rPr>
      <w:rFonts w:ascii="宋体" w:hAnsi="Calibri"/>
      <w:sz w:val="18"/>
      <w:szCs w:val="18"/>
      <w:lang w:val="zh-CN" w:eastAsia="zh-CN"/>
    </w:rPr>
  </w:style>
  <w:style w:type="character" w:customStyle="1" w:styleId="68">
    <w:name w:val="脚注文本 Char"/>
    <w:link w:val="27"/>
    <w:qFormat/>
    <w:uiPriority w:val="99"/>
    <w:rPr>
      <w:rFonts w:ascii="Calibri" w:hAnsi="Calibri"/>
      <w:sz w:val="18"/>
      <w:szCs w:val="18"/>
      <w:lang w:val="zh-CN" w:eastAsia="zh-CN"/>
    </w:rPr>
  </w:style>
  <w:style w:type="character" w:customStyle="1" w:styleId="69">
    <w:name w:val="批注文字 Char1"/>
    <w:link w:val="12"/>
    <w:qFormat/>
    <w:uiPriority w:val="0"/>
    <w:rPr>
      <w:rFonts w:ascii="Calibri" w:hAnsi="Calibri"/>
      <w:kern w:val="2"/>
      <w:sz w:val="21"/>
      <w:szCs w:val="22"/>
    </w:rPr>
  </w:style>
  <w:style w:type="character" w:customStyle="1" w:styleId="70">
    <w:name w:val="批注文字 Char"/>
    <w:qFormat/>
    <w:uiPriority w:val="0"/>
    <w:rPr>
      <w:kern w:val="2"/>
      <w:sz w:val="21"/>
    </w:rPr>
  </w:style>
  <w:style w:type="character" w:customStyle="1" w:styleId="71">
    <w:name w:val="批注主题 Char"/>
    <w:link w:val="36"/>
    <w:qFormat/>
    <w:uiPriority w:val="0"/>
    <w:rPr>
      <w:rFonts w:ascii="Calibri" w:hAnsi="Calibri"/>
      <w:b/>
      <w:bCs/>
      <w:kern w:val="2"/>
      <w:sz w:val="21"/>
      <w:lang w:val="zh-CN" w:eastAsia="zh-CN"/>
    </w:rPr>
  </w:style>
  <w:style w:type="paragraph" w:customStyle="1" w:styleId="72">
    <w:name w:val="正文样式"/>
    <w:basedOn w:val="62"/>
    <w:link w:val="73"/>
    <w:qFormat/>
    <w:uiPriority w:val="0"/>
    <w:pPr>
      <w:spacing w:beforeLines="100" w:afterLines="50" w:line="360" w:lineRule="auto"/>
      <w:ind w:left="1260" w:leftChars="600" w:firstLine="0" w:firstLineChars="0"/>
    </w:pPr>
    <w:rPr>
      <w:rFonts w:ascii="仿宋_GB2312" w:eastAsia="仿宋_GB2312"/>
      <w:kern w:val="0"/>
      <w:sz w:val="28"/>
      <w:szCs w:val="28"/>
      <w:lang w:val="zh-CN" w:eastAsia="zh-CN"/>
    </w:rPr>
  </w:style>
  <w:style w:type="character" w:customStyle="1" w:styleId="73">
    <w:name w:val="正文样式 Char"/>
    <w:link w:val="72"/>
    <w:qFormat/>
    <w:uiPriority w:val="0"/>
    <w:rPr>
      <w:rFonts w:ascii="仿宋_GB2312" w:eastAsia="仿宋_GB2312"/>
      <w:sz w:val="28"/>
      <w:szCs w:val="28"/>
      <w:lang w:val="zh-CN" w:eastAsia="zh-CN"/>
    </w:rPr>
  </w:style>
  <w:style w:type="character" w:customStyle="1" w:styleId="74">
    <w:name w:val="标题 Char"/>
    <w:link w:val="35"/>
    <w:qFormat/>
    <w:uiPriority w:val="0"/>
    <w:rPr>
      <w:rFonts w:ascii="Cambria" w:hAnsi="Cambria" w:eastAsia="仿宋_GB2312"/>
      <w:b/>
      <w:bCs/>
      <w:sz w:val="30"/>
      <w:szCs w:val="32"/>
      <w:lang w:val="zh-CN" w:eastAsia="zh-CN"/>
    </w:rPr>
  </w:style>
  <w:style w:type="character" w:customStyle="1" w:styleId="75">
    <w:name w:val="副标题 Char"/>
    <w:link w:val="26"/>
    <w:qFormat/>
    <w:uiPriority w:val="11"/>
    <w:rPr>
      <w:rFonts w:ascii="Cambria" w:hAnsi="Cambria" w:eastAsia="仿宋_GB2312"/>
      <w:bCs/>
      <w:kern w:val="28"/>
      <w:sz w:val="28"/>
      <w:szCs w:val="32"/>
      <w:lang w:val="zh-CN" w:eastAsia="zh-CN"/>
    </w:rPr>
  </w:style>
  <w:style w:type="paragraph" w:customStyle="1" w:styleId="76">
    <w:name w:val="中等深浅网格 21"/>
    <w:basedOn w:val="1"/>
    <w:next w:val="1"/>
    <w:qFormat/>
    <w:uiPriority w:val="1"/>
    <w:pPr>
      <w:ind w:firstLine="200" w:firstLineChars="200"/>
      <w:jc w:val="left"/>
    </w:pPr>
    <w:rPr>
      <w:rFonts w:ascii="Calibri" w:hAnsi="Calibri" w:eastAsia="仿宋_GB2312"/>
      <w:sz w:val="28"/>
      <w:szCs w:val="22"/>
    </w:rPr>
  </w:style>
  <w:style w:type="paragraph" w:customStyle="1" w:styleId="77">
    <w:name w:val="彩色列表 - 强调文字颜色 11"/>
    <w:basedOn w:val="1"/>
    <w:qFormat/>
    <w:uiPriority w:val="34"/>
    <w:pPr>
      <w:ind w:firstLine="420" w:firstLineChars="200"/>
    </w:pPr>
    <w:rPr>
      <w:rFonts w:ascii="Calibri" w:hAnsi="Calibri"/>
      <w:szCs w:val="22"/>
    </w:rPr>
  </w:style>
  <w:style w:type="paragraph" w:customStyle="1" w:styleId="78">
    <w:name w:val="TOC Heading1"/>
    <w:basedOn w:val="4"/>
    <w:next w:val="1"/>
    <w:unhideWhenUsed/>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79">
    <w:name w:val="列出段落1"/>
    <w:basedOn w:val="1"/>
    <w:qFormat/>
    <w:uiPriority w:val="0"/>
    <w:pPr>
      <w:ind w:firstLine="200" w:firstLineChars="200"/>
    </w:pPr>
    <w:rPr>
      <w:rFonts w:ascii="Calibri" w:hAnsi="Calibri"/>
      <w:szCs w:val="22"/>
    </w:rPr>
  </w:style>
  <w:style w:type="paragraph" w:customStyle="1" w:styleId="80">
    <w:name w:val="列出段落2"/>
    <w:basedOn w:val="1"/>
    <w:qFormat/>
    <w:uiPriority w:val="0"/>
    <w:pPr>
      <w:ind w:firstLine="420" w:firstLineChars="200"/>
    </w:pPr>
    <w:rPr>
      <w:rFonts w:ascii="Calibri" w:hAnsi="Calibri"/>
      <w:kern w:val="0"/>
      <w:sz w:val="20"/>
      <w:lang w:val="zh-CN" w:eastAsia="zh-CN"/>
    </w:rPr>
  </w:style>
  <w:style w:type="table" w:customStyle="1" w:styleId="81">
    <w:name w:val="网格型1"/>
    <w:basedOn w:val="37"/>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82">
    <w:name w:val="彩色底纹 - 强调文字颜色 11"/>
    <w:hidden/>
    <w:semiHidden/>
    <w:qFormat/>
    <w:uiPriority w:val="99"/>
    <w:rPr>
      <w:rFonts w:ascii="Calibri" w:hAnsi="Calibri" w:eastAsia="宋体" w:cs="Times New Roman"/>
      <w:kern w:val="2"/>
      <w:sz w:val="21"/>
      <w:szCs w:val="22"/>
      <w:lang w:val="en-US" w:eastAsia="zh-CN" w:bidi="ar-SA"/>
    </w:rPr>
  </w:style>
  <w:style w:type="character" w:customStyle="1" w:styleId="83">
    <w:name w:val="g1"/>
    <w:qFormat/>
    <w:uiPriority w:val="0"/>
    <w:rPr>
      <w:color w:val="008000"/>
    </w:rPr>
  </w:style>
  <w:style w:type="character" w:customStyle="1" w:styleId="84">
    <w:name w:val="正文文本缩进 2 Char"/>
    <w:link w:val="20"/>
    <w:qFormat/>
    <w:uiPriority w:val="0"/>
    <w:rPr>
      <w:rFonts w:ascii="仿宋_GB2312" w:eastAsia="仿宋_GB2312"/>
      <w:kern w:val="2"/>
      <w:sz w:val="32"/>
    </w:rPr>
  </w:style>
  <w:style w:type="character" w:customStyle="1" w:styleId="85">
    <w:name w:val="HTML 预设格式 Char"/>
    <w:link w:val="33"/>
    <w:qFormat/>
    <w:uiPriority w:val="0"/>
    <w:rPr>
      <w:rFonts w:ascii="黑体" w:hAnsi="Courier New" w:eastAsia="黑体"/>
      <w:lang w:val="zh-CN" w:eastAsia="zh-CN"/>
    </w:rPr>
  </w:style>
  <w:style w:type="paragraph" w:customStyle="1" w:styleId="86">
    <w:name w:val="样式1"/>
    <w:basedOn w:val="4"/>
    <w:qFormat/>
    <w:uiPriority w:val="0"/>
    <w:pPr>
      <w:jc w:val="center"/>
    </w:pPr>
    <w:rPr>
      <w:rFonts w:ascii="Cambria" w:hAnsi="Cambria" w:eastAsia="黑体"/>
      <w:b w:val="0"/>
      <w:bCs w:val="0"/>
      <w:kern w:val="0"/>
      <w:sz w:val="28"/>
    </w:rPr>
  </w:style>
  <w:style w:type="paragraph" w:customStyle="1" w:styleId="87">
    <w:name w:val="TOC Heading"/>
    <w:basedOn w:val="4"/>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88">
    <w:name w:val="Char Char Char Char Char Char Char Char Char Char"/>
    <w:basedOn w:val="1"/>
    <w:qFormat/>
    <w:uiPriority w:val="0"/>
    <w:pPr>
      <w:tabs>
        <w:tab w:val="left" w:pos="360"/>
      </w:tabs>
    </w:pPr>
    <w:rPr>
      <w:sz w:val="24"/>
      <w:szCs w:val="24"/>
    </w:rPr>
  </w:style>
  <w:style w:type="paragraph" w:customStyle="1" w:styleId="89">
    <w:name w:val="列出段落3"/>
    <w:basedOn w:val="1"/>
    <w:qFormat/>
    <w:uiPriority w:val="0"/>
    <w:pPr>
      <w:ind w:firstLine="420" w:firstLineChars="200"/>
    </w:pPr>
    <w:rPr>
      <w:szCs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4.xml"/><Relationship Id="rId10" Type="http://schemas.openxmlformats.org/officeDocument/2006/relationships/customXml" Target="../customXml/item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2049" textRotate="1"/>
    <customShpInfo spid="_x0000_s2050" textRotate="1"/>
    <customShpInfo spid="_x0000_s1160"/>
    <customShpInfo spid="_x0000_s1159"/>
    <customShpInfo spid="_x0000_s1158"/>
    <customShpInfo spid="_x0000_s1157"/>
  </customShpExts>
</s:customData>
</file>

<file path=customXml/item2.xml><?xml version="1.0" encoding="utf-8"?>
<?mso-contentType ?>
<FormTemplates xmlns="http://schemas.microsoft.com/sharepoint/v3/contenttype/forms">
  <Display xmlns="http://schemas.microsoft.com/sharepoint/v3/contenttype/forms">DocumentLibraryForm</Display>
  <Edit xmlns="http://schemas.microsoft.com/sharepoint/v3/contenttype/forms">DocumentLibraryForm</Edit>
  <New xmlns="http://schemas.microsoft.com/sharepoint/v3/contenttype/forms">DocumentLibraryForm</New>
</FormTemplat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ontentTypeVersion="0" contentTypeID="0x010100277BE70400348A4D8EEC7D959D14FCE9" contentTypeDescription="新建文档。" versionID="c2d6fc419c2b1c800d14a129d15d07c3" contentTypeScope="" contentTypeName="文档" _="">
  <xsd:schema xmlns:xsd="http://www.w3.org/2001/XMLSchema" xmlns:ma="http://schemas.microsoft.com/office/2006/metadata/properties/metaAttributes" ma:root="true" ma:fieldsID="9adfd09ad98667f9c194c646e975416a" targetNamespace="http://schemas.microsoft.com/office/2006/metadata/properties">
    <xsd:element xmlns:xsd="http://www.w3.org/2001/XMLSchema" name="properties">
      <xsd:complexType xmlns:xsd="http://www.w3.org/2001/XMLSchema">
        <xsd:sequence xmlns:xsd="http://www.w3.org/2001/XMLSchema">
          <xsd:element xmlns:xsd="http://www.w3.org/2001/XMLSchema" name="documentManagement">
            <xsd:complexType xmlns:xsd="http://www.w3.org/2001/XMLSchema">
              <xsd:all xmlns:xsd="http://www.w3.org/2001/XMLSchema"/>
            </xsd:complexType>
          </xsd:element>
        </xsd:sequence>
      </xsd:complexType>
    </xsd:element>
  </xsd:schema>
  <xsd:schema xmlns:xsd="http://www.w3.org/2001/XMLSchema" attributeFormDefault="unqualified" targetNamespace="http://schemas.openxmlformats.org/package/2006/metadata/core-properties" elementFormDefault="qualified" blockDefault="#all">
    <xsd:import xmlns:xsd="http://www.w3.org/2001/XMLSchema" namespace="http://purl.org/dc/elements/1.1/" schemaLocation="http://dublincore.org/schemas/xmls/qdc/2003/04/02/dc.xsd"/>
    <xsd:import xmlns:xsd="http://www.w3.org/2001/XMLSchema" namespace="http://purl.org/dc/terms/" schemaLocation="http://dublincore.org/schemas/xmls/qdc/2003/04/02/dcterms.xsd"/>
    <xsd:element xmlns:xsd="http://www.w3.org/2001/XMLSchema" type="CT_coreProperties" name="coreProperties"/>
    <xsd:complexType xmlns:xsd="http://www.w3.org/2001/XMLSchema" name="CT_coreProperties">
      <xsd:all xmlns:xsd="http://www.w3.org/2001/XMLSchema">
        <xsd:element xmlns:xsd="http://www.w3.org/2001/XMLSchema" maxOccurs="1" minOccurs="0" ref="dc:creator"/>
        <xsd:element xmlns:xsd="http://www.w3.org/2001/XMLSchema" maxOccurs="1" minOccurs="0" ref="dcterms:created"/>
        <xsd:element xmlns:xsd="http://www.w3.org/2001/XMLSchema" maxOccurs="1" minOccurs="0" ref="dc:identifier"/>
        <xsd:element xmlns:xsd="http://www.w3.org/2001/XMLSchema" xmlns:ma="http://schemas.microsoft.com/office/2006/metadata/properties/metaAttributes" maxOccurs="1" minOccurs="0" ma:index="0" ma:displayName="内容类型" type="xsd:string" name="contentType"/>
        <xsd:element xmlns:xsd="http://www.w3.org/2001/XMLSchema" xmlns:ma="http://schemas.microsoft.com/office/2006/metadata/properties/metaAttributes" maxOccurs="1" minOccurs="0" ma:index="4" ma:displayName="标题" ref="dc:title"/>
        <xsd:element xmlns:xsd="http://www.w3.org/2001/XMLSchema" maxOccurs="1" minOccurs="0" ref="dc:subject"/>
        <xsd:element xmlns:xsd="http://www.w3.org/2001/XMLSchema" maxOccurs="1" minOccurs="0" ref="dc:description"/>
        <xsd:element xmlns:xsd="http://www.w3.org/2001/XMLSchema" maxOccurs="1" minOccurs="0" type="xsd:string" name="keywords"/>
        <xsd:element xmlns:xsd="http://www.w3.org/2001/XMLSchema" maxOccurs="1" minOccurs="0" ref="dc:language"/>
        <xsd:element xmlns:xsd="http://www.w3.org/2001/XMLSchema" maxOccurs="1" minOccurs="0" type="xsd:string" name="category"/>
        <xsd:element xmlns:xsd="http://www.w3.org/2001/XMLSchema" maxOccurs="1" minOccurs="0" type="xsd:string" name="version"/>
        <xsd:element xmlns:xsd="http://www.w3.org/2001/XMLSchema" maxOccurs="1" minOccurs="0" type="xsd:string" name="revision">
          <xsd:annotation xmlns:xsd="http://www.w3.org/2001/XMLSchema">
            <xsd:documentation xmlns:xsd="http://www.w3.org/2001/XMLSchema">
                        This value indicates the number of saves or revisions. The application is responsible for updating this value after each revision.
                    </xsd:documentation>
          </xsd:annotation>
        </xsd:element>
        <xsd:element xmlns:xsd="http://www.w3.org/2001/XMLSchema" maxOccurs="1" minOccurs="0" type="xsd:string" name="lastModifiedBy"/>
        <xsd:element xmlns:xsd="http://www.w3.org/2001/XMLSchema" maxOccurs="1" minOccurs="0" ref="dcterms:modified"/>
        <xsd:element xmlns:xsd="http://www.w3.org/2001/XMLSchema" maxOccurs="1" minOccurs="0" type="xsd:string" name="contentStatus"/>
      </xsd:all>
    </xsd:complexType>
  </xsd:schema>
  <xs:schema xmlns:xs="http://www.w3.org/2001/XMLSchema" attributeFormDefault="unqualified" targetNamespace="http://schemas.microsoft.com/office/infopath/2007/PartnerControls" elementFormDefault="qualified">
    <xs:element xmlns:xs="http://www.w3.org/2001/XMLSchema" name="Person">
      <xs:complexType xmlns:xs="http://www.w3.org/2001/XMLSchema">
        <xs:sequence xmlns:xs="http://www.w3.org/2001/XMLSchema">
          <xs:element xmlns:xs="http://www.w3.org/2001/XMLSchema" minOccurs="0" ref="pc:DisplayName"/>
          <xs:element xmlns:xs="http://www.w3.org/2001/XMLSchema" minOccurs="0" ref="pc:AccountId"/>
          <xs:element xmlns:xs="http://www.w3.org/2001/XMLSchema" minOccurs="0" ref="pc:AccountType"/>
        </xs:sequence>
      </xs:complexType>
    </xs:element>
    <xs:element xmlns:xs="http://www.w3.org/2001/XMLSchema" type="xs:string" name="DisplayName"/>
    <xs:element xmlns:xs="http://www.w3.org/2001/XMLSchema" type="xs:string" name="AccountId"/>
    <xs:element xmlns:xs="http://www.w3.org/2001/XMLSchema" type="xs:string" name="AccountType"/>
    <xs:element xmlns:xs="http://www.w3.org/2001/XMLSchema" name="BDCAssociatedEntity">
      <xs:complexType xmlns:xs="http://www.w3.org/2001/XMLSchema">
        <xs:sequence xmlns:xs="http://www.w3.org/2001/XMLSchema">
          <xs:element xmlns:xs="http://www.w3.org/2001/XMLSchema" maxOccurs="unbounded" minOccurs="0" ref="pc:BDCEntity"/>
        </xs:sequence>
        <xs:attribute xmlns:xs="http://www.w3.org/2001/XMLSchema" ref="pc:EntityNamespace"/>
        <xs:attribute xmlns:xs="http://www.w3.org/2001/XMLSchema" ref="pc:EntityName"/>
        <xs:attribute xmlns:xs="http://www.w3.org/2001/XMLSchema" ref="pc:SystemInstanceName"/>
        <xs:attribute xmlns:xs="http://www.w3.org/2001/XMLSchema" ref="pc:AssociationName"/>
      </xs:complexType>
    </xs:element>
    <xs:attribute xmlns:xs="http://www.w3.org/2001/XMLSchema" type="xs:string" name="EntityNamespace"/>
    <xs:attribute xmlns:xs="http://www.w3.org/2001/XMLSchema" type="xs:string" name="EntityName"/>
    <xs:attribute xmlns:xs="http://www.w3.org/2001/XMLSchema" type="xs:string" name="SystemInstanceName"/>
    <xs:attribute xmlns:xs="http://www.w3.org/2001/XMLSchema" type="xs:string" name="AssociationName"/>
    <xs:element xmlns:xs="http://www.w3.org/2001/XMLSchema" name="BDCEntity">
      <xs:complexType xmlns:xs="http://www.w3.org/2001/XMLSchema">
        <xs:sequence xmlns:xs="http://www.w3.org/2001/XMLSchema">
          <xs:element xmlns:xs="http://www.w3.org/2001/XMLSchema" minOccurs="0" ref="pc:EntityDisplayName"/>
          <xs:element xmlns:xs="http://www.w3.org/2001/XMLSchema" minOccurs="0" ref="pc:EntityInstanceReference"/>
          <xs:element xmlns:xs="http://www.w3.org/2001/XMLSchema" minOccurs="0" ref="pc:EntityId1"/>
          <xs:element xmlns:xs="http://www.w3.org/2001/XMLSchema" minOccurs="0" ref="pc:EntityId2"/>
          <xs:element xmlns:xs="http://www.w3.org/2001/XMLSchema" minOccurs="0" ref="pc:EntityId3"/>
          <xs:element xmlns:xs="http://www.w3.org/2001/XMLSchema" minOccurs="0" ref="pc:EntityId4"/>
          <xs:element xmlns:xs="http://www.w3.org/2001/XMLSchema" minOccurs="0" ref="pc:EntityId5"/>
        </xs:sequence>
      </xs:complexType>
    </xs:element>
    <xs:element xmlns:xs="http://www.w3.org/2001/XMLSchema" type="xs:string" name="EntityDisplayName"/>
    <xs:element xmlns:xs="http://www.w3.org/2001/XMLSchema" type="xs:string" name="EntityInstanceReference"/>
    <xs:element xmlns:xs="http://www.w3.org/2001/XMLSchema" type="xs:string" name="EntityId1"/>
    <xs:element xmlns:xs="http://www.w3.org/2001/XMLSchema" type="xs:string" name="EntityId2"/>
    <xs:element xmlns:xs="http://www.w3.org/2001/XMLSchema" type="xs:string" name="EntityId3"/>
    <xs:element xmlns:xs="http://www.w3.org/2001/XMLSchema" type="xs:string" name="EntityId4"/>
    <xs:element xmlns:xs="http://www.w3.org/2001/XMLSchema" type="xs:string" name="EntityId5"/>
    <xs:element xmlns:xs="http://www.w3.org/2001/XMLSchema" name="Terms">
      <xs:complexType xmlns:xs="http://www.w3.org/2001/XMLSchema">
        <xs:sequence xmlns:xs="http://www.w3.org/2001/XMLSchema">
          <xs:element xmlns:xs="http://www.w3.org/2001/XMLSchema" maxOccurs="unbounded" minOccurs="0" ref="pc:TermInfo"/>
        </xs:sequence>
      </xs:complexType>
    </xs:element>
    <xs:element xmlns:xs="http://www.w3.org/2001/XMLSchema" name="TermInfo">
      <xs:complexType xmlns:xs="http://www.w3.org/2001/XMLSchema">
        <xs:sequence xmlns:xs="http://www.w3.org/2001/XMLSchema">
          <xs:element xmlns:xs="http://www.w3.org/2001/XMLSchema" minOccurs="0" ref="pc:TermName"/>
          <xs:element xmlns:xs="http://www.w3.org/2001/XMLSchema" minOccurs="0" ref="pc:TermId"/>
        </xs:sequence>
      </xs:complexType>
    </xs:element>
    <xs:element xmlns:xs="http://www.w3.org/2001/XMLSchema" type="xs:string" name="TermName"/>
    <xs:element xmlns:xs="http://www.w3.org/2001/XMLSchema" type="xs:string" name="TermId"/>
  </xs:schema>
</ct:contentTypeSchem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768DD9-9B58-480B-812C-0F4172AB70A1}">
  <ds:schemaRefs/>
</ds:datastoreItem>
</file>

<file path=customXml/itemProps3.xml><?xml version="1.0" encoding="utf-8"?>
<ds:datastoreItem xmlns:ds="http://schemas.openxmlformats.org/officeDocument/2006/customXml" ds:itemID="{C36D1DA2-32A5-4E27-8F43-CCEAC94DD5E5}">
  <ds:schemaRefs/>
</ds:datastoreItem>
</file>

<file path=customXml/itemProps4.xml><?xml version="1.0" encoding="utf-8"?>
<ds:datastoreItem xmlns:ds="http://schemas.openxmlformats.org/officeDocument/2006/customXml" ds:itemID="{AC8B235D-FBFB-451E-B252-1F8E710CA68F}">
  <ds:schemaRefs/>
</ds:datastoreItem>
</file>

<file path=docProps/app.xml><?xml version="1.0" encoding="utf-8"?>
<Properties xmlns="http://schemas.openxmlformats.org/officeDocument/2006/extended-properties" xmlns:vt="http://schemas.openxmlformats.org/officeDocument/2006/docPropsVTypes">
  <Template>Normal.dotm</Template>
  <Company>sse</Company>
  <Pages>190</Pages>
  <Words>13451</Words>
  <Characters>76674</Characters>
  <Lines>638</Lines>
  <Paragraphs>179</Paragraphs>
  <TotalTime>0</TotalTime>
  <ScaleCrop>false</ScaleCrop>
  <LinksUpToDate>false</LinksUpToDate>
  <CharactersWithSpaces>89946</CharactersWithSpaces>
  <Application>WPS Office_11.8.2.12094_F1E327BC-269C-435d-A152-05C5408002CA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2019-12-09T21:40:00Z</dcterms:created>
  <dc:creator>user</dc:creator>
  <cp:lastModifiedBy>xxfb01</cp:lastModifiedBy>
  <cp:lastPrinted>2010-08-13T09:13:00Z</cp:lastPrinted>
  <dcterms:modified xsi:type="dcterms:W3CDTF">2026-05-22T07:12:21Z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le">
    <vt:lpwstr/>
  </property>
  <property fmtid="{D5CDD505-2E9C-101B-9397-08002B2CF9AE}" pid="3" name="KSOProductBuildVer">
    <vt:lpwstr>2052-11.8.2.12094</vt:lpwstr>
  </property>
  <property fmtid="{D5CDD505-2E9C-101B-9397-08002B2CF9AE}" pid="4" name="ICV">
    <vt:lpwstr>3B1AB92D2A1489D503B90F6A824897B5</vt:lpwstr>
  </property>
</Properties>
</file>